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baseline"/>
        <w:rPr>
          <w:rFonts w:asciiTheme="minorEastAsia" w:hAnsiTheme="minorEastAsia" w:eastAsiaTheme="minorEastAsia" w:cstheme="minorEastAsia"/>
          <w:sz w:val="84"/>
          <w:szCs w:val="84"/>
        </w:rPr>
      </w:pPr>
      <w:bookmarkStart w:id="14" w:name="_GoBack"/>
      <w:bookmarkEnd w:id="14"/>
    </w:p>
    <w:p>
      <w:pPr>
        <w:spacing w:line="360" w:lineRule="auto"/>
        <w:jc w:val="center"/>
        <w:textAlignment w:val="baseline"/>
        <w:rPr>
          <w:rFonts w:asciiTheme="minorEastAsia" w:hAnsiTheme="minorEastAsia" w:eastAsiaTheme="minorEastAsia" w:cstheme="minorEastAsia"/>
          <w:sz w:val="84"/>
          <w:szCs w:val="84"/>
        </w:rPr>
      </w:pPr>
    </w:p>
    <w:p>
      <w:pPr>
        <w:spacing w:line="360" w:lineRule="auto"/>
        <w:jc w:val="center"/>
        <w:textAlignment w:val="baseline"/>
        <w:rPr>
          <w:rFonts w:asciiTheme="minorEastAsia" w:hAnsiTheme="minorEastAsia" w:eastAsiaTheme="minorEastAsia" w:cstheme="minorEastAsia"/>
          <w:sz w:val="84"/>
          <w:szCs w:val="84"/>
        </w:rPr>
      </w:pPr>
      <w:r>
        <w:rPr>
          <w:rFonts w:hint="eastAsia" w:asciiTheme="minorEastAsia" w:hAnsiTheme="minorEastAsia" w:eastAsiaTheme="minorEastAsia" w:cstheme="minorEastAsia"/>
          <w:sz w:val="84"/>
          <w:szCs w:val="84"/>
        </w:rPr>
        <w:t>竞争性磋商文件</w:t>
      </w:r>
    </w:p>
    <w:p>
      <w:pPr>
        <w:pStyle w:val="13"/>
        <w:spacing w:line="360" w:lineRule="auto"/>
        <w:ind w:firstLine="883" w:firstLineChars="200"/>
        <w:jc w:val="center"/>
        <w:textAlignment w:val="baseline"/>
        <w:rPr>
          <w:rFonts w:asciiTheme="minorEastAsia" w:hAnsiTheme="minorEastAsia" w:eastAsiaTheme="minorEastAsia" w:cstheme="minorEastAsia"/>
          <w:b/>
          <w:bCs/>
          <w:sz w:val="44"/>
          <w:szCs w:val="44"/>
        </w:rPr>
      </w:pPr>
    </w:p>
    <w:p>
      <w:pPr>
        <w:pStyle w:val="13"/>
        <w:spacing w:line="360" w:lineRule="auto"/>
        <w:ind w:firstLine="643" w:firstLineChars="200"/>
        <w:textAlignment w:val="baseline"/>
        <w:rPr>
          <w:rFonts w:asciiTheme="minorEastAsia" w:hAnsiTheme="minorEastAsia" w:eastAsiaTheme="minorEastAsia" w:cstheme="minorEastAsia"/>
          <w:b/>
          <w:bCs/>
          <w:sz w:val="32"/>
          <w:szCs w:val="32"/>
        </w:rPr>
      </w:pPr>
    </w:p>
    <w:p>
      <w:pPr>
        <w:pStyle w:val="13"/>
        <w:spacing w:line="360" w:lineRule="auto"/>
        <w:ind w:firstLine="643" w:firstLineChars="200"/>
        <w:textAlignment w:val="baseline"/>
        <w:rPr>
          <w:rFonts w:asciiTheme="minorEastAsia" w:hAnsiTheme="minorEastAsia" w:eastAsiaTheme="minorEastAsia" w:cstheme="minorEastAsia"/>
          <w:b/>
          <w:bCs/>
          <w:sz w:val="32"/>
          <w:szCs w:val="32"/>
        </w:rPr>
      </w:pPr>
    </w:p>
    <w:p>
      <w:pPr>
        <w:widowControl/>
        <w:shd w:val="clear" w:color="auto" w:fill="FFFFFF"/>
        <w:spacing w:line="390" w:lineRule="atLeast"/>
        <w:ind w:firstLine="960" w:firstLineChars="300"/>
        <w:jc w:val="left"/>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项目编号：LCCQCGCS2023002</w:t>
      </w:r>
    </w:p>
    <w:p>
      <w:pPr>
        <w:widowControl/>
        <w:shd w:val="clear" w:color="auto" w:fill="FFFFFF"/>
        <w:spacing w:line="390" w:lineRule="atLeast"/>
        <w:ind w:firstLine="960" w:firstLineChars="300"/>
        <w:jc w:val="left"/>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项目名称：连城县南前花园小区标志标线及配套工程（智慧小区专业技术分项）服务类采购项目</w:t>
      </w:r>
    </w:p>
    <w:p>
      <w:pPr>
        <w:widowControl/>
        <w:shd w:val="clear" w:color="auto" w:fill="FFFFFF"/>
        <w:spacing w:line="390" w:lineRule="atLeast"/>
        <w:ind w:firstLine="960" w:firstLineChars="300"/>
        <w:jc w:val="left"/>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采 购 人：连城县天友建设工程有限公司</w:t>
      </w:r>
    </w:p>
    <w:p>
      <w:pPr>
        <w:pStyle w:val="13"/>
        <w:spacing w:line="360" w:lineRule="auto"/>
        <w:textAlignment w:val="baseline"/>
        <w:rPr>
          <w:rFonts w:asciiTheme="minorEastAsia" w:hAnsiTheme="minorEastAsia" w:eastAsiaTheme="minorEastAsia" w:cstheme="minorEastAsia"/>
          <w:b/>
          <w:bCs/>
          <w:sz w:val="32"/>
          <w:szCs w:val="32"/>
        </w:rPr>
      </w:pPr>
    </w:p>
    <w:p>
      <w:pPr>
        <w:pStyle w:val="13"/>
        <w:spacing w:line="360" w:lineRule="auto"/>
        <w:ind w:firstLine="1767" w:firstLineChars="550"/>
        <w:jc w:val="left"/>
        <w:textAlignment w:val="baseline"/>
        <w:rPr>
          <w:rFonts w:asciiTheme="minorEastAsia" w:hAnsiTheme="minorEastAsia" w:eastAsiaTheme="minorEastAsia" w:cstheme="minorEastAsia"/>
          <w:b/>
          <w:bCs/>
          <w:sz w:val="32"/>
          <w:szCs w:val="32"/>
        </w:rPr>
      </w:pPr>
    </w:p>
    <w:p>
      <w:pPr>
        <w:pStyle w:val="13"/>
        <w:spacing w:line="360" w:lineRule="auto"/>
        <w:ind w:firstLine="1767" w:firstLineChars="550"/>
        <w:jc w:val="left"/>
        <w:textAlignment w:val="baseline"/>
        <w:rPr>
          <w:rFonts w:asciiTheme="minorEastAsia" w:hAnsiTheme="minorEastAsia" w:eastAsiaTheme="minorEastAsia" w:cstheme="minorEastAsia"/>
          <w:b/>
          <w:bCs/>
          <w:sz w:val="32"/>
          <w:szCs w:val="32"/>
        </w:rPr>
      </w:pPr>
    </w:p>
    <w:p>
      <w:pPr>
        <w:pStyle w:val="13"/>
        <w:spacing w:line="360" w:lineRule="auto"/>
        <w:ind w:firstLine="1767" w:firstLineChars="550"/>
        <w:jc w:val="left"/>
        <w:textAlignment w:val="baseline"/>
        <w:rPr>
          <w:rFonts w:asciiTheme="minorEastAsia" w:hAnsiTheme="minorEastAsia" w:eastAsiaTheme="minorEastAsia" w:cstheme="minorEastAsia"/>
          <w:b/>
          <w:bCs/>
          <w:sz w:val="32"/>
          <w:szCs w:val="32"/>
        </w:rPr>
      </w:pPr>
    </w:p>
    <w:p>
      <w:pPr>
        <w:pStyle w:val="13"/>
        <w:spacing w:line="360" w:lineRule="auto"/>
        <w:ind w:firstLine="1928" w:firstLineChars="600"/>
        <w:jc w:val="left"/>
        <w:textAlignment w:val="baseline"/>
        <w:rPr>
          <w:rFonts w:asciiTheme="minorEastAsia" w:hAnsiTheme="minorEastAsia" w:eastAsiaTheme="minorEastAsia" w:cstheme="minorEastAsia"/>
          <w:b/>
          <w:bCs/>
          <w:sz w:val="32"/>
          <w:szCs w:val="32"/>
        </w:rPr>
      </w:pPr>
    </w:p>
    <w:p>
      <w:pPr>
        <w:pStyle w:val="13"/>
        <w:spacing w:line="360" w:lineRule="auto"/>
        <w:ind w:firstLine="1928" w:firstLineChars="600"/>
        <w:jc w:val="left"/>
        <w:textAlignment w:val="baseline"/>
        <w:rPr>
          <w:rFonts w:asciiTheme="minorEastAsia" w:hAnsiTheme="minorEastAsia" w:eastAsiaTheme="minorEastAsia" w:cstheme="minorEastAsia"/>
          <w:b/>
          <w:bCs/>
          <w:sz w:val="32"/>
          <w:szCs w:val="32"/>
        </w:rPr>
      </w:pPr>
    </w:p>
    <w:p>
      <w:pPr>
        <w:pStyle w:val="13"/>
        <w:spacing w:line="360" w:lineRule="auto"/>
        <w:jc w:val="center"/>
        <w:textAlignment w:val="baseline"/>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32"/>
          <w:szCs w:val="32"/>
        </w:rPr>
        <w:t>连城县国有资产产权交易服务有限公司</w:t>
      </w:r>
    </w:p>
    <w:p>
      <w:pPr>
        <w:jc w:val="center"/>
        <w:textAlignment w:val="baseline"/>
        <w:rPr>
          <w:rFonts w:asciiTheme="minorEastAsia" w:hAnsiTheme="minorEastAsia" w:eastAsiaTheme="minorEastAsia" w:cstheme="minorEastAsia"/>
          <w:b/>
          <w:bCs/>
          <w:sz w:val="32"/>
          <w:szCs w:val="32"/>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r>
        <w:rPr>
          <w:rFonts w:hint="eastAsia" w:asciiTheme="minorEastAsia" w:hAnsiTheme="minorEastAsia" w:eastAsiaTheme="minorEastAsia" w:cstheme="minorEastAsia"/>
          <w:b/>
          <w:bCs/>
          <w:sz w:val="32"/>
          <w:szCs w:val="32"/>
        </w:rPr>
        <w:t>2023年10月</w:t>
      </w:r>
    </w:p>
    <w:p>
      <w:pPr>
        <w:jc w:val="center"/>
        <w:textAlignment w:val="baseline"/>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8"/>
          <w:szCs w:val="28"/>
        </w:rPr>
        <w:t>目录</w:t>
      </w:r>
    </w:p>
    <w:p>
      <w:pPr>
        <w:pStyle w:val="15"/>
        <w:tabs>
          <w:tab w:val="right" w:leader="dot" w:pos="9062"/>
        </w:tabs>
        <w:textAlignment w:val="baseline"/>
        <w:rPr>
          <w:rFonts w:asciiTheme="minorEastAsia" w:hAnsiTheme="minorEastAsia" w:eastAsiaTheme="minorEastAsia" w:cstheme="minorEastAsia"/>
          <w:b w:val="0"/>
          <w:bCs w:val="0"/>
          <w:caps w:val="0"/>
          <w:sz w:val="32"/>
          <w:szCs w:val="32"/>
        </w:rPr>
      </w:pPr>
      <w:r>
        <w:rPr>
          <w:rFonts w:hint="eastAsia" w:asciiTheme="minorEastAsia" w:hAnsiTheme="minorEastAsia" w:eastAsiaTheme="minorEastAsia" w:cstheme="minorEastAsia"/>
          <w:b w:val="0"/>
          <w:bCs w:val="0"/>
          <w:caps w:val="0"/>
          <w:sz w:val="56"/>
          <w:szCs w:val="56"/>
        </w:rPr>
        <w:fldChar w:fldCharType="begin"/>
      </w:r>
      <w:r>
        <w:rPr>
          <w:rFonts w:hint="eastAsia" w:asciiTheme="minorEastAsia" w:hAnsiTheme="minorEastAsia" w:eastAsiaTheme="minorEastAsia" w:cstheme="minorEastAsia"/>
          <w:b w:val="0"/>
          <w:bCs w:val="0"/>
          <w:caps w:val="0"/>
          <w:sz w:val="56"/>
          <w:szCs w:val="56"/>
        </w:rPr>
        <w:instrText xml:space="preserve"> TOC \o "1-3" \h \z \u </w:instrText>
      </w:r>
      <w:r>
        <w:rPr>
          <w:rFonts w:hint="eastAsia" w:asciiTheme="minorEastAsia" w:hAnsiTheme="minorEastAsia" w:eastAsiaTheme="minorEastAsia" w:cstheme="minorEastAsia"/>
          <w:b w:val="0"/>
          <w:bCs w:val="0"/>
          <w:caps w:val="0"/>
          <w:sz w:val="56"/>
          <w:szCs w:val="56"/>
        </w:rPr>
        <w:fldChar w:fldCharType="separate"/>
      </w:r>
      <w:r>
        <w:fldChar w:fldCharType="begin"/>
      </w:r>
      <w:r>
        <w:instrText xml:space="preserve"> HYPERLINK \l "_Toc36811825" </w:instrText>
      </w:r>
      <w:r>
        <w:fldChar w:fldCharType="separate"/>
      </w:r>
      <w:r>
        <w:rPr>
          <w:rStyle w:val="33"/>
          <w:rFonts w:hint="eastAsia" w:asciiTheme="minorEastAsia" w:hAnsiTheme="minorEastAsia" w:eastAsiaTheme="minorEastAsia" w:cstheme="minorEastAsia"/>
          <w:b w:val="0"/>
          <w:bCs w:val="0"/>
          <w:color w:val="auto"/>
          <w:sz w:val="28"/>
          <w:szCs w:val="28"/>
        </w:rPr>
        <w:t>第一章竞争性磋商邀请</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caps w:val="0"/>
          <w:sz w:val="28"/>
          <w:szCs w:val="28"/>
        </w:rPr>
        <w:fldChar w:fldCharType="begin"/>
      </w:r>
      <w:r>
        <w:rPr>
          <w:rFonts w:hint="eastAsia" w:asciiTheme="minorEastAsia" w:hAnsiTheme="minorEastAsia" w:eastAsiaTheme="minorEastAsia" w:cstheme="minorEastAsia"/>
          <w:b w:val="0"/>
          <w:bCs w:val="0"/>
          <w:caps w:val="0"/>
          <w:sz w:val="28"/>
          <w:szCs w:val="28"/>
        </w:rPr>
        <w:instrText xml:space="preserve"> PAGEREF _Toc36811825 \h </w:instrText>
      </w:r>
      <w:r>
        <w:rPr>
          <w:rFonts w:hint="eastAsia" w:asciiTheme="minorEastAsia" w:hAnsiTheme="minorEastAsia" w:eastAsiaTheme="minorEastAsia" w:cstheme="minorEastAsia"/>
          <w:b w:val="0"/>
          <w:bCs w:val="0"/>
          <w:caps w:val="0"/>
          <w:sz w:val="28"/>
          <w:szCs w:val="28"/>
        </w:rPr>
        <w:fldChar w:fldCharType="separate"/>
      </w:r>
      <w:r>
        <w:rPr>
          <w:rFonts w:hint="eastAsia" w:asciiTheme="minorEastAsia" w:hAnsiTheme="minorEastAsia" w:eastAsiaTheme="minorEastAsia" w:cstheme="minorEastAsia"/>
          <w:b w:val="0"/>
          <w:bCs w:val="0"/>
          <w:caps w:val="0"/>
          <w:sz w:val="28"/>
          <w:szCs w:val="28"/>
        </w:rPr>
        <w:t>2</w:t>
      </w:r>
      <w:r>
        <w:rPr>
          <w:rFonts w:hint="eastAsia" w:asciiTheme="minorEastAsia" w:hAnsiTheme="minorEastAsia" w:eastAsiaTheme="minorEastAsia" w:cstheme="minorEastAsia"/>
          <w:b w:val="0"/>
          <w:bCs w:val="0"/>
          <w:caps w:val="0"/>
          <w:sz w:val="28"/>
          <w:szCs w:val="28"/>
        </w:rPr>
        <w:fldChar w:fldCharType="end"/>
      </w:r>
      <w:r>
        <w:rPr>
          <w:rFonts w:hint="eastAsia" w:asciiTheme="minorEastAsia" w:hAnsiTheme="minorEastAsia" w:eastAsiaTheme="minorEastAsia" w:cstheme="minorEastAsia"/>
          <w:b w:val="0"/>
          <w:bCs w:val="0"/>
          <w:caps w:val="0"/>
          <w:sz w:val="28"/>
          <w:szCs w:val="28"/>
        </w:rPr>
        <w:fldChar w:fldCharType="end"/>
      </w:r>
    </w:p>
    <w:p>
      <w:pPr>
        <w:pStyle w:val="16"/>
        <w:tabs>
          <w:tab w:val="right" w:leader="dot" w:pos="9062"/>
        </w:tabs>
        <w:textAlignment w:val="baseline"/>
        <w:rPr>
          <w:rFonts w:asciiTheme="minorEastAsia" w:hAnsiTheme="minorEastAsia" w:eastAsiaTheme="minorEastAsia" w:cstheme="minorEastAsia"/>
          <w:sz w:val="32"/>
          <w:szCs w:val="32"/>
        </w:rPr>
      </w:pPr>
      <w:r>
        <w:fldChar w:fldCharType="begin"/>
      </w:r>
      <w:r>
        <w:instrText xml:space="preserve"> HYPERLINK \l "_Toc36811826" </w:instrText>
      </w:r>
      <w:r>
        <w:fldChar w:fldCharType="separate"/>
      </w:r>
      <w:r>
        <w:rPr>
          <w:rStyle w:val="33"/>
          <w:rFonts w:hint="eastAsia" w:asciiTheme="minorEastAsia" w:hAnsiTheme="minorEastAsia" w:eastAsiaTheme="minorEastAsia" w:cstheme="minorEastAsia"/>
          <w:color w:val="auto"/>
          <w:sz w:val="28"/>
          <w:szCs w:val="28"/>
        </w:rPr>
        <w:t>一、竞争性磋商邀请</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_Toc36811826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6"/>
        <w:tabs>
          <w:tab w:val="right" w:leader="dot" w:pos="9062"/>
        </w:tabs>
        <w:textAlignment w:val="baseline"/>
        <w:rPr>
          <w:rFonts w:asciiTheme="minorEastAsia" w:hAnsiTheme="minorEastAsia" w:eastAsiaTheme="minorEastAsia" w:cstheme="minorEastAsia"/>
          <w:sz w:val="32"/>
          <w:szCs w:val="32"/>
        </w:rPr>
      </w:pPr>
      <w:r>
        <w:fldChar w:fldCharType="begin"/>
      </w:r>
      <w:r>
        <w:instrText xml:space="preserve"> HYPERLINK \l "_Toc36811827" </w:instrText>
      </w:r>
      <w:r>
        <w:fldChar w:fldCharType="separate"/>
      </w:r>
      <w:r>
        <w:rPr>
          <w:rStyle w:val="33"/>
          <w:rFonts w:hint="eastAsia" w:asciiTheme="minorEastAsia" w:hAnsiTheme="minorEastAsia" w:eastAsiaTheme="minorEastAsia" w:cstheme="minorEastAsia"/>
          <w:color w:val="auto"/>
          <w:sz w:val="28"/>
          <w:szCs w:val="28"/>
        </w:rPr>
        <w:t>二、竞争性磋商货物（服务）一览表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_Toc36811827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5"/>
        <w:tabs>
          <w:tab w:val="right" w:leader="dot" w:pos="9062"/>
        </w:tabs>
        <w:textAlignment w:val="baseline"/>
        <w:rPr>
          <w:rFonts w:asciiTheme="minorEastAsia" w:hAnsiTheme="minorEastAsia" w:eastAsiaTheme="minorEastAsia" w:cstheme="minorEastAsia"/>
          <w:b w:val="0"/>
          <w:bCs w:val="0"/>
          <w:caps w:val="0"/>
          <w:sz w:val="32"/>
          <w:szCs w:val="32"/>
        </w:rPr>
      </w:pPr>
      <w:r>
        <w:fldChar w:fldCharType="begin"/>
      </w:r>
      <w:r>
        <w:instrText xml:space="preserve"> HYPERLINK \l "_Toc36811828" </w:instrText>
      </w:r>
      <w:r>
        <w:fldChar w:fldCharType="separate"/>
      </w:r>
      <w:r>
        <w:rPr>
          <w:rStyle w:val="33"/>
          <w:rFonts w:hint="eastAsia" w:asciiTheme="minorEastAsia" w:hAnsiTheme="minorEastAsia" w:eastAsiaTheme="minorEastAsia" w:cstheme="minorEastAsia"/>
          <w:b w:val="0"/>
          <w:bCs w:val="0"/>
          <w:color w:val="auto"/>
          <w:sz w:val="28"/>
          <w:szCs w:val="28"/>
        </w:rPr>
        <w:t>第二章供应商须知</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caps w:val="0"/>
          <w:sz w:val="28"/>
          <w:szCs w:val="28"/>
        </w:rPr>
        <w:fldChar w:fldCharType="begin"/>
      </w:r>
      <w:r>
        <w:rPr>
          <w:rFonts w:hint="eastAsia" w:asciiTheme="minorEastAsia" w:hAnsiTheme="minorEastAsia" w:eastAsiaTheme="minorEastAsia" w:cstheme="minorEastAsia"/>
          <w:b w:val="0"/>
          <w:bCs w:val="0"/>
          <w:caps w:val="0"/>
          <w:sz w:val="28"/>
          <w:szCs w:val="28"/>
        </w:rPr>
        <w:instrText xml:space="preserve"> PAGEREF _Toc36811828 \h </w:instrText>
      </w:r>
      <w:r>
        <w:rPr>
          <w:rFonts w:hint="eastAsia" w:asciiTheme="minorEastAsia" w:hAnsiTheme="minorEastAsia" w:eastAsiaTheme="minorEastAsia" w:cstheme="minorEastAsia"/>
          <w:b w:val="0"/>
          <w:bCs w:val="0"/>
          <w:caps w:val="0"/>
          <w:sz w:val="28"/>
          <w:szCs w:val="28"/>
        </w:rPr>
        <w:fldChar w:fldCharType="separate"/>
      </w:r>
      <w:r>
        <w:rPr>
          <w:rFonts w:hint="eastAsia" w:asciiTheme="minorEastAsia" w:hAnsiTheme="minorEastAsia" w:eastAsiaTheme="minorEastAsia" w:cstheme="minorEastAsia"/>
          <w:b w:val="0"/>
          <w:bCs w:val="0"/>
          <w:caps w:val="0"/>
          <w:sz w:val="28"/>
          <w:szCs w:val="28"/>
        </w:rPr>
        <w:t>5</w:t>
      </w:r>
      <w:r>
        <w:rPr>
          <w:rFonts w:hint="eastAsia" w:asciiTheme="minorEastAsia" w:hAnsiTheme="minorEastAsia" w:eastAsiaTheme="minorEastAsia" w:cstheme="minorEastAsia"/>
          <w:b w:val="0"/>
          <w:bCs w:val="0"/>
          <w:caps w:val="0"/>
          <w:sz w:val="28"/>
          <w:szCs w:val="28"/>
        </w:rPr>
        <w:fldChar w:fldCharType="end"/>
      </w:r>
      <w:r>
        <w:rPr>
          <w:rFonts w:hint="eastAsia" w:asciiTheme="minorEastAsia" w:hAnsiTheme="minorEastAsia" w:eastAsiaTheme="minorEastAsia" w:cstheme="minorEastAsia"/>
          <w:b w:val="0"/>
          <w:bCs w:val="0"/>
          <w:caps w:val="0"/>
          <w:sz w:val="28"/>
          <w:szCs w:val="28"/>
        </w:rPr>
        <w:fldChar w:fldCharType="end"/>
      </w:r>
    </w:p>
    <w:p>
      <w:pPr>
        <w:pStyle w:val="16"/>
        <w:tabs>
          <w:tab w:val="right" w:leader="dot" w:pos="9062"/>
        </w:tabs>
        <w:textAlignment w:val="baseline"/>
        <w:rPr>
          <w:rFonts w:asciiTheme="minorEastAsia" w:hAnsiTheme="minorEastAsia" w:eastAsiaTheme="minorEastAsia" w:cstheme="minorEastAsia"/>
          <w:sz w:val="32"/>
          <w:szCs w:val="32"/>
        </w:rPr>
      </w:pPr>
      <w:r>
        <w:fldChar w:fldCharType="begin"/>
      </w:r>
      <w:r>
        <w:instrText xml:space="preserve"> HYPERLINK \l "_Toc36811829" </w:instrText>
      </w:r>
      <w:r>
        <w:fldChar w:fldCharType="separate"/>
      </w:r>
      <w:r>
        <w:rPr>
          <w:rStyle w:val="33"/>
          <w:rFonts w:hint="eastAsia" w:asciiTheme="minorEastAsia" w:hAnsiTheme="minorEastAsia" w:eastAsiaTheme="minorEastAsia" w:cstheme="minorEastAsia"/>
          <w:color w:val="auto"/>
          <w:sz w:val="28"/>
          <w:szCs w:val="28"/>
        </w:rPr>
        <w:t>供应商须知前附表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_Toc36811829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6"/>
        <w:tabs>
          <w:tab w:val="right" w:leader="dot" w:pos="9062"/>
        </w:tabs>
        <w:textAlignment w:val="baseline"/>
        <w:rPr>
          <w:rFonts w:asciiTheme="minorEastAsia" w:hAnsiTheme="minorEastAsia" w:eastAsiaTheme="minorEastAsia" w:cstheme="minorEastAsia"/>
          <w:sz w:val="32"/>
          <w:szCs w:val="32"/>
        </w:rPr>
      </w:pPr>
      <w:r>
        <w:fldChar w:fldCharType="begin"/>
      </w:r>
      <w:r>
        <w:instrText xml:space="preserve"> HYPERLINK \l "_Toc36811830" </w:instrText>
      </w:r>
      <w:r>
        <w:fldChar w:fldCharType="separate"/>
      </w:r>
      <w:r>
        <w:rPr>
          <w:rStyle w:val="33"/>
          <w:rFonts w:hint="eastAsia" w:asciiTheme="minorEastAsia" w:hAnsiTheme="minorEastAsia" w:eastAsiaTheme="minorEastAsia" w:cstheme="minorEastAsia"/>
          <w:color w:val="auto"/>
          <w:sz w:val="28"/>
          <w:szCs w:val="28"/>
        </w:rPr>
        <w:t>一、说明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p>
    <w:p>
      <w:pPr>
        <w:pStyle w:val="16"/>
        <w:tabs>
          <w:tab w:val="right" w:leader="dot" w:pos="9062"/>
        </w:tabs>
        <w:textAlignment w:val="baseline"/>
        <w:rPr>
          <w:rFonts w:asciiTheme="minorEastAsia" w:hAnsiTheme="minorEastAsia" w:eastAsiaTheme="minorEastAsia" w:cstheme="minorEastAsia"/>
          <w:sz w:val="32"/>
          <w:szCs w:val="32"/>
        </w:rPr>
      </w:pPr>
      <w:r>
        <w:fldChar w:fldCharType="begin"/>
      </w:r>
      <w:r>
        <w:instrText xml:space="preserve"> HYPERLINK \l "_Toc36811831" </w:instrText>
      </w:r>
      <w:r>
        <w:fldChar w:fldCharType="separate"/>
      </w:r>
      <w:r>
        <w:rPr>
          <w:rStyle w:val="33"/>
          <w:rFonts w:hint="eastAsia" w:asciiTheme="minorEastAsia" w:hAnsiTheme="minorEastAsia" w:eastAsiaTheme="minorEastAsia" w:cstheme="minorEastAsia"/>
          <w:color w:val="auto"/>
          <w:sz w:val="28"/>
          <w:szCs w:val="28"/>
        </w:rPr>
        <w:t>二、竞争性磋商采购文件</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8</w:t>
      </w:r>
    </w:p>
    <w:p>
      <w:pPr>
        <w:pStyle w:val="16"/>
        <w:tabs>
          <w:tab w:val="right" w:leader="dot" w:pos="9062"/>
        </w:tabs>
        <w:textAlignment w:val="baseline"/>
        <w:rPr>
          <w:rFonts w:asciiTheme="minorEastAsia" w:hAnsiTheme="minorEastAsia" w:eastAsiaTheme="minorEastAsia" w:cstheme="minorEastAsia"/>
          <w:sz w:val="32"/>
          <w:szCs w:val="32"/>
        </w:rPr>
      </w:pPr>
      <w:r>
        <w:fldChar w:fldCharType="begin"/>
      </w:r>
      <w:r>
        <w:instrText xml:space="preserve"> HYPERLINK \l "_Toc36811832" </w:instrText>
      </w:r>
      <w:r>
        <w:fldChar w:fldCharType="separate"/>
      </w:r>
      <w:r>
        <w:rPr>
          <w:rStyle w:val="33"/>
          <w:rFonts w:hint="eastAsia" w:asciiTheme="minorEastAsia" w:hAnsiTheme="minorEastAsia" w:eastAsiaTheme="minorEastAsia" w:cstheme="minorEastAsia"/>
          <w:color w:val="auto"/>
          <w:sz w:val="28"/>
          <w:szCs w:val="28"/>
        </w:rPr>
        <w:t>三、响应文件的编写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0</w:t>
      </w:r>
    </w:p>
    <w:p>
      <w:pPr>
        <w:pStyle w:val="16"/>
        <w:tabs>
          <w:tab w:val="right" w:leader="dot" w:pos="9062"/>
        </w:tabs>
        <w:textAlignment w:val="baseline"/>
        <w:rPr>
          <w:rFonts w:asciiTheme="minorEastAsia" w:hAnsiTheme="minorEastAsia" w:eastAsiaTheme="minorEastAsia" w:cstheme="minorEastAsia"/>
          <w:sz w:val="32"/>
          <w:szCs w:val="32"/>
        </w:rPr>
      </w:pPr>
      <w:r>
        <w:fldChar w:fldCharType="begin"/>
      </w:r>
      <w:r>
        <w:instrText xml:space="preserve"> HYPERLINK \l "_Toc36811833" </w:instrText>
      </w:r>
      <w:r>
        <w:fldChar w:fldCharType="separate"/>
      </w:r>
      <w:r>
        <w:rPr>
          <w:rStyle w:val="33"/>
          <w:rFonts w:hint="eastAsia" w:asciiTheme="minorEastAsia" w:hAnsiTheme="minorEastAsia" w:eastAsiaTheme="minorEastAsia" w:cstheme="minorEastAsia"/>
          <w:color w:val="auto"/>
          <w:sz w:val="28"/>
          <w:szCs w:val="28"/>
        </w:rPr>
        <w:t>四、磋商响应文件的递交</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2</w:t>
      </w:r>
    </w:p>
    <w:p>
      <w:pPr>
        <w:pStyle w:val="16"/>
        <w:tabs>
          <w:tab w:val="right" w:leader="dot" w:pos="9062"/>
        </w:tabs>
        <w:textAlignment w:val="baseline"/>
        <w:rPr>
          <w:rFonts w:asciiTheme="minorEastAsia" w:hAnsiTheme="minorEastAsia" w:eastAsiaTheme="minorEastAsia" w:cstheme="minorEastAsia"/>
          <w:sz w:val="32"/>
          <w:szCs w:val="32"/>
        </w:rPr>
      </w:pPr>
      <w:r>
        <w:fldChar w:fldCharType="begin"/>
      </w:r>
      <w:r>
        <w:instrText xml:space="preserve"> HYPERLINK \l "_Toc36811834" </w:instrText>
      </w:r>
      <w:r>
        <w:fldChar w:fldCharType="separate"/>
      </w:r>
      <w:r>
        <w:rPr>
          <w:rStyle w:val="33"/>
          <w:rFonts w:hint="eastAsia" w:asciiTheme="minorEastAsia" w:hAnsiTheme="minorEastAsia" w:eastAsiaTheme="minorEastAsia" w:cstheme="minorEastAsia"/>
          <w:color w:val="auto"/>
          <w:sz w:val="28"/>
          <w:szCs w:val="28"/>
        </w:rPr>
        <w:t>五、竞争性磋商</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4</w:t>
      </w:r>
    </w:p>
    <w:p>
      <w:pPr>
        <w:pStyle w:val="16"/>
        <w:tabs>
          <w:tab w:val="right" w:leader="dot" w:pos="9062"/>
        </w:tabs>
        <w:textAlignment w:val="baseline"/>
        <w:rPr>
          <w:rFonts w:asciiTheme="minorEastAsia" w:hAnsiTheme="minorEastAsia" w:eastAsiaTheme="minorEastAsia" w:cstheme="minorEastAsia"/>
          <w:sz w:val="32"/>
          <w:szCs w:val="32"/>
        </w:rPr>
      </w:pPr>
      <w:r>
        <w:fldChar w:fldCharType="begin"/>
      </w:r>
      <w:r>
        <w:instrText xml:space="preserve"> HYPERLINK \l "_Toc36811835" </w:instrText>
      </w:r>
      <w:r>
        <w:fldChar w:fldCharType="separate"/>
      </w:r>
      <w:r>
        <w:rPr>
          <w:rStyle w:val="33"/>
          <w:rFonts w:hint="eastAsia" w:asciiTheme="minorEastAsia" w:hAnsiTheme="minorEastAsia" w:eastAsiaTheme="minorEastAsia" w:cstheme="minorEastAsia"/>
          <w:color w:val="auto"/>
          <w:sz w:val="28"/>
          <w:szCs w:val="28"/>
        </w:rPr>
        <w:t>六、确定成交供应商磋商与签订合同</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8</w:t>
      </w:r>
    </w:p>
    <w:p>
      <w:pPr>
        <w:pStyle w:val="16"/>
        <w:tabs>
          <w:tab w:val="right" w:leader="dot" w:pos="9062"/>
        </w:tabs>
        <w:textAlignment w:val="baseline"/>
        <w:rPr>
          <w:rFonts w:asciiTheme="minorEastAsia" w:hAnsiTheme="minorEastAsia" w:eastAsiaTheme="minorEastAsia" w:cstheme="minorEastAsia"/>
          <w:sz w:val="32"/>
          <w:szCs w:val="32"/>
        </w:rPr>
      </w:pPr>
      <w:r>
        <w:fldChar w:fldCharType="begin"/>
      </w:r>
      <w:r>
        <w:instrText xml:space="preserve"> HYPERLINK \l "_Toc36811836" </w:instrText>
      </w:r>
      <w:r>
        <w:fldChar w:fldCharType="separate"/>
      </w:r>
      <w:r>
        <w:rPr>
          <w:rStyle w:val="33"/>
          <w:rFonts w:hint="eastAsia" w:asciiTheme="minorEastAsia" w:hAnsiTheme="minorEastAsia" w:eastAsiaTheme="minorEastAsia" w:cstheme="minorEastAsia"/>
          <w:color w:val="auto"/>
          <w:sz w:val="28"/>
          <w:szCs w:val="28"/>
        </w:rPr>
        <w:t>七、询问、质疑</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9</w:t>
      </w:r>
    </w:p>
    <w:p>
      <w:pPr>
        <w:pStyle w:val="15"/>
        <w:tabs>
          <w:tab w:val="right" w:leader="dot" w:pos="9062"/>
        </w:tabs>
        <w:textAlignment w:val="baseline"/>
        <w:rPr>
          <w:rFonts w:asciiTheme="minorEastAsia" w:hAnsiTheme="minorEastAsia" w:eastAsiaTheme="minorEastAsia" w:cstheme="minorEastAsia"/>
          <w:b w:val="0"/>
          <w:bCs w:val="0"/>
          <w:caps w:val="0"/>
          <w:sz w:val="32"/>
          <w:szCs w:val="32"/>
        </w:rPr>
      </w:pPr>
      <w:r>
        <w:fldChar w:fldCharType="begin"/>
      </w:r>
      <w:r>
        <w:instrText xml:space="preserve"> HYPERLINK \l "_Toc36811837" </w:instrText>
      </w:r>
      <w:r>
        <w:fldChar w:fldCharType="separate"/>
      </w:r>
      <w:r>
        <w:rPr>
          <w:rStyle w:val="33"/>
          <w:rFonts w:hint="eastAsia" w:asciiTheme="minorEastAsia" w:hAnsiTheme="minorEastAsia" w:eastAsiaTheme="minorEastAsia" w:cstheme="minorEastAsia"/>
          <w:b w:val="0"/>
          <w:bCs w:val="0"/>
          <w:color w:val="auto"/>
          <w:sz w:val="28"/>
          <w:szCs w:val="28"/>
        </w:rPr>
        <w:t>第三章采购项目内容及要求</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t>22</w:t>
      </w:r>
      <w:r>
        <w:rPr>
          <w:rFonts w:hint="eastAsia" w:asciiTheme="minorEastAsia" w:hAnsiTheme="minorEastAsia" w:eastAsiaTheme="minorEastAsia" w:cstheme="minorEastAsia"/>
          <w:b w:val="0"/>
          <w:bCs w:val="0"/>
          <w:sz w:val="28"/>
          <w:szCs w:val="28"/>
        </w:rPr>
        <w:fldChar w:fldCharType="end"/>
      </w:r>
    </w:p>
    <w:p>
      <w:pPr>
        <w:pStyle w:val="15"/>
        <w:tabs>
          <w:tab w:val="right" w:leader="dot" w:pos="9062"/>
        </w:tabs>
        <w:textAlignment w:val="baseline"/>
        <w:rPr>
          <w:rFonts w:asciiTheme="minorEastAsia" w:hAnsiTheme="minorEastAsia" w:eastAsiaTheme="minorEastAsia" w:cstheme="minorEastAsia"/>
          <w:b w:val="0"/>
          <w:bCs w:val="0"/>
          <w:caps w:val="0"/>
          <w:sz w:val="32"/>
          <w:szCs w:val="32"/>
        </w:rPr>
      </w:pPr>
      <w:r>
        <w:fldChar w:fldCharType="begin"/>
      </w:r>
      <w:r>
        <w:instrText xml:space="preserve"> HYPERLINK \l "_Toc36811841" </w:instrText>
      </w:r>
      <w:r>
        <w:fldChar w:fldCharType="separate"/>
      </w:r>
      <w:r>
        <w:rPr>
          <w:rStyle w:val="33"/>
          <w:rFonts w:hint="eastAsia" w:asciiTheme="minorEastAsia" w:hAnsiTheme="minorEastAsia" w:eastAsiaTheme="minorEastAsia" w:cstheme="minorEastAsia"/>
          <w:b w:val="0"/>
          <w:bCs w:val="0"/>
          <w:color w:val="auto"/>
          <w:sz w:val="28"/>
          <w:szCs w:val="28"/>
        </w:rPr>
        <w:t>第四章合同</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t>4</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t>7</w:t>
      </w:r>
    </w:p>
    <w:p>
      <w:pPr>
        <w:pStyle w:val="15"/>
        <w:tabs>
          <w:tab w:val="right" w:leader="dot" w:pos="9062"/>
        </w:tabs>
        <w:textAlignment w:val="baseline"/>
        <w:rPr>
          <w:rFonts w:asciiTheme="minorEastAsia" w:hAnsiTheme="minorEastAsia" w:eastAsiaTheme="minorEastAsia" w:cstheme="minorEastAsia"/>
          <w:b w:val="0"/>
          <w:bCs w:val="0"/>
          <w:caps w:val="0"/>
          <w:sz w:val="32"/>
          <w:szCs w:val="32"/>
        </w:rPr>
      </w:pPr>
      <w:r>
        <w:fldChar w:fldCharType="begin"/>
      </w:r>
      <w:r>
        <w:instrText xml:space="preserve"> HYPERLINK \l "_Toc36811842" </w:instrText>
      </w:r>
      <w:r>
        <w:fldChar w:fldCharType="separate"/>
      </w:r>
      <w:r>
        <w:rPr>
          <w:rStyle w:val="33"/>
          <w:rFonts w:hint="eastAsia" w:asciiTheme="minorEastAsia" w:hAnsiTheme="minorEastAsia" w:eastAsiaTheme="minorEastAsia" w:cstheme="minorEastAsia"/>
          <w:b w:val="0"/>
          <w:bCs w:val="0"/>
          <w:color w:val="auto"/>
          <w:sz w:val="28"/>
          <w:szCs w:val="28"/>
        </w:rPr>
        <w:t>第五章磋商响应文件格式</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t>50</w:t>
      </w:r>
    </w:p>
    <w:p>
      <w:pPr>
        <w:textAlignment w:val="baseline"/>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
          <w:bCs/>
          <w:caps/>
          <w:sz w:val="56"/>
          <w:szCs w:val="56"/>
        </w:rPr>
        <w:fldChar w:fldCharType="end"/>
      </w:r>
    </w:p>
    <w:p>
      <w:pPr>
        <w:pStyle w:val="13"/>
        <w:spacing w:line="360" w:lineRule="auto"/>
        <w:ind w:firstLine="643" w:firstLineChars="200"/>
        <w:textAlignment w:val="baseline"/>
        <w:rPr>
          <w:rFonts w:asciiTheme="minorEastAsia" w:hAnsiTheme="minorEastAsia" w:eastAsiaTheme="minorEastAsia" w:cstheme="minorEastAsia"/>
          <w:b/>
          <w:bCs/>
          <w:sz w:val="32"/>
          <w:szCs w:val="32"/>
        </w:rPr>
      </w:pPr>
    </w:p>
    <w:p>
      <w:pPr>
        <w:spacing w:line="360" w:lineRule="auto"/>
        <w:ind w:left="482"/>
        <w:textAlignment w:val="baseline"/>
        <w:rPr>
          <w:rFonts w:asciiTheme="minorEastAsia" w:hAnsiTheme="minorEastAsia" w:eastAsiaTheme="minorEastAsia" w:cstheme="minorEastAsia"/>
          <w:b/>
          <w:bCs/>
          <w:sz w:val="24"/>
          <w:szCs w:val="24"/>
        </w:rPr>
        <w:sectPr>
          <w:headerReference r:id="rId5" w:type="default"/>
          <w:pgSz w:w="11907" w:h="16840"/>
          <w:pgMar w:top="1440" w:right="1800" w:bottom="1440" w:left="1800" w:header="851" w:footer="992" w:gutter="0"/>
          <w:cols w:space="720" w:num="1"/>
          <w:docGrid w:type="lines" w:linePitch="323" w:charSpace="0"/>
        </w:sectPr>
      </w:pPr>
    </w:p>
    <w:p>
      <w:pPr>
        <w:pStyle w:val="6"/>
        <w:jc w:val="center"/>
        <w:textAlignment w:val="baseline"/>
        <w:rPr>
          <w:rFonts w:asciiTheme="minorEastAsia" w:hAnsiTheme="minorEastAsia" w:eastAsiaTheme="minorEastAsia" w:cstheme="minorEastAsia"/>
        </w:rPr>
      </w:pPr>
      <w:bookmarkStart w:id="0" w:name="_Toc36811825"/>
    </w:p>
    <w:p>
      <w:pPr>
        <w:pStyle w:val="6"/>
        <w:jc w:val="center"/>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第一章竞争性磋商邀请</w:t>
      </w:r>
      <w:bookmarkEnd w:id="0"/>
    </w:p>
    <w:p>
      <w:pPr>
        <w:pStyle w:val="7"/>
        <w:spacing w:line="360" w:lineRule="auto"/>
        <w:ind w:left="0" w:firstLine="0"/>
        <w:jc w:val="center"/>
        <w:textAlignment w:val="baseline"/>
        <w:rPr>
          <w:rFonts w:asciiTheme="minorEastAsia" w:hAnsiTheme="minorEastAsia" w:eastAsiaTheme="minorEastAsia" w:cstheme="minorEastAsia"/>
          <w:sz w:val="28"/>
          <w:szCs w:val="28"/>
        </w:rPr>
      </w:pPr>
      <w:bookmarkStart w:id="1" w:name="_Toc36811826"/>
      <w:r>
        <w:rPr>
          <w:rFonts w:hint="eastAsia" w:asciiTheme="minorEastAsia" w:hAnsiTheme="minorEastAsia" w:eastAsiaTheme="minorEastAsia" w:cstheme="minorEastAsia"/>
          <w:sz w:val="28"/>
          <w:szCs w:val="28"/>
        </w:rPr>
        <w:t>一、竞争性磋商邀请</w:t>
      </w:r>
      <w:bookmarkEnd w:id="1"/>
    </w:p>
    <w:p>
      <w:pPr>
        <w:pStyle w:val="11"/>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受采购人委托，对本项目的下述货物（服务、工程）进行国内竞争性磋商采购，现欢迎国内合格的磋商供应商前来参与。</w:t>
      </w:r>
    </w:p>
    <w:p>
      <w:pPr>
        <w:numPr>
          <w:ilvl w:val="0"/>
          <w:numId w:val="1"/>
        </w:num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项目编号：LCCQCGCS2023002</w:t>
      </w:r>
    </w:p>
    <w:p>
      <w:pPr>
        <w:spacing w:line="360" w:lineRule="auto"/>
        <w:ind w:firstLine="480" w:firstLineChars="200"/>
        <w:textAlignment w:val="baseline"/>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14"/>
          <w:sz w:val="24"/>
          <w:szCs w:val="24"/>
        </w:rPr>
        <w:t>货物(服务)名称、数量及主要技术规格：见后</w:t>
      </w:r>
      <w:r>
        <w:rPr>
          <w:rFonts w:hint="eastAsia" w:asciiTheme="minorEastAsia" w:hAnsiTheme="minorEastAsia" w:eastAsiaTheme="minorEastAsia" w:cstheme="minorEastAsia"/>
          <w:sz w:val="24"/>
          <w:szCs w:val="24"/>
        </w:rPr>
        <w:t>附磋商货物(服务)一览表</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须报名，自招标公告发布之日起，供应商可直接在连城产权交易网（http://www.lcxcqjy.com/）、龙岩市公共资源交易中心（https://ggzy.longyan.gov.cn/lyztb/）公布的招标公告中查看并下载招标文件，投标人制作的投标文件在接受投标文件的时间内递交至开标地点。</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4、递交响应文件（含相关原件）地点、开始及截止时间：</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响应文件递交地点：龙岩市万宝广场龙岩市公共资源交易中心交易厅。</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响应文件递交截止时间：</w:t>
      </w:r>
      <w:r>
        <w:rPr>
          <w:rFonts w:hint="eastAsia" w:asciiTheme="minorEastAsia" w:hAnsiTheme="minorEastAsia" w:eastAsiaTheme="minorEastAsia" w:cstheme="minorEastAsia"/>
          <w:sz w:val="24"/>
          <w:szCs w:val="24"/>
          <w:u w:val="single" w:color="000000"/>
        </w:rPr>
        <w:t>详见采购公告或更正公告（若有），若不一致，以更正公告（若有）为准，逾期收到的或不符合规定的投标文件将被拒绝。投标截止时间以接受投标文件地点时钟显示的时间为准。</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逾期收到的或不符合规定的响应文件将被拒绝。投标截止时间以接受投标文件地点时钟显示的时间为准。</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5、响应文件开启时间、地点:</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color="000000"/>
        </w:rPr>
        <w:t>详见采购公告或更正公告（若有），若不一致，以更正公告（若有）为准</w:t>
      </w:r>
      <w:r>
        <w:rPr>
          <w:rFonts w:hint="eastAsia" w:asciiTheme="minorEastAsia" w:hAnsiTheme="minorEastAsia" w:eastAsiaTheme="minorEastAsia" w:cstheme="minorEastAsia"/>
          <w:sz w:val="24"/>
          <w:szCs w:val="24"/>
        </w:rPr>
        <w:t>；</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地点：龙岩市万宝广场龙岩市公共资源交易中心交易厅。</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6、供应商对本次采购活动事项提出疑问的，请在采购会截止时间3个工作日之前,以信函或传真的形式与代理机构联系。</w:t>
      </w:r>
    </w:p>
    <w:p>
      <w:pPr>
        <w:spacing w:line="360" w:lineRule="auto"/>
        <w:ind w:firstLine="480" w:firstLineChars="20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bCs/>
          <w:sz w:val="24"/>
        </w:rPr>
        <w:t>以上如有变更，[招标代理机构]会通过连城产权交易网（http://www.lcxcqjy.com/）、龙岩市公共资源交易中心（https://ggzy.longyan.gov.cn/lyztb/）通知，请投标人关注。</w:t>
      </w:r>
    </w:p>
    <w:p>
      <w:pPr>
        <w:spacing w:line="360" w:lineRule="auto"/>
        <w:ind w:firstLine="480" w:firstLineChars="20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8、采购单位：连城县天友建设工程有限公司</w:t>
      </w:r>
    </w:p>
    <w:p>
      <w:pPr>
        <w:spacing w:line="360" w:lineRule="auto"/>
        <w:ind w:firstLine="480" w:firstLineChars="20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联系人：黄先生       电话：15059065200 </w:t>
      </w:r>
    </w:p>
    <w:p>
      <w:pPr>
        <w:spacing w:line="360" w:lineRule="auto"/>
        <w:ind w:firstLine="480" w:firstLineChars="20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地址：福建省龙岩市连城县宣和乡新曹村付家墙路1－2号   邮编：366200</w:t>
      </w:r>
    </w:p>
    <w:p>
      <w:pPr>
        <w:spacing w:line="360" w:lineRule="auto"/>
        <w:ind w:firstLine="480" w:firstLineChars="20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8、招标代理机构：连城县国有资产产权交易服务有限公司</w:t>
      </w:r>
    </w:p>
    <w:p>
      <w:pPr>
        <w:spacing w:line="360" w:lineRule="auto"/>
        <w:ind w:firstLine="480" w:firstLineChars="20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地址：福建省龙岩市连城县莲峰镇李彭村彭坊桥路1号4层</w:t>
      </w:r>
    </w:p>
    <w:p>
      <w:pPr>
        <w:spacing w:line="360" w:lineRule="auto"/>
        <w:ind w:firstLine="480" w:firstLineChars="20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项目联系人：谢女士</w:t>
      </w:r>
    </w:p>
    <w:p>
      <w:pPr>
        <w:spacing w:line="360" w:lineRule="auto"/>
        <w:ind w:firstLine="480" w:firstLineChars="20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电话：18039848961</w:t>
      </w:r>
    </w:p>
    <w:p>
      <w:pPr>
        <w:pStyle w:val="2"/>
        <w:rPr>
          <w:rFonts w:asciiTheme="minorEastAsia" w:hAnsiTheme="minorEastAsia" w:eastAsiaTheme="minorEastAsia" w:cstheme="minorEastAsia"/>
          <w:bCs/>
        </w:rPr>
      </w:pPr>
    </w:p>
    <w:p>
      <w:pPr>
        <w:pStyle w:val="3"/>
        <w:rPr>
          <w:rFonts w:asciiTheme="minorEastAsia" w:hAnsiTheme="minorEastAsia" w:eastAsiaTheme="minorEastAsia" w:cstheme="minorEastAsia"/>
          <w:bCs/>
          <w:sz w:val="24"/>
        </w:rPr>
      </w:pP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附：竞争性磋商</w:t>
      </w:r>
      <w:r>
        <w:rPr>
          <w:rFonts w:hint="eastAsia" w:asciiTheme="minorEastAsia" w:hAnsiTheme="minorEastAsia" w:eastAsiaTheme="minorEastAsia" w:cstheme="minorEastAsia"/>
        </w:rPr>
        <w:t>货物（服务）</w:t>
      </w:r>
      <w:r>
        <w:rPr>
          <w:rFonts w:hint="eastAsia" w:asciiTheme="minorEastAsia" w:hAnsiTheme="minorEastAsia" w:eastAsiaTheme="minorEastAsia" w:cstheme="minorEastAsia"/>
          <w:sz w:val="24"/>
          <w:szCs w:val="24"/>
        </w:rPr>
        <w:t>一览表</w:t>
      </w:r>
    </w:p>
    <w:p>
      <w:pPr>
        <w:pStyle w:val="7"/>
        <w:spacing w:line="360" w:lineRule="auto"/>
        <w:ind w:left="0" w:firstLine="0"/>
        <w:jc w:val="center"/>
        <w:textAlignment w:val="baseline"/>
        <w:rPr>
          <w:rFonts w:asciiTheme="minorEastAsia" w:hAnsiTheme="minorEastAsia" w:eastAsiaTheme="minorEastAsia" w:cstheme="minorEastAsia"/>
          <w:sz w:val="28"/>
          <w:szCs w:val="28"/>
        </w:rPr>
      </w:pPr>
      <w:bookmarkStart w:id="2" w:name="_Toc36811827"/>
      <w:r>
        <w:rPr>
          <w:rFonts w:hint="eastAsia" w:asciiTheme="minorEastAsia" w:hAnsiTheme="minorEastAsia" w:eastAsiaTheme="minorEastAsia" w:cstheme="minorEastAsia"/>
          <w:sz w:val="28"/>
          <w:szCs w:val="28"/>
        </w:rPr>
        <w:t>二、竞争性磋商货物（服务）一览表</w:t>
      </w:r>
      <w:bookmarkEnd w:id="2"/>
    </w:p>
    <w:tbl>
      <w:tblPr>
        <w:tblStyle w:val="21"/>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26"/>
        <w:gridCol w:w="1560"/>
        <w:gridCol w:w="2268"/>
        <w:gridCol w:w="1275"/>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794" w:type="dxa"/>
            <w:vAlign w:val="center"/>
          </w:tcPr>
          <w:p>
            <w:pPr>
              <w:spacing w:line="500" w:lineRule="exact"/>
              <w:ind w:left="-65" w:leftChars="-31" w:right="-107" w:rightChars="-5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合同包</w:t>
            </w:r>
          </w:p>
        </w:tc>
        <w:tc>
          <w:tcPr>
            <w:tcW w:w="2126" w:type="dxa"/>
            <w:vAlign w:val="center"/>
          </w:tcPr>
          <w:p>
            <w:pPr>
              <w:spacing w:line="500" w:lineRule="exact"/>
              <w:ind w:left="-65" w:leftChars="-31" w:right="-107" w:rightChars="-5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1560"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技术和服务要求</w:t>
            </w:r>
          </w:p>
        </w:tc>
        <w:tc>
          <w:tcPr>
            <w:tcW w:w="2268"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交付时间</w:t>
            </w:r>
          </w:p>
        </w:tc>
        <w:tc>
          <w:tcPr>
            <w:tcW w:w="1275"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预算金额（元）</w:t>
            </w:r>
          </w:p>
        </w:tc>
        <w:tc>
          <w:tcPr>
            <w:tcW w:w="1444"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794" w:type="dxa"/>
            <w:vAlign w:val="center"/>
          </w:tcPr>
          <w:p>
            <w:pPr>
              <w:widowControl/>
              <w:spacing w:line="500" w:lineRule="exact"/>
              <w:jc w:val="center"/>
              <w:textAlignment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w:t>
            </w:r>
          </w:p>
        </w:tc>
        <w:tc>
          <w:tcPr>
            <w:tcW w:w="2126" w:type="dxa"/>
            <w:vAlign w:val="center"/>
          </w:tcPr>
          <w:p>
            <w:pPr>
              <w:spacing w:line="5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连城县南前花园小区标志标线及配套工程（智慧小区专业技术分项）服务类采购项目</w:t>
            </w:r>
          </w:p>
        </w:tc>
        <w:tc>
          <w:tcPr>
            <w:tcW w:w="1560"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详见竞争性磋商文件第三章招标内容及要求</w:t>
            </w:r>
          </w:p>
        </w:tc>
        <w:tc>
          <w:tcPr>
            <w:tcW w:w="2268"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合同签订后(30)天内交货并完成安装 </w:t>
            </w:r>
          </w:p>
        </w:tc>
        <w:tc>
          <w:tcPr>
            <w:tcW w:w="1275"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1378365</w:t>
            </w:r>
          </w:p>
        </w:tc>
        <w:tc>
          <w:tcPr>
            <w:tcW w:w="1444"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13000</w:t>
            </w:r>
          </w:p>
        </w:tc>
      </w:tr>
    </w:tbl>
    <w:p>
      <w:pPr>
        <w:pStyle w:val="13"/>
        <w:tabs>
          <w:tab w:val="left" w:pos="8360"/>
        </w:tabs>
        <w:spacing w:line="360" w:lineRule="auto"/>
        <w:ind w:firstLine="480" w:firstLineChars="200"/>
        <w:jc w:val="left"/>
        <w:textAlignment w:val="baseline"/>
        <w:rPr>
          <w:rFonts w:asciiTheme="minorEastAsia" w:hAnsiTheme="minorEastAsia" w:eastAsiaTheme="minorEastAsia" w:cstheme="minorEastAsia"/>
          <w:sz w:val="24"/>
          <w:szCs w:val="24"/>
        </w:rPr>
      </w:pPr>
    </w:p>
    <w:p>
      <w:pPr>
        <w:pStyle w:val="13"/>
        <w:tabs>
          <w:tab w:val="left" w:pos="8360"/>
        </w:tabs>
        <w:spacing w:line="360" w:lineRule="auto"/>
        <w:ind w:firstLine="480" w:firstLineChars="200"/>
        <w:jc w:val="left"/>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spacing w:line="500" w:lineRule="exact"/>
        <w:ind w:firstLine="482" w:firstLineChars="200"/>
        <w:textAlignment w:val="baseline"/>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 xml:space="preserve"> 1、供应商按合同包投标，对同一合同包内所有品目号内容投标时必须完整。评标与授标以合同包为单位。</w:t>
      </w:r>
    </w:p>
    <w:p>
      <w:pPr>
        <w:spacing w:line="500" w:lineRule="exact"/>
        <w:ind w:firstLine="482" w:firstLineChars="200"/>
        <w:textAlignment w:val="baseline"/>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2、供应商应以包括项目所涉及的有关项目的所有费用进行报价。</w:t>
      </w:r>
    </w:p>
    <w:p>
      <w:pPr>
        <w:pStyle w:val="19"/>
        <w:spacing w:after="0" w:line="500" w:lineRule="exact"/>
        <w:ind w:firstLine="241"/>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rPr>
        <w:t xml:space="preserve">  3、</w:t>
      </w:r>
      <w:r>
        <w:rPr>
          <w:rFonts w:hint="eastAsia" w:asciiTheme="minorEastAsia" w:hAnsiTheme="minorEastAsia" w:eastAsiaTheme="minorEastAsia" w:cstheme="minorEastAsia"/>
          <w:b/>
          <w:sz w:val="24"/>
        </w:rPr>
        <w:t>超过项目预算金额的报价为无效报价。</w:t>
      </w:r>
    </w:p>
    <w:p>
      <w:pPr>
        <w:pStyle w:val="19"/>
        <w:spacing w:after="0" w:line="500" w:lineRule="exact"/>
        <w:ind w:firstLine="482" w:firstLineChars="200"/>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bCs/>
          <w:sz w:val="24"/>
        </w:rPr>
        <w:t>4、成交人不得转包他人，若发现转包，采购人有权终止合同。</w:t>
      </w:r>
      <w:r>
        <w:rPr>
          <w:rFonts w:hint="eastAsia" w:asciiTheme="minorEastAsia" w:hAnsiTheme="minorEastAsia" w:eastAsiaTheme="minorEastAsia" w:cstheme="minorEastAsia"/>
          <w:kern w:val="0"/>
          <w:sz w:val="24"/>
        </w:rPr>
        <w:t xml:space="preserve">  </w:t>
      </w:r>
    </w:p>
    <w:p>
      <w:pPr>
        <w:spacing w:line="500" w:lineRule="exact"/>
        <w:ind w:firstLine="482"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rPr>
        <w:t>5、竞争性磋商范围：详见采购文件第三章。</w:t>
      </w:r>
    </w:p>
    <w:p>
      <w:pPr>
        <w:spacing w:line="360" w:lineRule="auto"/>
        <w:jc w:val="center"/>
        <w:textAlignment w:val="baseline"/>
        <w:rPr>
          <w:rFonts w:asciiTheme="minorEastAsia" w:hAnsiTheme="minorEastAsia" w:eastAsiaTheme="minorEastAsia" w:cstheme="minorEastAsia"/>
          <w:b/>
          <w:bCs/>
          <w:sz w:val="24"/>
          <w:szCs w:val="24"/>
        </w:rPr>
        <w:sectPr>
          <w:pgSz w:w="11907" w:h="16840"/>
          <w:pgMar w:top="1440" w:right="1800" w:bottom="1440" w:left="1800" w:header="851" w:footer="992" w:gutter="0"/>
          <w:cols w:space="720" w:num="1"/>
          <w:docGrid w:type="lines" w:linePitch="323" w:charSpace="0"/>
        </w:sectPr>
      </w:pPr>
    </w:p>
    <w:p>
      <w:pPr>
        <w:pStyle w:val="6"/>
        <w:jc w:val="center"/>
        <w:textAlignment w:val="baseline"/>
        <w:rPr>
          <w:rFonts w:asciiTheme="minorEastAsia" w:hAnsiTheme="minorEastAsia" w:eastAsiaTheme="minorEastAsia" w:cstheme="minorEastAsia"/>
        </w:rPr>
      </w:pPr>
      <w:bookmarkStart w:id="3" w:name="_Toc36811828"/>
      <w:r>
        <w:rPr>
          <w:rFonts w:hint="eastAsia" w:asciiTheme="minorEastAsia" w:hAnsiTheme="minorEastAsia" w:eastAsiaTheme="minorEastAsia" w:cstheme="minorEastAsia"/>
        </w:rPr>
        <w:t>第二章供应商须知</w:t>
      </w:r>
      <w:bookmarkEnd w:id="3"/>
    </w:p>
    <w:p>
      <w:pPr>
        <w:pStyle w:val="7"/>
        <w:jc w:val="center"/>
        <w:textAlignment w:val="baseline"/>
        <w:rPr>
          <w:rFonts w:asciiTheme="minorEastAsia" w:hAnsiTheme="minorEastAsia" w:eastAsiaTheme="minorEastAsia" w:cstheme="minorEastAsia"/>
          <w:sz w:val="32"/>
          <w:szCs w:val="32"/>
        </w:rPr>
      </w:pPr>
      <w:bookmarkStart w:id="4" w:name="_Toc36811829"/>
      <w:r>
        <w:rPr>
          <w:rFonts w:hint="eastAsia" w:asciiTheme="minorEastAsia" w:hAnsiTheme="minorEastAsia" w:eastAsiaTheme="minorEastAsia" w:cstheme="minorEastAsia"/>
        </w:rPr>
        <w:t>供应商须知前附表</w:t>
      </w:r>
      <w:bookmarkEnd w:id="4"/>
    </w:p>
    <w:p>
      <w:pPr>
        <w:spacing w:line="360" w:lineRule="auto"/>
        <w:ind w:firstLine="480" w:firstLineChars="200"/>
        <w:jc w:val="center"/>
        <w:textAlignment w:val="baseline"/>
        <w:rPr>
          <w:rFonts w:asciiTheme="minorEastAsia" w:hAnsiTheme="minorEastAsia" w:eastAsiaTheme="minorEastAsia" w:cstheme="minorEastAsia"/>
          <w:sz w:val="24"/>
          <w:szCs w:val="24"/>
        </w:rPr>
      </w:pP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本须知前附表的条款号是与《供应商须知》中条款的项号相对应的，如果不一致的话，应以本须知前附表为准。</w:t>
      </w:r>
    </w:p>
    <w:tbl>
      <w:tblPr>
        <w:tblStyle w:val="21"/>
        <w:tblW w:w="92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96"/>
        <w:gridCol w:w="8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6" w:type="dxa"/>
            <w:noWrap/>
            <w:vAlign w:val="center"/>
          </w:tcPr>
          <w:p>
            <w:pPr>
              <w:spacing w:line="360" w:lineRule="auto"/>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项号</w:t>
            </w:r>
          </w:p>
        </w:tc>
        <w:tc>
          <w:tcPr>
            <w:tcW w:w="696" w:type="dxa"/>
            <w:noWrap/>
            <w:vAlign w:val="center"/>
          </w:tcPr>
          <w:p>
            <w:pPr>
              <w:spacing w:line="360" w:lineRule="auto"/>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条款号</w:t>
            </w:r>
          </w:p>
        </w:tc>
        <w:tc>
          <w:tcPr>
            <w:tcW w:w="8136" w:type="dxa"/>
            <w:noWrap/>
            <w:vAlign w:val="center"/>
          </w:tcPr>
          <w:p>
            <w:pPr>
              <w:spacing w:line="360" w:lineRule="auto"/>
              <w:ind w:firstLine="480" w:firstLineChars="200"/>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6" w:type="dxa"/>
            <w:noWrap/>
            <w:vAlign w:val="center"/>
          </w:tcPr>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96" w:type="dxa"/>
            <w:noWrap/>
            <w:vAlign w:val="center"/>
          </w:tcPr>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8136" w:type="dxa"/>
            <w:noWrap/>
            <w:vAlign w:val="center"/>
          </w:tcPr>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项目名称：连城县南前花园小区标志标线及配套工程（智慧小区专业技术分项）服务类采购项目</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采购人名称：连城县天友建设工程有限公司</w:t>
            </w:r>
          </w:p>
          <w:p>
            <w:pPr>
              <w:pStyle w:val="13"/>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项目编号：LCCQCGCS2023002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noWrap/>
            <w:vAlign w:val="center"/>
          </w:tcPr>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96" w:type="dxa"/>
            <w:noWrap/>
            <w:vAlign w:val="center"/>
          </w:tcPr>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8136" w:type="dxa"/>
            <w:noWrap/>
            <w:vAlign w:val="center"/>
          </w:tcPr>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资格标准：见第二章第12.1条。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6" w:type="dxa"/>
            <w:noWrap/>
            <w:vAlign w:val="center"/>
          </w:tcPr>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696" w:type="dxa"/>
            <w:noWrap/>
            <w:vAlign w:val="center"/>
          </w:tcPr>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p>
        </w:tc>
        <w:tc>
          <w:tcPr>
            <w:tcW w:w="8136" w:type="dxa"/>
            <w:noWrap/>
            <w:vAlign w:val="center"/>
          </w:tcPr>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竞争性磋商响应有效期：递交竞争性磋商响应文件截止期结束后</w:t>
            </w:r>
            <w:r>
              <w:rPr>
                <w:rFonts w:hint="eastAsia" w:asciiTheme="minorEastAsia" w:hAnsiTheme="minorEastAsia" w:eastAsiaTheme="minorEastAsia" w:cstheme="minorEastAsia"/>
                <w:sz w:val="24"/>
                <w:szCs w:val="24"/>
                <w:u w:val="single" w:color="000000"/>
              </w:rPr>
              <w:t>30个</w:t>
            </w:r>
            <w:r>
              <w:rPr>
                <w:rFonts w:hint="eastAsia" w:asciiTheme="minorEastAsia" w:hAnsiTheme="minorEastAsia" w:eastAsiaTheme="minorEastAsia" w:cstheme="minorEastAsia"/>
                <w:sz w:val="24"/>
                <w:szCs w:val="24"/>
              </w:rPr>
              <w:t>日历天。</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有效期不足将导致其竞争性磋商响应文件被拒绝。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6" w:type="dxa"/>
            <w:noWrap/>
            <w:vAlign w:val="center"/>
          </w:tcPr>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696" w:type="dxa"/>
            <w:noWrap/>
            <w:vAlign w:val="center"/>
          </w:tcPr>
          <w:p>
            <w:pPr>
              <w:spacing w:line="360" w:lineRule="auto"/>
              <w:ind w:firstLine="480" w:firstLineChars="200"/>
              <w:textAlignment w:val="baseline"/>
              <w:rPr>
                <w:rFonts w:asciiTheme="minorEastAsia" w:hAnsiTheme="minorEastAsia" w:eastAsiaTheme="minorEastAsia" w:cstheme="minorEastAsia"/>
                <w:sz w:val="24"/>
                <w:szCs w:val="24"/>
              </w:rPr>
            </w:pPr>
          </w:p>
        </w:tc>
        <w:tc>
          <w:tcPr>
            <w:tcW w:w="8136" w:type="dxa"/>
            <w:noWrap/>
            <w:vAlign w:val="center"/>
          </w:tcPr>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接受响应文件开始时间：</w:t>
            </w:r>
            <w:r>
              <w:rPr>
                <w:rFonts w:hint="eastAsia" w:asciiTheme="minorEastAsia" w:hAnsiTheme="minorEastAsia" w:eastAsiaTheme="minorEastAsia" w:cstheme="minorEastAsia"/>
                <w:sz w:val="24"/>
                <w:szCs w:val="24"/>
                <w:u w:val="single" w:color="000000"/>
              </w:rPr>
              <w:t>详见采购公告或更正公告（若有），若不一致，以更正公告（若有）为准</w:t>
            </w:r>
            <w:r>
              <w:rPr>
                <w:rFonts w:hint="eastAsia" w:asciiTheme="minorEastAsia" w:hAnsiTheme="minorEastAsia" w:eastAsiaTheme="minorEastAsia" w:cstheme="minorEastAsia"/>
                <w:sz w:val="24"/>
                <w:szCs w:val="24"/>
              </w:rPr>
              <w:t>（以开标地时间为准）</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响应文件递交截止时间：</w:t>
            </w:r>
            <w:r>
              <w:rPr>
                <w:rFonts w:hint="eastAsia" w:asciiTheme="minorEastAsia" w:hAnsiTheme="minorEastAsia" w:eastAsiaTheme="minorEastAsia" w:cstheme="minorEastAsia"/>
                <w:sz w:val="24"/>
                <w:szCs w:val="24"/>
                <w:u w:val="single" w:color="000000"/>
              </w:rPr>
              <w:t>详见采购公告或更正公告（若有），若不一致，以更正公告（若有）为准</w:t>
            </w:r>
            <w:r>
              <w:rPr>
                <w:rFonts w:hint="eastAsia" w:asciiTheme="minorEastAsia" w:hAnsiTheme="minorEastAsia" w:eastAsiaTheme="minorEastAsia" w:cstheme="minorEastAsia"/>
                <w:sz w:val="24"/>
                <w:szCs w:val="24"/>
              </w:rPr>
              <w:t>（以开标地时间为准）</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接收人：连城县国有资产产权交易服务有限公司职工。</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响应文件递交地址：龙岩市新罗区龙岩大道388号万宝广场B地块B楼交易厅。</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w:t>
            </w:r>
            <w:r>
              <w:rPr>
                <w:rFonts w:hint="eastAsia" w:asciiTheme="minorEastAsia" w:hAnsiTheme="minorEastAsia" w:eastAsiaTheme="minorEastAsia" w:cstheme="minorEastAsia"/>
                <w:sz w:val="24"/>
                <w:szCs w:val="24"/>
                <w:u w:val="single" w:color="000000"/>
              </w:rPr>
              <w:t>详见采购公告或更正公告（若有），若不一致，以更正公告（若有）为准</w:t>
            </w:r>
            <w:r>
              <w:rPr>
                <w:rFonts w:hint="eastAsia" w:asciiTheme="minorEastAsia" w:hAnsiTheme="minorEastAsia" w:eastAsiaTheme="minorEastAsia" w:cstheme="minorEastAsia"/>
                <w:sz w:val="24"/>
                <w:szCs w:val="24"/>
              </w:rPr>
              <w:t>；</w:t>
            </w:r>
          </w:p>
          <w:p>
            <w:pPr>
              <w:spacing w:line="360" w:lineRule="auto"/>
              <w:ind w:firstLine="480" w:firstLineChars="200"/>
              <w:textAlignment w:val="baseline"/>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开标地点：龙岩市新罗区龙岩大道388号万宝广场B地块B楼交易厅。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6" w:type="dxa"/>
            <w:noWrap/>
            <w:vAlign w:val="center"/>
          </w:tcPr>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696" w:type="dxa"/>
            <w:noWrap/>
            <w:vAlign w:val="center"/>
          </w:tcPr>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8136" w:type="dxa"/>
            <w:noWrap/>
            <w:vAlign w:val="center"/>
          </w:tcPr>
          <w:p>
            <w:pPr>
              <w:spacing w:line="360" w:lineRule="auto"/>
              <w:ind w:firstLine="480" w:firstLineChars="200"/>
              <w:textAlignment w:val="baseline"/>
              <w:rPr>
                <w:rFonts w:ascii="宋体" w:hAnsi="宋体"/>
                <w:sz w:val="24"/>
              </w:rPr>
            </w:pPr>
            <w:r>
              <w:rPr>
                <w:rFonts w:hint="eastAsia" w:ascii="宋体" w:hAnsi="宋体"/>
                <w:b/>
                <w:bCs/>
                <w:sz w:val="24"/>
              </w:rPr>
              <w:t>竞争性磋商保证金</w:t>
            </w:r>
            <w:r>
              <w:rPr>
                <w:rFonts w:hint="eastAsia" w:ascii="宋体" w:hAnsi="宋体"/>
                <w:sz w:val="24"/>
              </w:rPr>
              <w:t>:13000元。从磋商供应商银行账户(若为磋商供应商分公司或总公司缴纳的，均视同有效)以电汇或转账方式，于响应文件递交截止时间前缴至以下账户（以到账为准，账号详见采购公告）。注：转账时请备注项目编号+竞争性磋商保证金。履约保证金要求详见采购文件第三章。</w:t>
            </w:r>
          </w:p>
          <w:p>
            <w:pPr>
              <w:spacing w:line="360" w:lineRule="auto"/>
              <w:ind w:firstLine="480" w:firstLineChars="200"/>
              <w:rPr>
                <w:rFonts w:ascii="宋体" w:hAnsi="宋体"/>
                <w:sz w:val="24"/>
              </w:rPr>
            </w:pPr>
            <w:r>
              <w:rPr>
                <w:rFonts w:hint="eastAsia" w:ascii="宋体" w:hAnsi="宋体"/>
                <w:sz w:val="24"/>
              </w:rPr>
              <w:t>2、缴纳投标保证金银行账号：</w:t>
            </w:r>
          </w:p>
          <w:p>
            <w:pPr>
              <w:spacing w:line="360" w:lineRule="auto"/>
              <w:ind w:firstLine="480" w:firstLineChars="200"/>
              <w:rPr>
                <w:rFonts w:ascii="宋体" w:hAnsi="宋体"/>
                <w:sz w:val="24"/>
              </w:rPr>
            </w:pPr>
            <w:r>
              <w:rPr>
                <w:rFonts w:hint="eastAsia" w:ascii="宋体" w:hAnsi="宋体"/>
                <w:sz w:val="24"/>
              </w:rPr>
              <w:t>开户银行：</w:t>
            </w:r>
            <w:r>
              <w:rPr>
                <w:rFonts w:ascii="宋体" w:hAnsi="宋体"/>
                <w:sz w:val="24"/>
              </w:rPr>
              <w:t>兴业银行龙岩分行营业部</w:t>
            </w:r>
            <w:r>
              <w:rPr>
                <w:rFonts w:hint="eastAsia" w:ascii="宋体" w:hAnsi="宋体"/>
                <w:sz w:val="24"/>
              </w:rPr>
              <w:t>/</w:t>
            </w:r>
            <w:r>
              <w:rPr>
                <w:rFonts w:ascii="宋体" w:hAnsi="宋体"/>
                <w:sz w:val="24"/>
              </w:rPr>
              <w:t>建行龙岩分行营业部</w:t>
            </w:r>
          </w:p>
          <w:p>
            <w:pPr>
              <w:spacing w:line="360" w:lineRule="auto"/>
              <w:ind w:firstLine="480" w:firstLineChars="200"/>
              <w:rPr>
                <w:rFonts w:ascii="宋体" w:hAnsi="宋体"/>
                <w:sz w:val="24"/>
              </w:rPr>
            </w:pPr>
            <w:r>
              <w:rPr>
                <w:rFonts w:hint="eastAsia" w:ascii="宋体" w:hAnsi="宋体"/>
                <w:sz w:val="24"/>
              </w:rPr>
              <w:t>账户名称：</w:t>
            </w:r>
            <w:r>
              <w:rPr>
                <w:rFonts w:ascii="宋体" w:hAnsi="宋体"/>
                <w:sz w:val="24"/>
              </w:rPr>
              <w:t>龙岩市公共资源交易中心有限公司</w:t>
            </w:r>
          </w:p>
          <w:p>
            <w:pPr>
              <w:pStyle w:val="2"/>
              <w:ind w:firstLine="480" w:firstLineChars="200"/>
              <w:rPr>
                <w:rFonts w:ascii="宋体" w:hAnsi="宋体"/>
                <w:szCs w:val="21"/>
              </w:rPr>
            </w:pPr>
            <w:r>
              <w:rPr>
                <w:rFonts w:hint="eastAsia" w:ascii="宋体" w:hAnsi="宋体"/>
                <w:szCs w:val="21"/>
              </w:rPr>
              <w:t>账 号：</w:t>
            </w:r>
            <w:r>
              <w:rPr>
                <w:rFonts w:ascii="宋体" w:hAnsi="宋体"/>
                <w:szCs w:val="21"/>
              </w:rPr>
              <w:t>171100100100427725018810</w:t>
            </w:r>
            <w:r>
              <w:rPr>
                <w:rFonts w:hint="eastAsia" w:ascii="宋体" w:hAnsi="宋体"/>
                <w:szCs w:val="21"/>
              </w:rPr>
              <w:t>（</w:t>
            </w:r>
            <w:r>
              <w:rPr>
                <w:rFonts w:ascii="宋体" w:hAnsi="宋体"/>
                <w:szCs w:val="21"/>
              </w:rPr>
              <w:t>兴业银行</w:t>
            </w:r>
            <w:r>
              <w:rPr>
                <w:rFonts w:hint="eastAsia" w:ascii="宋体" w:hAnsi="宋体"/>
                <w:szCs w:val="21"/>
              </w:rPr>
              <w:t>）/</w:t>
            </w:r>
            <w:r>
              <w:rPr>
                <w:rFonts w:ascii="宋体" w:hAnsi="宋体"/>
                <w:szCs w:val="21"/>
              </w:rPr>
              <w:t>6232811880000030889</w:t>
            </w:r>
            <w:r>
              <w:rPr>
                <w:rFonts w:hint="eastAsia" w:ascii="宋体" w:hAnsi="宋体"/>
                <w:szCs w:val="21"/>
              </w:rPr>
              <w:t>（</w:t>
            </w:r>
            <w:r>
              <w:rPr>
                <w:rFonts w:ascii="宋体" w:hAnsi="宋体"/>
                <w:szCs w:val="21"/>
              </w:rPr>
              <w:t>建行</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456" w:type="dxa"/>
            <w:noWrap/>
            <w:vAlign w:val="center"/>
          </w:tcPr>
          <w:p>
            <w:pPr>
              <w:spacing w:line="360" w:lineRule="auto"/>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696" w:type="dxa"/>
            <w:noWrap/>
            <w:vAlign w:val="center"/>
          </w:tcPr>
          <w:p>
            <w:pPr>
              <w:spacing w:line="360" w:lineRule="auto"/>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8136" w:type="dxa"/>
            <w:noWrap/>
            <w:vAlign w:val="center"/>
          </w:tcPr>
          <w:p>
            <w:pPr>
              <w:spacing w:line="360" w:lineRule="auto"/>
              <w:jc w:val="left"/>
              <w:textAlignment w:val="baseline"/>
              <w:rPr>
                <w:rFonts w:ascii="宋体" w:hAnsi="宋体"/>
                <w:sz w:val="24"/>
              </w:rPr>
            </w:pPr>
            <w:r>
              <w:rPr>
                <w:rFonts w:hint="eastAsia" w:ascii="宋体" w:hAnsi="宋体"/>
                <w:sz w:val="24"/>
              </w:rPr>
              <w:t>评审标准和方法：详见竞争性磋商文件。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456" w:type="dxa"/>
            <w:noWrap/>
            <w:vAlign w:val="center"/>
          </w:tcPr>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696" w:type="dxa"/>
            <w:noWrap/>
            <w:vAlign w:val="center"/>
          </w:tcPr>
          <w:p>
            <w:pPr>
              <w:spacing w:line="360" w:lineRule="auto"/>
              <w:ind w:firstLine="480" w:firstLineChars="200"/>
              <w:jc w:val="center"/>
              <w:textAlignment w:val="baseline"/>
              <w:rPr>
                <w:rFonts w:asciiTheme="minorEastAsia" w:hAnsiTheme="minorEastAsia" w:eastAsiaTheme="minorEastAsia" w:cstheme="minorEastAsia"/>
                <w:sz w:val="24"/>
                <w:szCs w:val="24"/>
              </w:rPr>
            </w:pPr>
          </w:p>
        </w:tc>
        <w:tc>
          <w:tcPr>
            <w:tcW w:w="8136" w:type="dxa"/>
            <w:noWrap/>
            <w:vAlign w:val="center"/>
          </w:tcPr>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其他要求：</w:t>
            </w:r>
          </w:p>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1、本项目不接受联合体投标。</w:t>
            </w:r>
          </w:p>
          <w:p>
            <w:pPr>
              <w:spacing w:line="360" w:lineRule="auto"/>
              <w:textAlignment w:val="baseline"/>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2、本项目不组织现场考察或召开磋商前答疑会。</w:t>
            </w:r>
          </w:p>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3、本项目招标代理服务费向成交人收取。</w:t>
            </w:r>
          </w:p>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招标代理服务费</w:t>
            </w:r>
            <w:r>
              <w:rPr>
                <w:rFonts w:hint="eastAsia" w:asciiTheme="minorEastAsia" w:hAnsiTheme="minorEastAsia" w:eastAsiaTheme="minorEastAsia" w:cstheme="minorEastAsia"/>
                <w:sz w:val="24"/>
                <w:szCs w:val="24"/>
              </w:rPr>
              <w:t>：1、本项目的招标代理服务费按下列标准向中标（成交）供应商收取（代理服务费不足5000元的统一按固定5000元的标准进行收取）。中标（成交）人须在结果公告发布后5个工作日内，将招标代理服务费缴至代理机构帐户。成交服务费按差额定率累进法计算。成交金额（万元）服务费比率：</w:t>
            </w:r>
          </w:p>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100万元以下       1.5％</w:t>
            </w:r>
          </w:p>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100万元—500万元  0.8％</w:t>
            </w:r>
          </w:p>
          <w:p>
            <w:pPr>
              <w:pStyle w:val="2"/>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开户银行：农业银行连城县支行</w:t>
            </w:r>
          </w:p>
          <w:p>
            <w:pPr>
              <w:pStyle w:val="2"/>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账户名称：连城县国有资产产权交易服务有限公司</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账 号：1377 0101 0400 18263</w:t>
            </w:r>
          </w:p>
          <w:p>
            <w:pPr>
              <w:widowControl/>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b/>
                <w:bCs/>
                <w:sz w:val="24"/>
                <w:szCs w:val="24"/>
              </w:rPr>
              <w:t>采购项目交易服务费：本项目的交易服务费</w:t>
            </w:r>
            <w:r>
              <w:rPr>
                <w:rFonts w:hint="eastAsia" w:asciiTheme="minorEastAsia" w:hAnsiTheme="minorEastAsia" w:eastAsiaTheme="minorEastAsia" w:cstheme="minorEastAsia"/>
                <w:sz w:val="24"/>
                <w:szCs w:val="24"/>
              </w:rPr>
              <w:t xml:space="preserve">以中标金额为基数按《龙岩市公共资源交易中心国土、采购、国有产权项目交易服务收费标准》由中标供应商向龙岩市公共资源交易中心缴交。须备注项目名称。场地交易费缴交账户如下： </w:t>
            </w:r>
          </w:p>
          <w:p>
            <w:pPr>
              <w:widowControl/>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开户名称：龙岩市公共资源交易中心有限公司</w:t>
            </w:r>
          </w:p>
          <w:p>
            <w:pPr>
              <w:widowControl/>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开户银行：建设银行龙岩分行</w:t>
            </w:r>
          </w:p>
          <w:p>
            <w:pPr>
              <w:pStyle w:val="3"/>
              <w:ind w:left="0"/>
            </w:pPr>
            <w:r>
              <w:rPr>
                <w:rFonts w:hint="eastAsia" w:asciiTheme="minorEastAsia" w:hAnsiTheme="minorEastAsia" w:eastAsiaTheme="minorEastAsia" w:cstheme="minorEastAsia"/>
                <w:kern w:val="2"/>
                <w:sz w:val="24"/>
                <w:szCs w:val="24"/>
              </w:rPr>
              <w:t>开户账号：35050169249000000155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456" w:type="dxa"/>
            <w:noWrap/>
            <w:vAlign w:val="center"/>
          </w:tcPr>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696" w:type="dxa"/>
            <w:noWrap/>
            <w:vAlign w:val="center"/>
          </w:tcPr>
          <w:p>
            <w:pPr>
              <w:spacing w:line="360" w:lineRule="auto"/>
              <w:ind w:firstLine="480" w:firstLineChars="200"/>
              <w:jc w:val="center"/>
              <w:textAlignment w:val="baseline"/>
              <w:rPr>
                <w:rFonts w:asciiTheme="minorEastAsia" w:hAnsiTheme="minorEastAsia" w:eastAsiaTheme="minorEastAsia" w:cstheme="minorEastAsia"/>
                <w:sz w:val="24"/>
                <w:szCs w:val="24"/>
              </w:rPr>
            </w:pPr>
          </w:p>
        </w:tc>
        <w:tc>
          <w:tcPr>
            <w:tcW w:w="8136" w:type="dxa"/>
            <w:noWrap/>
            <w:vAlign w:val="center"/>
          </w:tcPr>
          <w:p>
            <w:pPr>
              <w:spacing w:line="360" w:lineRule="auto"/>
              <w:ind w:firstLine="480" w:firstLineChars="200"/>
              <w:textAlignment w:val="baseline"/>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本项目预算价（最高控制价）为：1378365元（含税），超过最高控制价的为无效响应。</w:t>
            </w:r>
          </w:p>
          <w:p>
            <w:pPr>
              <w:spacing w:line="360" w:lineRule="auto"/>
              <w:ind w:firstLine="480" w:firstLineChars="200"/>
              <w:textAlignment w:val="baseline"/>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如施工过程中涉及工程量变更的，中标人应以签证单形式报采购人和监理单位确认之后进行结算。</w:t>
            </w:r>
          </w:p>
          <w:p>
            <w:pPr>
              <w:spacing w:line="360" w:lineRule="auto"/>
              <w:ind w:firstLine="480" w:firstLineChars="200"/>
              <w:textAlignment w:val="baseline"/>
              <w:rPr>
                <w:rFonts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b/>
                <w:bCs/>
                <w:sz w:val="24"/>
                <w:szCs w:val="24"/>
              </w:rPr>
              <w:t>合同结算价具体以本项目图审后的施工图纸、第三方机构或有权部门结算审核确认后的结算审核价为准。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456" w:type="dxa"/>
            <w:noWrap/>
            <w:vAlign w:val="center"/>
          </w:tcPr>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696" w:type="dxa"/>
            <w:noWrap/>
            <w:vAlign w:val="center"/>
          </w:tcPr>
          <w:p>
            <w:pPr>
              <w:spacing w:line="360" w:lineRule="auto"/>
              <w:ind w:firstLine="480" w:firstLineChars="200"/>
              <w:jc w:val="center"/>
              <w:textAlignment w:val="baseline"/>
              <w:rPr>
                <w:rFonts w:asciiTheme="minorEastAsia" w:hAnsiTheme="minorEastAsia" w:eastAsiaTheme="minorEastAsia" w:cstheme="minorEastAsia"/>
                <w:sz w:val="24"/>
                <w:szCs w:val="24"/>
              </w:rPr>
            </w:pPr>
          </w:p>
        </w:tc>
        <w:tc>
          <w:tcPr>
            <w:tcW w:w="8136" w:type="dxa"/>
            <w:noWrap/>
            <w:vAlign w:val="center"/>
          </w:tcPr>
          <w:p>
            <w:pPr>
              <w:spacing w:line="360" w:lineRule="auto"/>
              <w:jc w:val="left"/>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项目监督部门：福建连城国有投资集团有限公司</w:t>
            </w:r>
          </w:p>
          <w:p>
            <w:pPr>
              <w:spacing w:line="360" w:lineRule="auto"/>
              <w:jc w:val="left"/>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联系电话：0597-8920779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456" w:type="dxa"/>
            <w:noWrap/>
            <w:vAlign w:val="center"/>
          </w:tcPr>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696" w:type="dxa"/>
            <w:noWrap/>
            <w:vAlign w:val="center"/>
          </w:tcPr>
          <w:p>
            <w:pPr>
              <w:spacing w:line="360" w:lineRule="auto"/>
              <w:ind w:firstLine="480" w:firstLineChars="200"/>
              <w:jc w:val="center"/>
              <w:textAlignment w:val="baseline"/>
              <w:rPr>
                <w:rFonts w:asciiTheme="minorEastAsia" w:hAnsiTheme="minorEastAsia" w:eastAsiaTheme="minorEastAsia" w:cstheme="minorEastAsia"/>
                <w:sz w:val="24"/>
                <w:szCs w:val="24"/>
              </w:rPr>
            </w:pPr>
          </w:p>
        </w:tc>
        <w:tc>
          <w:tcPr>
            <w:tcW w:w="8136" w:type="dxa"/>
            <w:noWrap/>
            <w:vAlign w:val="center"/>
          </w:tcPr>
          <w:p>
            <w:pPr>
              <w:widowControl/>
              <w:shd w:val="clear" w:color="auto" w:fill="FFFFFF"/>
              <w:spacing w:line="360" w:lineRule="auto"/>
              <w:jc w:val="left"/>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质疑时效：</w:t>
            </w:r>
          </w:p>
          <w:p>
            <w:pPr>
              <w:widowControl/>
              <w:shd w:val="clear" w:color="auto" w:fill="FFFFFF"/>
              <w:spacing w:line="360" w:lineRule="auto"/>
              <w:jc w:val="left"/>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对采购文件的质疑：递交响应文件截止3个工作日前。</w:t>
            </w:r>
          </w:p>
          <w:p>
            <w:pPr>
              <w:widowControl/>
              <w:shd w:val="clear" w:color="auto" w:fill="FFFFFF"/>
              <w:spacing w:line="360" w:lineRule="auto"/>
              <w:jc w:val="left"/>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对采购结果的质疑：采购结果公告之日（不包括当日）起7个工作日内。</w:t>
            </w:r>
          </w:p>
          <w:p>
            <w:pPr>
              <w:widowControl/>
              <w:shd w:val="clear" w:color="auto" w:fill="FFFFFF"/>
              <w:spacing w:line="360" w:lineRule="auto"/>
              <w:jc w:val="left"/>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采购人将在收到书面质疑后作出答复，并以书面形式通知质疑供应商和其他有关供应商，但答复的内容不涉及商业秘密。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56" w:type="dxa"/>
            <w:noWrap/>
            <w:vAlign w:val="center"/>
          </w:tcPr>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696" w:type="dxa"/>
            <w:noWrap/>
            <w:vAlign w:val="center"/>
          </w:tcPr>
          <w:p>
            <w:pPr>
              <w:spacing w:line="360" w:lineRule="auto"/>
              <w:ind w:firstLine="480" w:firstLineChars="200"/>
              <w:jc w:val="center"/>
              <w:textAlignment w:val="baseline"/>
              <w:rPr>
                <w:rFonts w:asciiTheme="minorEastAsia" w:hAnsiTheme="minorEastAsia" w:eastAsiaTheme="minorEastAsia" w:cstheme="minorEastAsia"/>
                <w:sz w:val="24"/>
                <w:szCs w:val="24"/>
              </w:rPr>
            </w:pPr>
          </w:p>
        </w:tc>
        <w:tc>
          <w:tcPr>
            <w:tcW w:w="8136" w:type="dxa"/>
            <w:noWrap/>
            <w:vAlign w:val="center"/>
          </w:tcPr>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无效文件的具体条款：</w:t>
            </w:r>
          </w:p>
          <w:p>
            <w:pPr>
              <w:spacing w:line="360" w:lineRule="auto"/>
              <w:ind w:firstLine="480" w:firstLineChars="200"/>
              <w:textAlignment w:val="baseline"/>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1、第二章第3.1条、22.2.3条；</w:t>
            </w:r>
          </w:p>
          <w:p>
            <w:pPr>
              <w:numPr>
                <w:ilvl w:val="0"/>
                <w:numId w:val="2"/>
              </w:numPr>
              <w:spacing w:line="360" w:lineRule="auto"/>
              <w:ind w:firstLine="480" w:firstLineChars="200"/>
              <w:textAlignment w:val="baseline"/>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采购文件第三章带</w:t>
            </w:r>
            <w:r>
              <w:rPr>
                <w:rStyle w:val="24"/>
                <w:rFonts w:hint="eastAsia" w:asciiTheme="minorEastAsia" w:hAnsiTheme="minorEastAsia" w:eastAsiaTheme="minorEastAsia" w:cstheme="minorEastAsia"/>
                <w:b/>
                <w:bCs/>
                <w:szCs w:val="24"/>
              </w:rPr>
              <w:t>★条款</w:t>
            </w:r>
            <w:r>
              <w:rPr>
                <w:rFonts w:hint="eastAsia" w:asciiTheme="minorEastAsia" w:hAnsiTheme="minorEastAsia" w:eastAsiaTheme="minorEastAsia" w:cstheme="minorEastAsia"/>
                <w:b/>
                <w:bCs/>
                <w:sz w:val="24"/>
                <w:szCs w:val="24"/>
              </w:rPr>
              <w:t>；</w:t>
            </w:r>
          </w:p>
          <w:p>
            <w:pPr>
              <w:numPr>
                <w:ilvl w:val="0"/>
                <w:numId w:val="2"/>
              </w:numPr>
              <w:spacing w:line="360" w:lineRule="auto"/>
              <w:ind w:firstLine="480" w:firstLineChars="200"/>
              <w:textAlignment w:val="baseline"/>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未按相关规定进行报价的；</w:t>
            </w:r>
          </w:p>
          <w:p>
            <w:pPr>
              <w:pStyle w:val="2"/>
            </w:pPr>
            <w:r>
              <w:rPr>
                <w:rFonts w:hint="eastAsia" w:asciiTheme="minorEastAsia" w:hAnsiTheme="minorEastAsia" w:eastAsiaTheme="minorEastAsia" w:cstheme="minorEastAsia"/>
                <w:b/>
                <w:bCs/>
              </w:rPr>
              <w:t xml:space="preserve">    4、技术部分所有评委平均得分低于该部分总分的50%的（不含50%），视为无效投标。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56" w:type="dxa"/>
            <w:noWrap/>
            <w:vAlign w:val="center"/>
          </w:tcPr>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696" w:type="dxa"/>
            <w:noWrap/>
            <w:vAlign w:val="center"/>
          </w:tcPr>
          <w:p>
            <w:pPr>
              <w:spacing w:line="360" w:lineRule="auto"/>
              <w:ind w:firstLine="480" w:firstLineChars="200"/>
              <w:jc w:val="center"/>
              <w:textAlignment w:val="baseline"/>
              <w:rPr>
                <w:rFonts w:asciiTheme="minorEastAsia" w:hAnsiTheme="minorEastAsia" w:eastAsiaTheme="minorEastAsia" w:cstheme="minorEastAsia"/>
                <w:sz w:val="24"/>
                <w:szCs w:val="24"/>
              </w:rPr>
            </w:pPr>
          </w:p>
        </w:tc>
        <w:tc>
          <w:tcPr>
            <w:tcW w:w="8136" w:type="dxa"/>
            <w:noWrap/>
            <w:vAlign w:val="center"/>
          </w:tcPr>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投标文件的份数：</w:t>
            </w:r>
          </w:p>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（1）纸质投标文件：正本1份、副本3份。</w:t>
            </w:r>
          </w:p>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（2）电子投标文件：详见《关于电子招标投标活动的专门规定》。</w:t>
            </w:r>
          </w:p>
        </w:tc>
      </w:tr>
    </w:tbl>
    <w:tbl>
      <w:tblPr>
        <w:tblStyle w:val="22"/>
        <w:tblW w:w="9315"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5" w:type="dxa"/>
          </w:tcPr>
          <w:tbl>
            <w:tblPr>
              <w:tblStyle w:val="21"/>
              <w:tblW w:w="934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9"/>
              <w:gridCol w:w="8406"/>
              <w:gridCol w:w="7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280" w:type="dxa"/>
                  <w:gridSpan w:val="3"/>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324" w:lineRule="auto"/>
                    <w:jc w:val="center"/>
                    <w:rPr>
                      <w:rFonts w:cs="宋体" w:asciiTheme="minorEastAsia" w:hAnsiTheme="minorEastAsia"/>
                      <w:kern w:val="0"/>
                      <w:sz w:val="24"/>
                      <w:szCs w:val="24"/>
                    </w:rPr>
                  </w:pPr>
                  <w:bookmarkStart w:id="5" w:name="_Toc36811830"/>
                  <w:r>
                    <w:rPr>
                      <w:rFonts w:hint="eastAsia" w:cs="宋体" w:asciiTheme="minorEastAsia" w:hAnsiTheme="minorEastAsia"/>
                      <w:b/>
                      <w:bCs/>
                      <w:kern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1"/>
                <w:wAfter w:w="15" w:type="dxa"/>
                <w:tblCellSpacing w:w="15" w:type="dxa"/>
              </w:trPr>
              <w:tc>
                <w:tcPr>
                  <w:tcW w:w="814" w:type="dxa"/>
                  <w:tcBorders>
                    <w:top w:val="single" w:color="auto" w:sz="0"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324"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序号</w:t>
                  </w:r>
                </w:p>
              </w:tc>
              <w:tc>
                <w:tcPr>
                  <w:tcW w:w="8376" w:type="dxa"/>
                  <w:tcBorders>
                    <w:top w:val="outset" w:color="000000" w:sz="6" w:space="0"/>
                    <w:left w:val="single" w:color="auto" w:sz="0" w:space="0"/>
                    <w:bottom w:val="outset" w:color="000000" w:sz="6" w:space="0"/>
                    <w:right w:val="outset" w:color="000000" w:sz="6" w:space="0"/>
                  </w:tcBorders>
                  <w:tcMar>
                    <w:top w:w="0" w:type="dxa"/>
                    <w:left w:w="105" w:type="dxa"/>
                    <w:bottom w:w="0" w:type="dxa"/>
                    <w:right w:w="105" w:type="dxa"/>
                  </w:tcMar>
                  <w:vAlign w:val="center"/>
                </w:tcPr>
                <w:p>
                  <w:pPr>
                    <w:widowControl/>
                    <w:spacing w:line="324"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1"/>
                <w:wAfter w:w="15" w:type="dxa"/>
                <w:tblCellSpacing w:w="15" w:type="dxa"/>
              </w:trPr>
              <w:tc>
                <w:tcPr>
                  <w:tcW w:w="814" w:type="dxa"/>
                  <w:tcBorders>
                    <w:top w:val="single" w:color="auto" w:sz="0" w:space="0"/>
                    <w:left w:val="outset" w:color="000000" w:sz="6" w:space="0"/>
                    <w:bottom w:val="single" w:color="auto" w:sz="0" w:space="0"/>
                    <w:right w:val="outset" w:color="000000" w:sz="6" w:space="0"/>
                  </w:tcBorders>
                  <w:tcMar>
                    <w:top w:w="0" w:type="dxa"/>
                    <w:left w:w="105" w:type="dxa"/>
                    <w:bottom w:w="0" w:type="dxa"/>
                    <w:right w:w="105" w:type="dxa"/>
                  </w:tcMar>
                  <w:vAlign w:val="center"/>
                </w:tcPr>
                <w:p>
                  <w:pPr>
                    <w:widowControl/>
                    <w:spacing w:line="324"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8376" w:type="dxa"/>
                  <w:tcBorders>
                    <w:top w:val="single" w:color="auto" w:sz="0" w:space="0"/>
                    <w:left w:val="single" w:color="auto" w:sz="0" w:space="0"/>
                    <w:bottom w:val="single" w:color="auto" w:sz="0" w:space="0"/>
                    <w:right w:val="outset" w:color="000000" w:sz="6" w:space="0"/>
                  </w:tcBorders>
                  <w:tcMar>
                    <w:top w:w="0" w:type="dxa"/>
                    <w:left w:w="105" w:type="dxa"/>
                    <w:bottom w:w="0" w:type="dxa"/>
                    <w:right w:w="105" w:type="dxa"/>
                  </w:tcMar>
                  <w:vAlign w:val="center"/>
                </w:tcPr>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（1）招标文件中的内容及规定适用本项目的电子招标投标活动。</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（2）电子招标投标活动的具体操作流程以龙岩市公共资源交易中心网上公开信息系统设定的为准。</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（3</w:t>
                  </w:r>
                  <w:r>
                    <w:rPr>
                      <w:rFonts w:cs="宋体" w:asciiTheme="minorEastAsia" w:hAnsiTheme="minorEastAsia"/>
                      <w:kern w:val="0"/>
                      <w:sz w:val="24"/>
                      <w:szCs w:val="24"/>
                    </w:rPr>
                    <w:t>）</w:t>
                  </w:r>
                  <w:r>
                    <w:rPr>
                      <w:rFonts w:hint="eastAsia" w:cs="宋体" w:asciiTheme="minorEastAsia" w:hAnsiTheme="minorEastAsia"/>
                      <w:kern w:val="0"/>
                      <w:sz w:val="24"/>
                      <w:szCs w:val="24"/>
                    </w:rPr>
                    <w:t>关于投标文件：</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a.投标人应按照龙岩市公共资源交易中心网上公开信息系统设定的评审节点编制电子投标文件，否则</w:t>
                  </w:r>
                  <w:r>
                    <w:rPr>
                      <w:rFonts w:hint="eastAsia" w:cs="宋体" w:asciiTheme="minorEastAsia" w:hAnsiTheme="minorEastAsia"/>
                      <w:b/>
                      <w:bCs/>
                      <w:kern w:val="0"/>
                      <w:sz w:val="24"/>
                      <w:szCs w:val="24"/>
                    </w:rPr>
                    <w:t>评标委员会将按照不利于投标人的内容进行认定。</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b.投标人应在投标截止时间前按照龙岩市公共资源交易中心网上公开信息系统设定的操作流程将电子投标文件</w:t>
                  </w:r>
                  <w:r>
                    <w:rPr>
                      <w:rFonts w:hint="eastAsia" w:cs="宋体" w:asciiTheme="minorEastAsia" w:hAnsiTheme="minorEastAsia"/>
                      <w:b/>
                      <w:bCs/>
                      <w:kern w:val="0"/>
                      <w:sz w:val="24"/>
                      <w:szCs w:val="24"/>
                      <w:u w:val="single"/>
                    </w:rPr>
                    <w:t>1</w:t>
                  </w:r>
                  <w:r>
                    <w:rPr>
                      <w:rFonts w:hint="eastAsia" w:cs="宋体" w:asciiTheme="minorEastAsia" w:hAnsiTheme="minorEastAsia"/>
                      <w:kern w:val="0"/>
                      <w:sz w:val="24"/>
                      <w:szCs w:val="24"/>
                    </w:rPr>
                    <w:t>份上传至龙岩市公共资源交易中心网上公开信息系统。电子投标文件的报价函与投标客户端的报价函应保持一致，否则以电子投标文件中的报价函为准。</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（4）关于证明材料或资料：</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a.招标文件要求原件的，投标人在电子投标文件中</w:t>
                  </w:r>
                  <w:r>
                    <w:rPr>
                      <w:rFonts w:hint="eastAsia" w:cs="宋体" w:asciiTheme="minorEastAsia" w:hAnsiTheme="minorEastAsia"/>
                      <w:kern w:val="0"/>
                      <w:sz w:val="24"/>
                    </w:rPr>
                    <w:t>应提供原件扫描件。</w:t>
                  </w:r>
                  <w:r>
                    <w:rPr>
                      <w:rFonts w:hint="eastAsia" w:cs="宋体" w:asciiTheme="minorEastAsia" w:hAnsiTheme="minorEastAsia"/>
                      <w:kern w:val="0"/>
                      <w:sz w:val="24"/>
                      <w:szCs w:val="24"/>
                    </w:rPr>
                    <w:t>招标文件要求复印件的，投标人可提供原件或复印件扫描件；招标文件对原件、复印件未作要求的，投标人在纸质投标文件中提供原件、复印件扫描件皆可。</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b.若投标人提供注明“复印件无效”的证明材料或资料，其投标文件中应提供原件</w:t>
                  </w:r>
                  <w:r>
                    <w:rPr>
                      <w:rFonts w:hint="eastAsia" w:cs="宋体" w:asciiTheme="minorEastAsia" w:hAnsiTheme="minorEastAsia"/>
                      <w:b/>
                      <w:bCs/>
                      <w:kern w:val="0"/>
                      <w:sz w:val="24"/>
                      <w:szCs w:val="24"/>
                    </w:rPr>
                    <w:t>扫描件。</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（5）关于“全称”、“投标人代表签字”及“加盖单位公章”：</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a.在电子投标文件中，涉及“全称”和“投标人代表签字”的内容可使用打字录入方式完成。</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b.在电子投标文件中，涉及“加盖单位公章”的内容应使用投标人的CA证书完成，否则</w:t>
                  </w:r>
                  <w:r>
                    <w:rPr>
                      <w:rFonts w:hint="eastAsia" w:cs="宋体" w:asciiTheme="minorEastAsia" w:hAnsiTheme="minorEastAsia"/>
                      <w:b/>
                      <w:bCs/>
                      <w:kern w:val="0"/>
                      <w:sz w:val="24"/>
                      <w:szCs w:val="24"/>
                    </w:rPr>
                    <w:t>投标无效。</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c.在电子投标文件中，若投标人按照前款第(5)点第b项规定加盖其单位公章，则出现无全称、或投标人代表未签字等情形，</w:t>
                  </w:r>
                  <w:r>
                    <w:rPr>
                      <w:rFonts w:hint="eastAsia" w:cs="宋体" w:asciiTheme="minorEastAsia" w:hAnsiTheme="minorEastAsia"/>
                      <w:b/>
                      <w:bCs/>
                      <w:kern w:val="0"/>
                      <w:sz w:val="24"/>
                      <w:szCs w:val="24"/>
                    </w:rPr>
                    <w:t>不视为投标无效。</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（6）关于投标截止时间过后</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a.被龙岩市公共资源交易中心网上公开信息系统判定为投标保证金未提交（即未于投标截止时间前到达招标文件载明的投标保证金账户）的投标人，</w:t>
                  </w:r>
                  <w:r>
                    <w:rPr>
                      <w:rFonts w:hint="eastAsia" w:cs="宋体" w:asciiTheme="minorEastAsia" w:hAnsiTheme="minorEastAsia"/>
                      <w:b/>
                      <w:bCs/>
                      <w:kern w:val="0"/>
                      <w:sz w:val="24"/>
                      <w:szCs w:val="24"/>
                    </w:rPr>
                    <w:t>投标将被拒绝。</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b.有下列情形之一的，其</w:t>
                  </w:r>
                  <w:r>
                    <w:rPr>
                      <w:rFonts w:hint="eastAsia" w:cs="宋体" w:asciiTheme="minorEastAsia" w:hAnsiTheme="minorEastAsia"/>
                      <w:b/>
                      <w:bCs/>
                      <w:kern w:val="0"/>
                      <w:sz w:val="24"/>
                      <w:szCs w:val="24"/>
                    </w:rPr>
                    <w:t>投标无效</w:t>
                  </w:r>
                  <w:r>
                    <w:rPr>
                      <w:rFonts w:hint="eastAsia" w:cs="宋体" w:asciiTheme="minorEastAsia" w:hAnsiTheme="minorEastAsia"/>
                      <w:kern w:val="0"/>
                      <w:sz w:val="24"/>
                      <w:szCs w:val="24"/>
                    </w:rPr>
                    <w:t>,其保证金不予退还：</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b1不同投标人的电子投标文件被龙岩市公共资源交易中心网上公开信息系统判定为具有相同内部识别码；</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b2不同投标人的投标保证金被龙岩市公共资源交易中心网上公开信息系统判定为从同一单位或个人的账户转出；</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b3投标人的投标保证金被龙岩市公共资源交易中心网上公开信息系统判定为同一合同项下有其他投标人提交的投标保证金</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b4不同投标人被龙岩市公共资源交易中心网上公开信息系统判定为串通投标的其他情形。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1"/>
                <w:wAfter w:w="15" w:type="dxa"/>
                <w:tblCellSpacing w:w="15" w:type="dxa"/>
              </w:trPr>
              <w:tc>
                <w:tcPr>
                  <w:tcW w:w="9220" w:type="dxa"/>
                  <w:gridSpan w:val="2"/>
                  <w:tcBorders>
                    <w:top w:val="single" w:color="auto" w:sz="0"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pPr>
                  <w:r>
                    <w:rPr>
                      <w:rFonts w:hint="eastAsia" w:ascii="宋体" w:hAnsi="宋体" w:cs="宋体"/>
                      <w:color w:val="000000"/>
                      <w:kern w:val="0"/>
                      <w:sz w:val="24"/>
                      <w:szCs w:val="24"/>
                      <w:lang w:bidi="ar"/>
                    </w:rPr>
                    <w:t xml:space="preserve">投标文件解密失败的补救方案： </w:t>
                  </w:r>
                </w:p>
                <w:p>
                  <w:pPr>
                    <w:widowControl/>
                    <w:ind w:firstLine="480" w:firstLineChars="200"/>
                    <w:jc w:val="left"/>
                  </w:pPr>
                  <w:r>
                    <w:rPr>
                      <w:rFonts w:hint="eastAsia" w:ascii="宋体" w:hAnsi="宋体" w:cs="宋体"/>
                      <w:color w:val="000000"/>
                      <w:kern w:val="0"/>
                      <w:sz w:val="24"/>
                      <w:szCs w:val="24"/>
                      <w:lang w:bidi="ar"/>
                    </w:rPr>
                    <w:t xml:space="preserve">（1）若为投标人设备故障或网络故障，则投标人自行更换设备或解决网络问题， </w:t>
                  </w:r>
                </w:p>
                <w:p>
                  <w:pPr>
                    <w:widowControl/>
                    <w:jc w:val="left"/>
                  </w:pPr>
                  <w:r>
                    <w:rPr>
                      <w:rFonts w:hint="eastAsia" w:ascii="宋体" w:hAnsi="宋体" w:cs="宋体"/>
                      <w:color w:val="000000"/>
                      <w:kern w:val="0"/>
                      <w:sz w:val="24"/>
                      <w:szCs w:val="24"/>
                      <w:lang w:bidi="ar"/>
                    </w:rPr>
                    <w:t xml:space="preserve">投标文件解密失败经补救，仍不成功的，视为放弃投标，开标继续进行； </w:t>
                  </w:r>
                </w:p>
                <w:p>
                  <w:pPr>
                    <w:widowControl/>
                    <w:ind w:firstLine="480" w:firstLineChars="200"/>
                    <w:jc w:val="left"/>
                  </w:pPr>
                  <w:r>
                    <w:rPr>
                      <w:rFonts w:hint="eastAsia" w:ascii="宋体" w:hAnsi="宋体" w:cs="宋体"/>
                      <w:color w:val="000000"/>
                      <w:kern w:val="0"/>
                      <w:sz w:val="24"/>
                      <w:szCs w:val="24"/>
                      <w:lang w:bidi="ar"/>
                    </w:rPr>
                    <w:t xml:space="preserve">（2）若为招标人原因导致无法正常解密，则由招标人及时提出解决方案； </w:t>
                  </w:r>
                </w:p>
                <w:p>
                  <w:pPr>
                    <w:widowControl/>
                    <w:spacing w:line="324" w:lineRule="auto"/>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（3）若为交易平台原因导致无法正常解密，则由交易平台及时提出解决方案。</w:t>
                  </w:r>
                </w:p>
                <w:p>
                  <w:pPr>
                    <w:pStyle w:val="2"/>
                  </w:pPr>
                  <w:r>
                    <w:rPr>
                      <w:rFonts w:hint="eastAsia" w:ascii="宋体" w:hAnsi="宋体" w:cs="宋体"/>
                      <w:color w:val="000000"/>
                      <w:kern w:val="0"/>
                      <w:lang w:bidi="ar"/>
                    </w:rPr>
                    <w:t xml:space="preserve">    （</w:t>
                  </w:r>
                  <w:r>
                    <w:rPr>
                      <w:rFonts w:ascii="宋体" w:hAnsi="宋体" w:cs="宋体"/>
                      <w:color w:val="000000"/>
                      <w:kern w:val="0"/>
                      <w:lang w:bidi="ar"/>
                    </w:rPr>
                    <w:t>4</w:t>
                  </w:r>
                  <w:r>
                    <w:rPr>
                      <w:rFonts w:hint="eastAsia" w:ascii="宋体" w:hAnsi="宋体" w:cs="宋体"/>
                      <w:color w:val="000000"/>
                      <w:kern w:val="0"/>
                      <w:lang w:bidi="ar"/>
                    </w:rPr>
                    <w:t>）本项目解密时间为</w:t>
                  </w:r>
                  <w:r>
                    <w:rPr>
                      <w:rFonts w:ascii="宋体" w:hAnsi="宋体" w:cs="宋体"/>
                      <w:color w:val="000000"/>
                      <w:kern w:val="0"/>
                      <w:lang w:bidi="ar"/>
                    </w:rPr>
                    <w:t>30</w:t>
                  </w:r>
                  <w:r>
                    <w:rPr>
                      <w:rFonts w:hint="eastAsia" w:ascii="宋体" w:hAnsi="宋体" w:cs="宋体"/>
                      <w:color w:val="000000"/>
                      <w:kern w:val="0"/>
                      <w:lang w:bidi="ar"/>
                    </w:rPr>
                    <w:t>分钟。</w:t>
                  </w:r>
                </w:p>
              </w:tc>
            </w:tr>
          </w:tbl>
          <w:p>
            <w:pPr>
              <w:pStyle w:val="7"/>
              <w:jc w:val="center"/>
              <w:textAlignment w:val="baseline"/>
              <w:outlineLvl w:val="1"/>
              <w:rPr>
                <w:rFonts w:asciiTheme="minorEastAsia" w:hAnsiTheme="minorEastAsia" w:eastAsiaTheme="minorEastAsia" w:cstheme="minorEastAsia"/>
              </w:rPr>
            </w:pPr>
          </w:p>
        </w:tc>
      </w:tr>
    </w:tbl>
    <w:p>
      <w:pPr>
        <w:pStyle w:val="7"/>
        <w:jc w:val="center"/>
        <w:textAlignment w:val="baseline"/>
        <w:rPr>
          <w:rFonts w:asciiTheme="minorEastAsia" w:hAnsiTheme="minorEastAsia" w:eastAsiaTheme="minorEastAsia" w:cstheme="minorEastAsia"/>
        </w:rPr>
      </w:pPr>
    </w:p>
    <w:p>
      <w:pPr>
        <w:pStyle w:val="7"/>
        <w:jc w:val="center"/>
        <w:textAlignment w:val="baseline"/>
        <w:rPr>
          <w:rFonts w:asciiTheme="minorEastAsia" w:hAnsiTheme="minorEastAsia" w:eastAsiaTheme="minorEastAsia" w:cstheme="minorEastAsia"/>
          <w:sz w:val="28"/>
          <w:szCs w:val="28"/>
        </w:rPr>
      </w:pPr>
      <w:r>
        <w:rPr>
          <w:rFonts w:hint="eastAsia" w:asciiTheme="minorEastAsia" w:hAnsiTheme="minorEastAsia" w:eastAsiaTheme="minorEastAsia" w:cstheme="minorEastAsia"/>
        </w:rPr>
        <w:t>一、说明</w:t>
      </w:r>
      <w:bookmarkEnd w:id="5"/>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1、适用范围</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1.1本竞争性磋商采购文件仅适用于本次竞争性磋商所叙述项目的采购。</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1.2参照《中华人民共和国政府采购法》、《政府采购竞争性磋商采购方式管理暂行办法》及有关法律法规制定本须知。</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1.3参与此次竞争性磋商采购的当事人适用本须知。</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2、定义</w:t>
      </w:r>
    </w:p>
    <w:p>
      <w:pPr>
        <w:spacing w:line="360" w:lineRule="auto"/>
        <w:ind w:left="1"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2.1“采购代理机构”系指组织本次竞争性磋商的连城县国有资产产权交易服务有限公司。</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2.2“采购人”系指项目实施机构。</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2.3“磋商供应商”、“供应商”系指接受竞争性磋商邀请向采购代理机构提交磋商响应文件的企业法人。</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2.4“服务”系指按竞争性磋商采购文件规定，供应商须承担的建设、验收及提供相应服务承诺等的义务。</w:t>
      </w:r>
    </w:p>
    <w:p>
      <w:pPr>
        <w:spacing w:line="360" w:lineRule="auto"/>
        <w:ind w:firstLine="42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rPr>
        <w:t>2.5“</w:t>
      </w:r>
      <w:r>
        <w:rPr>
          <w:rFonts w:hint="eastAsia" w:asciiTheme="minorEastAsia" w:hAnsiTheme="minorEastAsia" w:eastAsiaTheme="minorEastAsia" w:cstheme="minorEastAsia"/>
          <w:sz w:val="24"/>
          <w:szCs w:val="24"/>
        </w:rPr>
        <w:t>单位负责人”指单位法定代表人或法律、法规规定代表单位行使职权的主要负责人。</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3、合格供应商和合格服务</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3.1合格的供应商</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3.1.1满足《供应商须知前附表》项号2的要求。</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凡有能力提供本磋商文件所述货物及服务的，具有资格的境内供应商均可能成为合格的磋商供应商。</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3.1.2磋商供应商应遵守中国的有关法律、法规和规章的规定。</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3.1.3单位负责人为同一人或者存在直接控股、管理关系的不同供应商，不得参加本项目同一合同项目的投标。</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3.1.4为采购项目提供整体设计、规范编制或项目管理、监理、检测等服务的供应商，不得再参加该采购项目除整体设计、规范编制和项目管理、监理、检测等服务之外的其他采购活动。</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3.2合格的货物和服务</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3.2.1国产的货物及其有关服务必须符合中华人民共和国的设计和制造生产或行业标准。</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3.2.2必须是全新的货物，必须是实质性满足竞争性磋商采购文件要求的服务。</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供应商应保证，其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4、磋商费用</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无论竞争性磋商过程中的作法和结果如何，磋商供应商应承担所有与准备和参加竞争性磋商有关的全部费用。</w:t>
      </w:r>
    </w:p>
    <w:p>
      <w:pPr>
        <w:pStyle w:val="17"/>
        <w:spacing w:before="75" w:beforeAutospacing="0" w:after="75" w:afterAutospacing="0" w:line="420" w:lineRule="atLeast"/>
        <w:ind w:firstLine="480" w:firstLineChars="200"/>
        <w:textAlignment w:val="baseline"/>
        <w:rPr>
          <w:rFonts w:asciiTheme="minorEastAsia" w:hAnsiTheme="minorEastAsia" w:eastAsiaTheme="minorEastAsia" w:cstheme="minorEastAsia"/>
          <w:sz w:val="27"/>
          <w:szCs w:val="27"/>
        </w:rPr>
      </w:pPr>
      <w:r>
        <w:rPr>
          <w:rFonts w:hint="eastAsia" w:asciiTheme="minorEastAsia" w:hAnsiTheme="minorEastAsia" w:eastAsiaTheme="minorEastAsia" w:cstheme="minorEastAsia"/>
        </w:rPr>
        <w:t>5、本项目根据项目的特点依法组建磋商小组。</w:t>
      </w:r>
    </w:p>
    <w:p>
      <w:pPr>
        <w:widowControl/>
        <w:spacing w:before="75" w:after="75" w:line="420" w:lineRule="atLeast"/>
        <w:ind w:firstLine="480" w:firstLineChars="20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5.2磋商小组由三人（含）以上单数组成。</w:t>
      </w:r>
    </w:p>
    <w:p>
      <w:pPr>
        <w:widowControl/>
        <w:spacing w:before="75" w:after="75" w:line="420" w:lineRule="atLeast"/>
        <w:ind w:firstLine="480" w:firstLineChars="20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5.3磋商小组负责具体磋商和评审事务，并按照下列原则依法独立履行有关职责：</w:t>
      </w:r>
    </w:p>
    <w:p>
      <w:pPr>
        <w:widowControl/>
        <w:spacing w:before="75" w:after="75" w:line="420" w:lineRule="atLeast"/>
        <w:ind w:firstLine="48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5.3.1评审应保护国家利益、社会公共利益和各方当事人合法权益，提高采购效益，保证项目质量。</w:t>
      </w:r>
    </w:p>
    <w:p>
      <w:pPr>
        <w:widowControl/>
        <w:spacing w:before="75" w:after="75" w:line="420" w:lineRule="atLeast"/>
        <w:ind w:firstLine="48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5.3.2评审应遵循公平、公正、科学、严谨和择优原则。</w:t>
      </w:r>
    </w:p>
    <w:p>
      <w:pPr>
        <w:widowControl/>
        <w:spacing w:before="75" w:after="75" w:line="420" w:lineRule="atLeast"/>
        <w:ind w:firstLine="48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5.3.3评审的依据是磋商文件和响应文件，磋商文件中没有规定的评审标准不得作为评审依据。</w:t>
      </w:r>
    </w:p>
    <w:p>
      <w:pPr>
        <w:widowControl/>
        <w:spacing w:before="75" w:after="75" w:line="420" w:lineRule="atLeast"/>
        <w:ind w:firstLine="48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5.3.4磋商小组应按照磋商文件规定推荐成交供应商</w:t>
      </w:r>
    </w:p>
    <w:p>
      <w:pPr>
        <w:widowControl/>
        <w:spacing w:before="75" w:after="75" w:line="420" w:lineRule="atLeast"/>
        <w:ind w:firstLine="48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5.3.5评审应遵守下列评审纪律：</w:t>
      </w:r>
    </w:p>
    <w:p>
      <w:pPr>
        <w:widowControl/>
        <w:spacing w:before="75" w:after="75" w:line="420" w:lineRule="atLeast"/>
        <w:ind w:firstLine="48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①评审情况不得私自外泄，有关信息由采购人或其委托的代理机构统一对外发布。</w:t>
      </w:r>
    </w:p>
    <w:p>
      <w:pPr>
        <w:widowControl/>
        <w:spacing w:before="75" w:after="75" w:line="420" w:lineRule="atLeast"/>
        <w:ind w:firstLine="48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②对采购人或供应商提供的要求保密的资料，不得摘记翻印和外传。</w:t>
      </w:r>
    </w:p>
    <w:p>
      <w:pPr>
        <w:widowControl/>
        <w:spacing w:before="75" w:after="75" w:line="420" w:lineRule="atLeast"/>
        <w:ind w:firstLine="48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③不得收受供应商或有关人员的任何礼物，不得串联鼓动其他人袒护某供应商。若与供应商存在利害关系，则应主动声明并回避。</w:t>
      </w:r>
    </w:p>
    <w:p>
      <w:pPr>
        <w:widowControl/>
        <w:spacing w:before="75" w:after="75" w:line="420" w:lineRule="atLeast"/>
        <w:ind w:firstLine="48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④全体磋商小组成员应按照磋商文件规定进行评审，一切认定事项应查有实据且不得弄虚作假。</w:t>
      </w:r>
    </w:p>
    <w:p>
      <w:pPr>
        <w:widowControl/>
        <w:spacing w:before="75" w:after="75" w:line="420" w:lineRule="atLeast"/>
        <w:ind w:firstLine="48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※对违反评审纪律的评委，将取消其评委资格，对评审工作造成严重损失者将予以通报批评乃至追究法律责任。</w:t>
      </w:r>
    </w:p>
    <w:p>
      <w:pPr>
        <w:pStyle w:val="17"/>
        <w:spacing w:before="75" w:beforeAutospacing="0" w:after="75" w:afterAutospacing="0" w:line="420" w:lineRule="atLeast"/>
        <w:ind w:firstLine="470" w:firstLineChars="196"/>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5.3.6若供应商有任何试图干扰具体评审事务，影响磋商小组独立履行职责的行为，其响应无效且不予退还磋商保证金。情节严重的，报相关监管部门备案。</w:t>
      </w:r>
    </w:p>
    <w:p>
      <w:pPr>
        <w:spacing w:line="360" w:lineRule="auto"/>
        <w:ind w:firstLine="480" w:firstLineChars="200"/>
        <w:textAlignment w:val="baseline"/>
        <w:rPr>
          <w:rFonts w:asciiTheme="minorEastAsia" w:hAnsiTheme="minorEastAsia" w:eastAsiaTheme="minorEastAsia" w:cstheme="minorEastAsia"/>
          <w:sz w:val="24"/>
          <w:szCs w:val="24"/>
        </w:rPr>
      </w:pPr>
    </w:p>
    <w:p>
      <w:pPr>
        <w:pStyle w:val="7"/>
        <w:jc w:val="center"/>
        <w:textAlignment w:val="baseline"/>
        <w:rPr>
          <w:rFonts w:asciiTheme="minorEastAsia" w:hAnsiTheme="minorEastAsia" w:eastAsiaTheme="minorEastAsia" w:cstheme="minorEastAsia"/>
          <w:sz w:val="28"/>
          <w:szCs w:val="28"/>
        </w:rPr>
      </w:pPr>
      <w:bookmarkStart w:id="6" w:name="_Toc36811831"/>
      <w:r>
        <w:rPr>
          <w:rFonts w:hint="eastAsia" w:asciiTheme="minorEastAsia" w:hAnsiTheme="minorEastAsia" w:eastAsiaTheme="minorEastAsia" w:cstheme="minorEastAsia"/>
        </w:rPr>
        <w:t>二、竞争性磋商采购文件</w:t>
      </w:r>
      <w:bookmarkEnd w:id="6"/>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6、文件的组成</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竞争性磋商采购文件是用以阐明所需货物及服务、竞争性磋商程序的资料，除以下内容外，采购代理机构在磋商结束之前发出的答疑纪要和其他补充修改函件，均是采购文件的组成部分，对供应商起约束作用，竞争性磋商采购文件包括下列内容：</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(1)竞争性磋商邀请</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(2)采购项目内容及要求</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(3)磋商供应商须知</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(4)合同草案</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(5)响应文件主要内容格式</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6.2除非有特殊要求，竞争性磋商采购文件不单独提供竞争性磋商货物使用地的自然环境、气候条件、公用设施等情况，磋商供应商被视为熟悉上述与履行合同有关的一切情况。</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7、竞争性磋商采购文件的澄清</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磋商供应商对竞争性磋商采购文件如有疑点，可要求澄清，但应在规定时间内按竞争性磋商邀请中载明的地址以书面形式(包括信函、电报或传真，下同)送达或寄达采购代理机构。采购代理机构将视情况确定采用适当方式予以澄清或以书面形式予以答复，必要时将不标明查询来源的书面答复，分送已报名并购买竞争性磋商采购文件的供应商。</w:t>
      </w:r>
    </w:p>
    <w:p>
      <w:pPr>
        <w:spacing w:line="360" w:lineRule="auto"/>
        <w:ind w:left="84" w:leftChars="40"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7.2供应商所提供的联系电话及通信地址应使采购人和采购代理机构能方便地与供应商取得联系，若由于该方面的原因使采购人和采购代理机构发出的函件无法送达供应商时，由此造成的后果由供应商自行负责。</w:t>
      </w:r>
    </w:p>
    <w:p>
      <w:pPr>
        <w:spacing w:line="360" w:lineRule="auto"/>
        <w:ind w:left="84" w:leftChars="40"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7.3采购人和采购代理机构将视情况确定是否有必要在磋商采购会前召开答疑会。如果召开答疑会，将通知所有已邀请并领取了采购文件的潜在磋商供应商。</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8、竞争性磋商采购文件的修改</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在本文件指定媒体发布通知的形式通知所有潜在磋商供应商，不足5日的，应当顺延提交首次响应文件截止之日。</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8.2竞争性磋商采购文件的修改书将构成竞争性磋商采购文件的一部分，对所有已邀请并领取了竞争性磋商采购文件的供应商具有约束力。</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采购文件、采购文件澄清（答疑）纪要、采购文件修改、补充通知书内容均以书面明确的内容为准。当采购文件、修改、补充通知、澄清（答疑）纪要内容相互矛盾时，以最后发出的通知（或纪要）或修改文件为准。</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8.4采购代理机构对供应商误读、误解修改书而导致的不利后果，不负任何责任。</w:t>
      </w:r>
    </w:p>
    <w:p>
      <w:pPr>
        <w:spacing w:line="360" w:lineRule="auto"/>
        <w:ind w:firstLine="480" w:firstLineChars="200"/>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8.5潜在供应商可以对该文件提出质疑。对采购文件提出质疑的，应当在须知前附表规定的时间内提出，与本次竞争性磋商采购有关的一切正式往来，如质疑、技术咨询等，应采用书面形式。</w:t>
      </w:r>
    </w:p>
    <w:p>
      <w:pPr>
        <w:spacing w:line="360" w:lineRule="auto"/>
        <w:ind w:firstLine="480" w:firstLineChars="200"/>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特别提示：采购文件如有澄清、修改，公告将在</w:t>
      </w:r>
      <w:r>
        <w:rPr>
          <w:rFonts w:hint="eastAsia" w:asciiTheme="minorEastAsia" w:hAnsiTheme="minorEastAsia" w:eastAsiaTheme="minorEastAsia" w:cstheme="minorEastAsia"/>
          <w:sz w:val="24"/>
          <w:szCs w:val="24"/>
        </w:rPr>
        <w:t>龙岩市公物采购网（https://www.lygwcg.com）、龙岩市公共资源交易中心（https://ggzy.longyan.gov.cn/lyztb/）</w:t>
      </w:r>
      <w:r>
        <w:rPr>
          <w:rFonts w:hint="eastAsia" w:asciiTheme="minorEastAsia" w:hAnsiTheme="minorEastAsia" w:eastAsiaTheme="minorEastAsia" w:cstheme="minorEastAsia"/>
          <w:kern w:val="0"/>
          <w:sz w:val="24"/>
          <w:szCs w:val="24"/>
        </w:rPr>
        <w:t>发布，请潜在磋商供应商随时密切关注上述网站并下载相关信息，招标代理机构不再另行通知（相同内容如有多次修改，以最后一次修改为准）。潜在供应商未下载澄清、修改内容的，后果自行承担。</w:t>
      </w:r>
    </w:p>
    <w:p>
      <w:pPr>
        <w:pStyle w:val="7"/>
        <w:jc w:val="center"/>
        <w:textAlignment w:val="baseline"/>
        <w:rPr>
          <w:rFonts w:asciiTheme="minorEastAsia" w:hAnsiTheme="minorEastAsia" w:eastAsiaTheme="minorEastAsia" w:cstheme="minorEastAsia"/>
          <w:sz w:val="28"/>
          <w:szCs w:val="28"/>
        </w:rPr>
      </w:pPr>
      <w:bookmarkStart w:id="7" w:name="_Toc36811832"/>
      <w:r>
        <w:rPr>
          <w:rFonts w:hint="eastAsia" w:asciiTheme="minorEastAsia" w:hAnsiTheme="minorEastAsia" w:eastAsiaTheme="minorEastAsia" w:cstheme="minorEastAsia"/>
        </w:rPr>
        <w:t>三、响应文件的编写</w:t>
      </w:r>
      <w:bookmarkEnd w:id="7"/>
    </w:p>
    <w:p>
      <w:pPr>
        <w:spacing w:line="360" w:lineRule="auto"/>
        <w:ind w:firstLine="480" w:firstLineChars="200"/>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9、编写要求</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9.1供应商应仔细阅读竞争性磋商采购文件的全部内容，按竞争性磋商采购文件的要求提供磋商响应文件，并保证所提供的全部资料的真实性和可靠性，以使其文件对竞争性磋商采购文件作出实质性响应。供应商应接受采购人和采购代理机构对其中任何资料作出进一步审查的要</w:t>
      </w:r>
      <w:r>
        <w:rPr>
          <w:rFonts w:hint="eastAsia" w:asciiTheme="minorEastAsia" w:hAnsiTheme="minorEastAsia" w:eastAsiaTheme="minorEastAsia" w:cstheme="minorEastAsia"/>
          <w:sz w:val="24"/>
          <w:szCs w:val="24"/>
        </w:rPr>
        <w:t>求，否则其磋商响应将有可能被拒绝。</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9.2供应商应仔细阅读并检查竞争性磋商采购文件中所有的须知、格式、条款、技术、规格和其它资料，并按照竞争性磋商采购文件的要求提交全部资料。</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9.3采购文件“主要内容格式”中的各项内容和表格为评审的重要参考内容和依据，磋商供应商应按照格式要求统一填写编制，否则，由于被误读、漏读而产生的不利后果，由供应商自行承担。</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10、磋商语言、载体</w:t>
      </w:r>
    </w:p>
    <w:p>
      <w:pPr>
        <w:spacing w:line="360" w:lineRule="auto"/>
        <w:ind w:firstLine="480" w:firstLineChars="200"/>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10.1响应文件及供应商、采购人和采购代理机构就磋商交换的文件和来往信件，应</w:t>
      </w:r>
      <w:r>
        <w:rPr>
          <w:rFonts w:hint="eastAsia" w:asciiTheme="minorEastAsia" w:hAnsiTheme="minorEastAsia" w:eastAsiaTheme="minorEastAsia" w:cstheme="minorEastAsia"/>
          <w:kern w:val="0"/>
          <w:sz w:val="24"/>
          <w:szCs w:val="24"/>
        </w:rPr>
        <w:t>以中文书写。</w:t>
      </w:r>
    </w:p>
    <w:p>
      <w:pPr>
        <w:spacing w:line="360" w:lineRule="auto"/>
        <w:ind w:firstLine="480" w:firstLineChars="200"/>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文件中载明的资格或技术商务要求中涉及的供应商提供的证明文件原件属于非中文描述的，必须提供具有翻译资质的机构翻译的中文译本。未按要求提供中文译本的，认定为该项资格或技术商务要求不符合。翻译机构应为中国翻译协会成员单位，翻译的中文译本应由翻译人员签名并加盖翻译机构公章，同时提供翻译人员翻译资格证书。供应商应提供中文译本、翻译机构及翻译人员资格证书复印件，并加盖供应商公章。</w:t>
      </w:r>
    </w:p>
    <w:p>
      <w:pPr>
        <w:spacing w:line="360" w:lineRule="auto"/>
        <w:ind w:firstLine="480" w:firstLineChars="200"/>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11、计量单位磋商标的除在竞争性磋商采购文件的技术规格中另有规定外，应使用中华人民共和国法定计量单位。</w:t>
      </w:r>
    </w:p>
    <w:p>
      <w:pPr>
        <w:spacing w:line="360" w:lineRule="auto"/>
        <w:ind w:firstLine="480" w:firstLineChars="200"/>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12、磋商响应文件的组成及相关要求</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磋商响应文件组成详见12.2。响应文件在递交截止时间后将不予退还。</w:t>
      </w:r>
    </w:p>
    <w:p>
      <w:pPr>
        <w:pStyle w:val="2"/>
        <w:spacing w:line="360" w:lineRule="auto"/>
        <w:ind w:firstLine="480" w:firstLineChars="200"/>
        <w:textAlignment w:val="baseline"/>
        <w:rPr>
          <w:rFonts w:asciiTheme="minorEastAsia" w:hAnsiTheme="minorEastAsia" w:eastAsiaTheme="minorEastAsia" w:cstheme="minorEastAsia"/>
          <w:highlight w:val="yellow"/>
        </w:rPr>
      </w:pPr>
      <w:r>
        <w:rPr>
          <w:rFonts w:hint="eastAsia" w:asciiTheme="minorEastAsia" w:hAnsiTheme="minorEastAsia" w:eastAsiaTheme="minorEastAsia" w:cstheme="minorEastAsia"/>
        </w:rPr>
        <w:t>12.1资格证明材料是指供应商递交的证明其有资格参加磋商和成交后有能力履行合同的文件。包括下列各项：</w:t>
      </w:r>
    </w:p>
    <w:p>
      <w:pPr>
        <w:spacing w:line="360" w:lineRule="auto"/>
        <w:ind w:firstLine="600" w:firstLineChars="250"/>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kern w:val="0"/>
          <w:sz w:val="24"/>
          <w:szCs w:val="24"/>
        </w:rPr>
        <w:t>参加竞争性磋商的声明函 </w:t>
      </w:r>
    </w:p>
    <w:p>
      <w:pPr>
        <w:spacing w:line="360" w:lineRule="auto"/>
        <w:ind w:firstLine="600" w:firstLineChars="250"/>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2、供应商的资格声明 </w:t>
      </w:r>
    </w:p>
    <w:p>
      <w:pPr>
        <w:spacing w:line="360" w:lineRule="auto"/>
        <w:ind w:firstLine="600" w:firstLineChars="25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sz w:val="24"/>
          <w:szCs w:val="24"/>
        </w:rPr>
        <w:t>单位负责人授权书原件（非单位负责人参加时提供）</w:t>
      </w:r>
    </w:p>
    <w:p>
      <w:pPr>
        <w:spacing w:line="360" w:lineRule="auto"/>
        <w:ind w:firstLine="600" w:firstLineChars="25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4、供应商代表有效身份证复印件</w:t>
      </w:r>
    </w:p>
    <w:p>
      <w:pPr>
        <w:spacing w:line="360" w:lineRule="auto"/>
        <w:ind w:firstLine="600" w:firstLineChars="250"/>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sz w:val="24"/>
          <w:szCs w:val="24"/>
        </w:rPr>
        <w:t>营业执照复印件（或其他法人证书复印件）</w:t>
      </w:r>
    </w:p>
    <w:p>
      <w:pPr>
        <w:spacing w:line="360" w:lineRule="auto"/>
        <w:ind w:firstLine="600" w:firstLineChars="25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6、已缴交磋商保证金的</w:t>
      </w:r>
      <w:r>
        <w:rPr>
          <w:rFonts w:hint="eastAsia" w:asciiTheme="minorEastAsia" w:hAnsiTheme="minorEastAsia" w:eastAsiaTheme="minorEastAsia" w:cstheme="minorEastAsia"/>
          <w:sz w:val="24"/>
          <w:szCs w:val="24"/>
        </w:rPr>
        <w:t>证明材料复印件</w:t>
      </w:r>
    </w:p>
    <w:p>
      <w:pPr>
        <w:spacing w:line="360" w:lineRule="auto"/>
        <w:ind w:firstLine="600" w:firstLineChars="25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注：1、磋商供应商必须同时满足上述所有的资格要求并提供证明村料，所有提供的相关资质证明文件应属法定有效期内的，若发生变更的，应按有关规定办理完变更手续后方可参加投标，并以发证机关核准的变更为准，否则不能成为本项目的成交人。</w:t>
      </w:r>
      <w:r>
        <w:rPr>
          <w:rFonts w:hint="eastAsia" w:asciiTheme="minorEastAsia" w:hAnsiTheme="minorEastAsia" w:eastAsiaTheme="minorEastAsia" w:cstheme="minorEastAsia"/>
          <w:sz w:val="24"/>
          <w:szCs w:val="24"/>
        </w:rPr>
        <w:t>所有资格证明文件复印件应是清晰的，磋商供应商对其所提供证明材料的真实性负责，否则响应无效。</w:t>
      </w:r>
    </w:p>
    <w:p>
      <w:pPr>
        <w:spacing w:line="360" w:lineRule="auto"/>
        <w:ind w:firstLine="600" w:firstLineChars="250"/>
        <w:textAlignment w:val="baseline"/>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2、资格证明材料要求的授权书原件必须编制到纸质响应文件正本中,否则响应无效。</w:t>
      </w:r>
    </w:p>
    <w:p>
      <w:pPr>
        <w:spacing w:line="360" w:lineRule="auto"/>
        <w:ind w:firstLine="480" w:firstLineChars="200"/>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sz w:val="24"/>
          <w:szCs w:val="24"/>
        </w:rPr>
        <w:t>12.2</w:t>
      </w:r>
      <w:r>
        <w:rPr>
          <w:rFonts w:hint="eastAsia" w:asciiTheme="minorEastAsia" w:hAnsiTheme="minorEastAsia" w:eastAsiaTheme="minorEastAsia" w:cstheme="minorEastAsia"/>
          <w:kern w:val="0"/>
          <w:sz w:val="24"/>
          <w:szCs w:val="24"/>
        </w:rPr>
        <w:t>首次响应文件包括但不限于下列部分：</w:t>
      </w:r>
    </w:p>
    <w:p>
      <w:pPr>
        <w:widowControl/>
        <w:spacing w:before="75" w:after="75" w:line="435" w:lineRule="atLeast"/>
        <w:ind w:firstLine="48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（1）响应函</w:t>
      </w:r>
    </w:p>
    <w:p>
      <w:pPr>
        <w:widowControl/>
        <w:spacing w:before="75" w:after="75" w:line="435" w:lineRule="atLeast"/>
        <w:ind w:firstLine="48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（2）报价一览表</w:t>
      </w:r>
    </w:p>
    <w:p>
      <w:pPr>
        <w:widowControl/>
        <w:spacing w:before="75" w:after="75" w:line="435" w:lineRule="atLeast"/>
        <w:ind w:firstLine="48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（3）资格证明材料</w:t>
      </w:r>
    </w:p>
    <w:p>
      <w:pPr>
        <w:widowControl/>
        <w:spacing w:before="75" w:after="75" w:line="435" w:lineRule="atLeast"/>
        <w:ind w:firstLine="48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（4）技术和服务要求承诺函</w:t>
      </w:r>
    </w:p>
    <w:p>
      <w:pPr>
        <w:widowControl/>
        <w:spacing w:before="75" w:after="75" w:line="435" w:lineRule="atLeast"/>
        <w:ind w:firstLine="48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（5）相关技术、商务、服务响应承诺及资料（若有）</w:t>
      </w:r>
    </w:p>
    <w:p>
      <w:pPr>
        <w:spacing w:line="360" w:lineRule="auto"/>
        <w:ind w:left="1" w:firstLine="537" w:firstLineChars="224"/>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上述响应书按先后顺序装订成册，并编制目录，用密封袋密封装好，封口处加盖磋商供应商公章或有单位负责人或授权代理人签字或盖章。响应书须用不褪色的蓝、黑墨水填写或打印，且按照竞争性磋商采购文件规定的格式加盖法人单位公章和单位负责人或授权代理人签字或盖章。</w:t>
      </w:r>
    </w:p>
    <w:p>
      <w:pPr>
        <w:spacing w:line="360" w:lineRule="auto"/>
        <w:ind w:firstLine="480" w:firstLineChars="200"/>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13、响应文件编制说明</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13.1组成响应文件的各项文件均应遵守本条款。</w:t>
      </w:r>
    </w:p>
    <w:p>
      <w:pPr>
        <w:spacing w:line="360" w:lineRule="auto"/>
        <w:ind w:firstLine="480" w:firstLineChars="200"/>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13.2磋商供应商应按采购文件的要求，在响应文件的适当位置注明全称并加盖公章，同时有单位负责人或磋商代表人的签字或盖章。为保护磋商供应商的利益，</w:t>
      </w:r>
      <w:r>
        <w:rPr>
          <w:rFonts w:hint="eastAsia" w:asciiTheme="minorEastAsia" w:hAnsiTheme="minorEastAsia" w:eastAsiaTheme="minorEastAsia" w:cstheme="minorEastAsia"/>
          <w:kern w:val="0"/>
          <w:sz w:val="24"/>
          <w:szCs w:val="24"/>
        </w:rPr>
        <w:t>响应文件均要求编制封面、目录、页码，并装订成册。</w:t>
      </w:r>
    </w:p>
    <w:p>
      <w:pPr>
        <w:spacing w:line="360" w:lineRule="auto"/>
        <w:ind w:firstLine="480" w:firstLineChars="200"/>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13.3磋商供应商应按竞争性磋商采购文件中提供的磋商响应文件格式编制资，一式四份（</w:t>
      </w:r>
      <w:r>
        <w:rPr>
          <w:rFonts w:hint="eastAsia" w:asciiTheme="minorEastAsia" w:hAnsiTheme="minorEastAsia" w:eastAsiaTheme="minorEastAsia" w:cstheme="minorEastAsia"/>
          <w:b/>
          <w:bCs/>
          <w:kern w:val="0"/>
          <w:sz w:val="24"/>
          <w:szCs w:val="24"/>
        </w:rPr>
        <w:t>正本一份、副本三份</w:t>
      </w:r>
      <w:r>
        <w:rPr>
          <w:rFonts w:hint="eastAsia" w:asciiTheme="minorEastAsia" w:hAnsiTheme="minorEastAsia" w:eastAsiaTheme="minorEastAsia" w:cstheme="minorEastAsia"/>
          <w:kern w:val="0"/>
          <w:sz w:val="24"/>
          <w:szCs w:val="24"/>
        </w:rPr>
        <w:t>，在每一份磋商响应书上要明确“正本”或“副本”字样，所有响应文件须密封提交。因正本与副本不一致或未按采购文件要求编制而导致响应文件被误读或拒绝等不利后果由供应商承担。</w:t>
      </w:r>
    </w:p>
    <w:p>
      <w:pPr>
        <w:spacing w:line="360" w:lineRule="auto"/>
        <w:ind w:firstLine="480" w:firstLineChars="200"/>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15除非合同中另有规定，磋商供应商的报价均已包括了为实施和完成合同所需的建设及回购期内的一切费用。</w:t>
      </w:r>
    </w:p>
    <w:p>
      <w:pPr>
        <w:spacing w:line="360" w:lineRule="auto"/>
        <w:ind w:firstLine="480" w:firstLineChars="200"/>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16、磋商保证金</w:t>
      </w:r>
    </w:p>
    <w:p>
      <w:pPr>
        <w:spacing w:line="360" w:lineRule="auto"/>
        <w:ind w:firstLine="480" w:firstLineChars="200"/>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16.1磋商保证金为磋商响应文件的组成部分之一。</w:t>
      </w:r>
    </w:p>
    <w:p>
      <w:pPr>
        <w:spacing w:line="360" w:lineRule="auto"/>
        <w:ind w:firstLine="480" w:firstLineChars="200"/>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16.2磋商供应商应从其帐户银行转帐或电汇向采购代理机构指定的帐户提交本采购文件规定的磋商保证金。</w:t>
      </w:r>
    </w:p>
    <w:p>
      <w:pPr>
        <w:spacing w:line="360" w:lineRule="auto"/>
        <w:ind w:firstLine="480" w:firstLineChars="200"/>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16.3未按规定提交磋商保证金的磋商响应，将被视为磋商响应无效。</w:t>
      </w:r>
    </w:p>
    <w:p>
      <w:pPr>
        <w:spacing w:line="360" w:lineRule="auto"/>
        <w:ind w:firstLine="480" w:firstLineChars="200"/>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16.4磋商保证金用于保护本次竞争性磋商免受磋商供应商的行为而引起的风险。</w:t>
      </w:r>
    </w:p>
    <w:p>
      <w:pPr>
        <w:spacing w:line="360" w:lineRule="auto"/>
        <w:ind w:firstLine="480" w:firstLineChars="200"/>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16.5未成交供应商的磋商保证金，在采购结果公告发布之日五个工作日内无息一次性退还。</w:t>
      </w:r>
    </w:p>
    <w:p>
      <w:pPr>
        <w:spacing w:line="360" w:lineRule="auto"/>
        <w:ind w:firstLine="480" w:firstLineChars="200"/>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16.6发生以下情况磋商响应保证金将不予退还。</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（一）供应商在提交响应文</w:t>
      </w:r>
      <w:r>
        <w:rPr>
          <w:rFonts w:hint="eastAsia" w:asciiTheme="minorEastAsia" w:hAnsiTheme="minorEastAsia" w:eastAsiaTheme="minorEastAsia" w:cstheme="minorEastAsia"/>
          <w:sz w:val="24"/>
          <w:szCs w:val="24"/>
        </w:rPr>
        <w:t>件截止时间后撤回响应文件的；</w:t>
      </w:r>
    </w:p>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（二）供应商在响应文件中提供虚假材料的；</w:t>
      </w:r>
    </w:p>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（三）除因不可抗力或磋商文件认可的情形以外，成交供应商不与采购人签订合同的；</w:t>
      </w:r>
    </w:p>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（四）供应商与采购人、其他供应商或者采购代理机构恶意串通的；</w:t>
      </w:r>
    </w:p>
    <w:p>
      <w:pPr>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（五）采购文件规定的其他情形。</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上述不予退还询价保证金的情况给采购单位或招标代理机构造成损失的，还要承担赔偿责任。</w:t>
      </w:r>
    </w:p>
    <w:p>
      <w:pPr>
        <w:spacing w:line="360" w:lineRule="auto"/>
        <w:ind w:firstLine="480" w:firstLineChars="200"/>
        <w:jc w:val="center"/>
        <w:textAlignment w:val="baseline"/>
        <w:rPr>
          <w:rFonts w:asciiTheme="minorEastAsia" w:hAnsiTheme="minorEastAsia" w:eastAsiaTheme="minorEastAsia" w:cstheme="minorEastAsia"/>
          <w:b/>
          <w:bCs/>
          <w:sz w:val="24"/>
          <w:szCs w:val="24"/>
        </w:rPr>
      </w:pPr>
    </w:p>
    <w:p>
      <w:pPr>
        <w:pStyle w:val="7"/>
        <w:jc w:val="center"/>
        <w:textAlignment w:val="baseline"/>
        <w:rPr>
          <w:rFonts w:asciiTheme="minorEastAsia" w:hAnsiTheme="minorEastAsia" w:eastAsiaTheme="minorEastAsia" w:cstheme="minorEastAsia"/>
          <w:sz w:val="28"/>
          <w:szCs w:val="28"/>
        </w:rPr>
      </w:pPr>
      <w:bookmarkStart w:id="8" w:name="_Toc36811833"/>
      <w:r>
        <w:rPr>
          <w:rFonts w:hint="eastAsia" w:asciiTheme="minorEastAsia" w:hAnsiTheme="minorEastAsia" w:eastAsiaTheme="minorEastAsia" w:cstheme="minorEastAsia"/>
        </w:rPr>
        <w:t>四、磋商响应文件的递交</w:t>
      </w:r>
      <w:bookmarkEnd w:id="8"/>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18、磋商响应文件的密封和标记</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18.1供应商应当将响应文件密封包装提交，并在外封套上标识项目名称、项目编号。</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18.2密封件封口处须加盖单位公章或授权代表（单位负责人或授权代理人）签字或盖章。</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18.3由于供应商未按照要求对其提交的响应文件进行密封、标识等，由此可能产生的后果（包括拒收、误放、遗漏或提前拆封等情形），将由供应商自行承担相应结果，采购人或采购代理机构不承担责任。</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19、递交磋商响应文件的截止时间</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19.1所有磋商响应文件都必须按采购代理机构在竞争性磋商邀请中规定的递交磋商响应文件截止时间之前由磋商供应商代表送至磋商地点。递交响应文件时，必须由单位负责人或授权代表填写签到表。</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19.2出现因竞争性磋商采购文件的修改推迟磋商响应截止日期时，则按采购代理机构修改通知规定的时间递交。</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19.3</w:t>
      </w:r>
      <w:r>
        <w:rPr>
          <w:rFonts w:hint="eastAsia" w:asciiTheme="minorEastAsia" w:hAnsiTheme="minorEastAsia" w:eastAsiaTheme="minorEastAsia" w:cstheme="minorEastAsia"/>
          <w:kern w:val="0"/>
          <w:sz w:val="24"/>
          <w:szCs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r>
        <w:rPr>
          <w:rFonts w:hint="eastAsia" w:asciiTheme="minorEastAsia" w:hAnsiTheme="minorEastAsia" w:eastAsiaTheme="minorEastAsia" w:cstheme="minorEastAsia"/>
          <w:sz w:val="24"/>
          <w:szCs w:val="24"/>
        </w:rPr>
        <w:t>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19.4递交磋商响应文件的截止后，由监督人员或供应商代表检查响应文件的密封情况。</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20、迟交的磋商响应文件</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20.1竞争性磋商小组将拒绝在递交磋商响应文件截止时间后收到的磋商响应文件。</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21、磋商响应文件撤销</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21.1磋商供应商在提交磋商响应文件后可对其磋商响应文件进行撤销，但采购代理机构须在递交磋商响应文件截止时间之前收到该撤销的书面通知。</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21.2磋商供应商不得在磋商有效期内撤销磋商响应文件，否则16.6的规定，其磋商响应保证金将不予退回。</w:t>
      </w:r>
    </w:p>
    <w:p>
      <w:pPr>
        <w:pStyle w:val="7"/>
        <w:jc w:val="center"/>
        <w:textAlignment w:val="baseline"/>
        <w:rPr>
          <w:rFonts w:asciiTheme="minorEastAsia" w:hAnsiTheme="minorEastAsia" w:eastAsiaTheme="minorEastAsia" w:cstheme="minorEastAsia"/>
          <w:sz w:val="28"/>
          <w:szCs w:val="28"/>
        </w:rPr>
      </w:pPr>
      <w:bookmarkStart w:id="9" w:name="_Toc36811834"/>
      <w:r>
        <w:rPr>
          <w:rFonts w:hint="eastAsia" w:asciiTheme="minorEastAsia" w:hAnsiTheme="minorEastAsia" w:eastAsiaTheme="minorEastAsia" w:cstheme="minorEastAsia"/>
        </w:rPr>
        <w:t>五、竞争性磋商</w:t>
      </w:r>
      <w:bookmarkEnd w:id="9"/>
    </w:p>
    <w:p>
      <w:pPr>
        <w:spacing w:line="360" w:lineRule="auto"/>
        <w:ind w:firstLine="480" w:firstLineChars="200"/>
        <w:jc w:val="left"/>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22、竞争性磋商</w:t>
      </w:r>
    </w:p>
    <w:p>
      <w:pPr>
        <w:pStyle w:val="17"/>
        <w:spacing w:before="75" w:beforeAutospacing="0" w:after="75" w:afterAutospacing="0" w:line="435" w:lineRule="atLeast"/>
        <w:ind w:firstLine="480" w:firstLineChars="2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22.1评审和磋商基本准则</w:t>
      </w:r>
    </w:p>
    <w:p>
      <w:pPr>
        <w:widowControl/>
        <w:spacing w:before="75" w:after="75" w:line="435" w:lineRule="atLeast"/>
        <w:ind w:firstLine="360" w:firstLineChars="15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22.1.1对所有供应商的评审和磋商，都采用相同的程序和标准。</w:t>
      </w:r>
    </w:p>
    <w:p>
      <w:pPr>
        <w:widowControl/>
        <w:spacing w:before="75" w:after="75" w:line="435" w:lineRule="atLeast"/>
        <w:ind w:firstLine="405"/>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22.1.2磋商及评审过程将严格按照磋商文件的要求和条件进行，磋商小组将根据供应商的响应文件，按磋商文件规定的磋商程序及评审的标准和方法进行评审、磋商，并推荐入围供应商。</w:t>
      </w:r>
    </w:p>
    <w:p>
      <w:pPr>
        <w:spacing w:line="360" w:lineRule="auto"/>
        <w:ind w:firstLine="480" w:firstLineChars="200"/>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磋商文件内容违反国家有关强制性规定的，磋商小组应当停止评审并向采购人或者采购代理机构说明情况。</w:t>
      </w:r>
    </w:p>
    <w:p>
      <w:pPr>
        <w:widowControl/>
        <w:spacing w:before="75" w:after="75" w:line="435" w:lineRule="atLeast"/>
        <w:ind w:firstLine="350" w:firstLineChars="146"/>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22.2磋商程序以及评审标准和方法</w:t>
      </w:r>
    </w:p>
    <w:p>
      <w:pPr>
        <w:widowControl/>
        <w:spacing w:before="75" w:after="75" w:line="435" w:lineRule="atLeast"/>
        <w:ind w:firstLine="360" w:firstLineChars="15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22.2.1采购人将根据项目的特点依法组建磋商小组。磋商小组将根据磋商文件规定的程序、评审标准和方法等内容对供应商进行评审、磋商。</w:t>
      </w:r>
    </w:p>
    <w:p>
      <w:pPr>
        <w:widowControl/>
        <w:spacing w:before="75" w:after="75" w:line="435" w:lineRule="atLeast"/>
        <w:ind w:firstLine="360" w:firstLineChars="15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22.2.2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widowControl/>
        <w:spacing w:before="75" w:after="75" w:line="435" w:lineRule="atLeast"/>
        <w:ind w:firstLine="480" w:firstLineChars="20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22.2.3供应商有下列情况之一者，其提交的响应文件将被视为未实质性响应磋商文件要求，磋商小组将否决其响应文件，按无效处理：</w:t>
      </w:r>
    </w:p>
    <w:p>
      <w:pPr>
        <w:widowControl/>
        <w:spacing w:before="75" w:after="75" w:line="435" w:lineRule="atLeast"/>
        <w:ind w:firstLine="48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(1)响应文件中提供的资格证明文件不全的；</w:t>
      </w:r>
    </w:p>
    <w:p>
      <w:pPr>
        <w:widowControl/>
        <w:spacing w:before="75" w:after="75" w:line="435" w:lineRule="atLeast"/>
        <w:ind w:firstLine="48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(2)响应文件未按磋商文件规定由供应商代表签字，或未按磋商文件规定加盖供应商单位公章的；或供应商代表未获得有效授权的；</w:t>
      </w:r>
    </w:p>
    <w:p>
      <w:pPr>
        <w:widowControl/>
        <w:spacing w:before="75" w:after="75" w:line="435" w:lineRule="atLeast"/>
        <w:ind w:firstLine="48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(3)供应商未按磋商文件规定提交磋商保证金的；</w:t>
      </w:r>
    </w:p>
    <w:p>
      <w:pPr>
        <w:widowControl/>
        <w:spacing w:before="75" w:after="75" w:line="435" w:lineRule="atLeast"/>
        <w:ind w:firstLine="48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(4)响应文件有效期不满足磋商文件要求的；</w:t>
      </w:r>
    </w:p>
    <w:p>
      <w:pPr>
        <w:widowControl/>
        <w:spacing w:before="75" w:after="75" w:line="435" w:lineRule="atLeast"/>
        <w:ind w:firstLine="48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(5)响应内容与磋商采购内容及要求有重大偏离或保留的，限制了采购人的权利或者减少成交人合同项下的义务；（由于磋商项目本身特点，不能详细列明采购标的的技术、服务要求的除外）；</w:t>
      </w:r>
    </w:p>
    <w:p>
      <w:pPr>
        <w:widowControl/>
        <w:spacing w:before="75" w:after="75" w:line="435" w:lineRule="atLeast"/>
        <w:ind w:firstLine="48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(6)响应文件中附有采购人无法接受的条件的；</w:t>
      </w:r>
    </w:p>
    <w:p>
      <w:pPr>
        <w:widowControl/>
        <w:spacing w:before="75" w:after="75" w:line="435" w:lineRule="atLeast"/>
        <w:ind w:firstLine="48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(7)不符合磋商文件中规定的其它实质性条款（比如：报价超过了磋商文件规定的最高限价）。</w:t>
      </w:r>
    </w:p>
    <w:p>
      <w:pPr>
        <w:widowControl/>
        <w:spacing w:before="75" w:after="75" w:line="435" w:lineRule="atLeast"/>
        <w:ind w:firstLine="405"/>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磋商小组决定供应商的响应性只根据响应文件本身的内容，而不寻求其他的外部证据。</w:t>
      </w:r>
    </w:p>
    <w:p>
      <w:pPr>
        <w:pStyle w:val="17"/>
        <w:spacing w:before="75" w:beforeAutospacing="0" w:after="75" w:afterAutospacing="0" w:line="435" w:lineRule="atLeast"/>
        <w:ind w:firstLine="480" w:firstLineChars="2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22.2.4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17"/>
        <w:spacing w:before="75" w:beforeAutospacing="0" w:after="75" w:afterAutospacing="0" w:line="435" w:lineRule="atLeast"/>
        <w:ind w:firstLine="480" w:firstLineChars="2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磋商供应商在进行澄清、说明、或者更正时，不得阐述与问题无关的内容，未经允许不得向磋商小组提供新的材料。</w:t>
      </w:r>
    </w:p>
    <w:p>
      <w:pPr>
        <w:pStyle w:val="17"/>
        <w:spacing w:before="75" w:beforeAutospacing="0" w:after="75" w:afterAutospacing="0" w:line="435" w:lineRule="atLeast"/>
        <w:ind w:firstLine="480" w:firstLineChars="200"/>
        <w:textAlignment w:val="baseline"/>
        <w:rPr>
          <w:rFonts w:asciiTheme="minorEastAsia" w:hAnsiTheme="minorEastAsia" w:eastAsiaTheme="minorEastAsia" w:cstheme="minorEastAsia"/>
          <w:sz w:val="27"/>
          <w:szCs w:val="27"/>
        </w:rPr>
      </w:pPr>
      <w:r>
        <w:rPr>
          <w:rFonts w:hint="eastAsia" w:asciiTheme="minorEastAsia" w:hAnsiTheme="minorEastAsia" w:eastAsiaTheme="minorEastAsia" w:cstheme="minorEastAsia"/>
        </w:rPr>
        <w:t>报价金额按照以下规定修正原则：①报价一览表内容与响应文件中相应内容不一致的，以报价一览表为准；②大写金额和小写金额不一致的，以大写金额为准；③单价金额小数点或百分比有明显错位的，以报价一览表的总价为准，并修改单价；④总价金额与按照单价汇总金额不一致的，以单价金额计算结果为准。</w:t>
      </w: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22.2.5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采购项目内容、报价、合同条款。</w:t>
      </w: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22.2.6合格供应商应当按照磋商文件的变动情况和磋商小组的要求提交补充响应文件（首次响应文件中已经提交过的如资格证明文件等资料，不用重新提供），并由供应商代表签字或加盖供应商单位公章。供应商代</w:t>
      </w:r>
      <w:r>
        <w:rPr>
          <w:rFonts w:hint="eastAsia" w:asciiTheme="minorEastAsia" w:hAnsiTheme="minorEastAsia" w:eastAsiaTheme="minorEastAsia" w:cstheme="minorEastAsia"/>
          <w:sz w:val="24"/>
          <w:szCs w:val="24"/>
        </w:rPr>
        <w:t>表如果不是竞争性磋商须知中定义的“单位负责人”，则还必须提供“单位负责人授权书”。</w:t>
      </w:r>
    </w:p>
    <w:p>
      <w:pPr>
        <w:pStyle w:val="17"/>
        <w:spacing w:before="75" w:beforeAutospacing="0" w:after="75" w:afterAutospacing="0" w:line="435" w:lineRule="atLeast"/>
        <w:textAlignment w:val="baseline"/>
        <w:rPr>
          <w:rFonts w:asciiTheme="minorEastAsia" w:hAnsiTheme="minorEastAsia" w:eastAsiaTheme="minorEastAsia" w:cstheme="minorEastAsia"/>
          <w:sz w:val="27"/>
          <w:szCs w:val="27"/>
        </w:rPr>
      </w:pPr>
      <w:r>
        <w:rPr>
          <w:rFonts w:hint="eastAsia" w:asciiTheme="minorEastAsia" w:hAnsiTheme="minorEastAsia" w:eastAsiaTheme="minorEastAsia" w:cstheme="minorEastAsia"/>
          <w:sz w:val="29"/>
          <w:szCs w:val="29"/>
        </w:rPr>
        <w:t>　</w:t>
      </w:r>
      <w:r>
        <w:rPr>
          <w:rFonts w:hint="eastAsia" w:asciiTheme="minorEastAsia" w:hAnsiTheme="minorEastAsia" w:eastAsiaTheme="minorEastAsia" w:cstheme="minorEastAsia"/>
        </w:rPr>
        <w:t>　22.2.7磋商文件能够详细列明采购标的的技术、服务要求的，磋商结束后，磋商小组应当要求所有实质性响应的合格供应商在规定时间内提交最后报价。</w:t>
      </w: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22.2.8磋商文件不能详细列明采购标的的技术、服务要求，需经磋商由供应商提供最终设计方案或解决方案的，磋商结束后，磋商小组应当按照少数服从多数的原则投票推荐1家或以上供应商的设计方案或者解决方案，并要求其在规定时间内提交最后报价。</w:t>
      </w: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22.2.9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widowControl/>
        <w:spacing w:before="75" w:after="75" w:line="435" w:lineRule="atLeast"/>
        <w:ind w:firstLine="480" w:firstLineChars="20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22.2.10磋商小组将采用综合评分法对提交最后报价的供应商的响应文件和最后报价进行综合评分，具体评审的标准和方法详见第23项。磋商小组根据综合评分情况，按照评审得分由高到低顺序推荐入围供应商，并编写评审报告。如果成交候选供应商出现并列相同的评审得分，则相应处理方式按照“评审的方法和入围原则”的相关条款规定执行。</w:t>
      </w: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22.2.11供应商提交的响应文件和资料将给予保密，但不退回（有关证件或证照的原件除外）。</w:t>
      </w:r>
    </w:p>
    <w:p>
      <w:pPr>
        <w:widowControl/>
        <w:spacing w:before="75" w:after="75" w:line="435" w:lineRule="atLeast"/>
        <w:ind w:firstLine="360" w:firstLineChars="15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23、评审方法和入围原则：</w:t>
      </w:r>
    </w:p>
    <w:p>
      <w:pPr>
        <w:spacing w:line="440" w:lineRule="exact"/>
        <w:ind w:firstLine="480" w:firstLineChars="200"/>
        <w:textAlignment w:val="baseline"/>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kern w:val="0"/>
          <w:sz w:val="24"/>
          <w:szCs w:val="24"/>
        </w:rPr>
        <w:t>23.1</w:t>
      </w:r>
      <w:r>
        <w:rPr>
          <w:rFonts w:hint="eastAsia" w:asciiTheme="minorEastAsia" w:hAnsiTheme="minorEastAsia" w:eastAsiaTheme="minorEastAsia" w:cstheme="minorEastAsia"/>
          <w:b/>
          <w:bCs/>
          <w:sz w:val="24"/>
          <w:szCs w:val="24"/>
        </w:rPr>
        <w:t>采用综合评分办法，确定成交侯选供应商。分值由技术、商务和价格三部分构成，采用百分制。磋商小组按评审后投标供应商综合得分由高到低排列顺序。总得分相同的，按总报价由低到高顺序排列；总得分及总报价相同的，通过随机抽取方式确定排序。磋商小组根据前述要求推荐1名成交侯选供应商。</w:t>
      </w:r>
    </w:p>
    <w:p>
      <w:pPr>
        <w:spacing w:line="440" w:lineRule="exact"/>
        <w:ind w:firstLine="480" w:firstLineChars="200"/>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23.2具体评审标准和方法</w:t>
      </w:r>
    </w:p>
    <w:p>
      <w:pPr>
        <w:numPr>
          <w:ilvl w:val="0"/>
          <w:numId w:val="3"/>
        </w:numPr>
        <w:spacing w:line="440" w:lineRule="exact"/>
        <w:ind w:firstLine="480" w:firstLineChars="200"/>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响应文件满足磋商文件全部实质性要求，且按照评审因素的量化指标综合评审总得分从高到低顺序推荐</w:t>
      </w:r>
      <w:r>
        <w:rPr>
          <w:rFonts w:hint="eastAsia" w:asciiTheme="minorEastAsia" w:hAnsiTheme="minorEastAsia" w:eastAsiaTheme="minorEastAsia" w:cstheme="minorEastAsia"/>
          <w:sz w:val="24"/>
          <w:szCs w:val="24"/>
        </w:rPr>
        <w:t>1名</w:t>
      </w:r>
      <w:r>
        <w:rPr>
          <w:rFonts w:hint="eastAsia" w:asciiTheme="minorEastAsia" w:hAnsiTheme="minorEastAsia" w:eastAsiaTheme="minorEastAsia" w:cstheme="minorEastAsia"/>
          <w:kern w:val="0"/>
          <w:sz w:val="24"/>
          <w:szCs w:val="24"/>
        </w:rPr>
        <w:t>成交候选人供应商，其中评审总得分最高的供应商为第一成交候选供应商。</w:t>
      </w:r>
    </w:p>
    <w:p>
      <w:pPr>
        <w:spacing w:line="440" w:lineRule="exact"/>
        <w:ind w:firstLine="480" w:firstLineChars="200"/>
        <w:textAlignment w:val="baseline"/>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kern w:val="0"/>
          <w:sz w:val="24"/>
          <w:szCs w:val="24"/>
        </w:rPr>
        <w:t>注：各项分值计算时保留至小数点后两位，第三位四舍五入。</w:t>
      </w:r>
    </w:p>
    <w:p>
      <w:pPr>
        <w:numPr>
          <w:ilvl w:val="0"/>
          <w:numId w:val="3"/>
        </w:numPr>
        <w:spacing w:before="100" w:beforeAutospacing="1" w:after="100" w:afterAutospacing="1" w:line="420" w:lineRule="atLeast"/>
        <w:ind w:firstLine="480" w:firstLineChars="200"/>
        <w:jc w:val="left"/>
        <w:textAlignment w:val="baseline"/>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技术部分评分           满分</w:t>
      </w:r>
      <w:r>
        <w:rPr>
          <w:rFonts w:hint="eastAsia" w:asciiTheme="minorEastAsia" w:hAnsiTheme="minorEastAsia" w:eastAsiaTheme="minorEastAsia" w:cstheme="minorEastAsia"/>
          <w:b/>
          <w:bCs/>
          <w:kern w:val="0"/>
          <w:sz w:val="24"/>
          <w:szCs w:val="24"/>
          <w:u w:val="single" w:color="000000"/>
        </w:rPr>
        <w:t>68</w:t>
      </w:r>
      <w:r>
        <w:rPr>
          <w:rFonts w:hint="eastAsia" w:asciiTheme="minorEastAsia" w:hAnsiTheme="minorEastAsia" w:eastAsiaTheme="minorEastAsia" w:cstheme="minorEastAsia"/>
          <w:b/>
          <w:bCs/>
          <w:kern w:val="0"/>
          <w:sz w:val="24"/>
          <w:szCs w:val="24"/>
        </w:rPr>
        <w:t>分</w:t>
      </w:r>
    </w:p>
    <w:tbl>
      <w:tblPr>
        <w:tblStyle w:val="21"/>
        <w:tblW w:w="9570" w:type="dxa"/>
        <w:tblInd w:w="-624"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380"/>
        <w:gridCol w:w="1063"/>
        <w:gridCol w:w="71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1380" w:type="dxa"/>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评标项目</w:t>
            </w:r>
          </w:p>
        </w:tc>
        <w:tc>
          <w:tcPr>
            <w:tcW w:w="1063" w:type="dxa"/>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评标分值</w:t>
            </w:r>
          </w:p>
        </w:tc>
        <w:tc>
          <w:tcPr>
            <w:tcW w:w="7127" w:type="dxa"/>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1380" w:type="dxa"/>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技术响应情况</w:t>
            </w:r>
          </w:p>
        </w:tc>
        <w:tc>
          <w:tcPr>
            <w:tcW w:w="1063" w:type="dxa"/>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68</w:t>
            </w:r>
          </w:p>
        </w:tc>
        <w:tc>
          <w:tcPr>
            <w:tcW w:w="7127" w:type="dxa"/>
            <w:tcBorders>
              <w:top w:val="outset" w:color="auto" w:sz="6" w:space="0"/>
              <w:left w:val="outset" w:color="auto" w:sz="6" w:space="0"/>
              <w:bottom w:val="outset" w:color="auto" w:sz="6" w:space="0"/>
              <w:right w:val="outset" w:color="auto" w:sz="6" w:space="0"/>
            </w:tcBorders>
            <w:vAlign w:val="center"/>
          </w:tcPr>
          <w:p>
            <w:pPr>
              <w:widowControl/>
              <w:spacing w:line="460" w:lineRule="exac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供应商对《第三章招标内容及要求》二、技术和服务要求中各项要求的响应情况进行评分，各项要求完全满足的68分；①其中标注“▲”的内容每负偏离一项扣3.44分；②其他内容任一细项不满足（负偏离）扣0.05分。</w:t>
            </w:r>
            <w:r>
              <w:rPr>
                <w:rFonts w:hint="eastAsia" w:asciiTheme="minorEastAsia" w:hAnsiTheme="minorEastAsia" w:eastAsiaTheme="minorEastAsia" w:cstheme="minorEastAsia"/>
                <w:b/>
                <w:bCs/>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1380" w:type="dxa"/>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asciiTheme="minorEastAsia" w:hAnsiTheme="minorEastAsia" w:eastAsiaTheme="minorEastAsia" w:cstheme="minorEastAsia"/>
                <w:kern w:val="0"/>
                <w:sz w:val="24"/>
              </w:rPr>
            </w:pPr>
          </w:p>
        </w:tc>
        <w:tc>
          <w:tcPr>
            <w:tcW w:w="1063" w:type="dxa"/>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0</w:t>
            </w:r>
          </w:p>
        </w:tc>
        <w:tc>
          <w:tcPr>
            <w:tcW w:w="7127" w:type="dxa"/>
            <w:tcBorders>
              <w:top w:val="outset" w:color="auto" w:sz="6" w:space="0"/>
              <w:left w:val="outset" w:color="auto" w:sz="6" w:space="0"/>
              <w:bottom w:val="outset" w:color="auto" w:sz="6" w:space="0"/>
              <w:right w:val="outset" w:color="auto" w:sz="6" w:space="0"/>
            </w:tcBorders>
            <w:vAlign w:val="center"/>
          </w:tcPr>
          <w:p>
            <w:pPr>
              <w:widowControl/>
              <w:spacing w:line="460" w:lineRule="exac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技术部分所有评委平均得分低于该部分总分的50%的（不含50%），视为无效投标。</w:t>
            </w:r>
          </w:p>
        </w:tc>
      </w:tr>
    </w:tbl>
    <w:p>
      <w:pPr>
        <w:numPr>
          <w:ilvl w:val="0"/>
          <w:numId w:val="3"/>
        </w:numPr>
        <w:spacing w:before="100" w:beforeAutospacing="1" w:after="100" w:afterAutospacing="1" w:line="420" w:lineRule="atLeast"/>
        <w:ind w:firstLine="480" w:firstLineChars="200"/>
        <w:jc w:val="lef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商务部分评分          满分</w:t>
      </w:r>
      <w:r>
        <w:rPr>
          <w:rFonts w:hint="eastAsia" w:asciiTheme="minorEastAsia" w:hAnsiTheme="minorEastAsia" w:eastAsiaTheme="minorEastAsia" w:cstheme="minorEastAsia"/>
          <w:b/>
          <w:bCs/>
          <w:kern w:val="0"/>
          <w:sz w:val="24"/>
          <w:u w:val="single"/>
        </w:rPr>
        <w:t>12</w:t>
      </w:r>
      <w:r>
        <w:rPr>
          <w:rFonts w:hint="eastAsia" w:asciiTheme="minorEastAsia" w:hAnsiTheme="minorEastAsia" w:eastAsiaTheme="minorEastAsia" w:cstheme="minorEastAsia"/>
          <w:b/>
          <w:bCs/>
          <w:kern w:val="0"/>
          <w:sz w:val="24"/>
        </w:rPr>
        <w:t>分</w:t>
      </w:r>
    </w:p>
    <w:tbl>
      <w:tblPr>
        <w:tblStyle w:val="21"/>
        <w:tblW w:w="9540" w:type="dxa"/>
        <w:jc w:val="center"/>
        <w:tblLayout w:type="autofit"/>
        <w:tblCellMar>
          <w:top w:w="0" w:type="dxa"/>
          <w:left w:w="108" w:type="dxa"/>
          <w:bottom w:w="0" w:type="dxa"/>
          <w:right w:w="108" w:type="dxa"/>
        </w:tblCellMar>
      </w:tblPr>
      <w:tblGrid>
        <w:gridCol w:w="960"/>
        <w:gridCol w:w="960"/>
        <w:gridCol w:w="7620"/>
      </w:tblGrid>
      <w:tr>
        <w:tblPrEx>
          <w:tblCellMar>
            <w:top w:w="0" w:type="dxa"/>
            <w:left w:w="108" w:type="dxa"/>
            <w:bottom w:w="0" w:type="dxa"/>
            <w:right w:w="108" w:type="dxa"/>
          </w:tblCellMar>
        </w:tblPrEx>
        <w:trPr>
          <w:trHeight w:val="624" w:hRule="atLeast"/>
          <w:jc w:val="center"/>
        </w:trPr>
        <w:tc>
          <w:tcPr>
            <w:tcW w:w="9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评标项目</w:t>
            </w:r>
          </w:p>
        </w:tc>
        <w:tc>
          <w:tcPr>
            <w:tcW w:w="9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评标分值</w:t>
            </w:r>
          </w:p>
        </w:tc>
        <w:tc>
          <w:tcPr>
            <w:tcW w:w="76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评标方法描述</w:t>
            </w:r>
          </w:p>
        </w:tc>
      </w:tr>
      <w:tr>
        <w:tblPrEx>
          <w:tblCellMar>
            <w:top w:w="0" w:type="dxa"/>
            <w:left w:w="108" w:type="dxa"/>
            <w:bottom w:w="0" w:type="dxa"/>
            <w:right w:w="108" w:type="dxa"/>
          </w:tblCellMar>
        </w:tblPrEx>
        <w:trPr>
          <w:trHeight w:val="1248" w:hRule="atLeast"/>
          <w:jc w:val="center"/>
        </w:trPr>
        <w:tc>
          <w:tcPr>
            <w:tcW w:w="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综合实力1</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6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为确保产品和系统得到良好的集成和运维服务，投标人所投</w:t>
            </w:r>
            <w:r>
              <w:rPr>
                <w:rFonts w:hint="eastAsia" w:ascii="宋体" w:hAnsi="宋体" w:cs="宋体"/>
                <w:b/>
                <w:bCs/>
                <w:color w:val="FF0000"/>
                <w:kern w:val="0"/>
                <w:sz w:val="24"/>
                <w:szCs w:val="24"/>
              </w:rPr>
              <w:t>“中心平台系统”</w:t>
            </w:r>
            <w:r>
              <w:rPr>
                <w:rFonts w:hint="eastAsia" w:ascii="宋体" w:hAnsi="宋体" w:cs="宋体"/>
                <w:color w:val="000000"/>
                <w:kern w:val="0"/>
                <w:sz w:val="24"/>
                <w:szCs w:val="24"/>
              </w:rPr>
              <w:t>产品制造商具有ITSS信息技术服务运行维护标准符合性认证证书的得1分【</w:t>
            </w:r>
            <w:r>
              <w:rPr>
                <w:rFonts w:hint="eastAsia" w:ascii="宋体" w:hAnsi="宋体" w:cs="宋体"/>
                <w:b/>
                <w:bCs/>
                <w:color w:val="000000"/>
                <w:kern w:val="0"/>
                <w:sz w:val="24"/>
                <w:szCs w:val="24"/>
              </w:rPr>
              <w:t>须提供证书复印件并加盖投标单位公章，未提供不得分</w:t>
            </w: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1248" w:hRule="atLeast"/>
          <w:jc w:val="center"/>
        </w:trPr>
        <w:tc>
          <w:tcPr>
            <w:tcW w:w="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综合实力2</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6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为确保产品在互联网中使用的数据安全和漏洞管控风险合规，所投</w:t>
            </w:r>
            <w:r>
              <w:rPr>
                <w:rFonts w:hint="eastAsia" w:ascii="宋体" w:hAnsi="宋体" w:cs="宋体"/>
                <w:b/>
                <w:bCs/>
                <w:color w:val="000000"/>
                <w:kern w:val="0"/>
                <w:sz w:val="24"/>
                <w:szCs w:val="24"/>
              </w:rPr>
              <w:t>“智能家居系统软件”</w:t>
            </w:r>
            <w:r>
              <w:rPr>
                <w:rFonts w:hint="eastAsia" w:ascii="宋体" w:hAnsi="宋体" w:cs="宋体"/>
                <w:color w:val="000000"/>
                <w:kern w:val="0"/>
                <w:sz w:val="24"/>
                <w:szCs w:val="24"/>
              </w:rPr>
              <w:t>产品制造商获得工信部移动互联网APP产品安全漏洞库（CAPPVD）技术支撑单位认证的得1分【</w:t>
            </w:r>
            <w:r>
              <w:rPr>
                <w:rFonts w:hint="eastAsia" w:ascii="宋体" w:hAnsi="宋体" w:cs="宋体"/>
                <w:b/>
                <w:bCs/>
                <w:color w:val="000000"/>
                <w:kern w:val="0"/>
                <w:sz w:val="24"/>
                <w:szCs w:val="24"/>
              </w:rPr>
              <w:t>须提供证书复印件并加盖投标单位公章，未提供不得分</w:t>
            </w: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1268" w:hRule="atLeast"/>
          <w:jc w:val="center"/>
        </w:trPr>
        <w:tc>
          <w:tcPr>
            <w:tcW w:w="96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综合实力3</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6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为确保产品的竞争力和先进性，具备一定的科技创新和科技能力，投标人或投标人所投</w:t>
            </w:r>
            <w:r>
              <w:rPr>
                <w:rFonts w:hint="eastAsia" w:ascii="宋体" w:hAnsi="宋体" w:cs="宋体"/>
                <w:b/>
                <w:bCs/>
                <w:color w:val="FF0000"/>
                <w:kern w:val="0"/>
                <w:sz w:val="22"/>
                <w:szCs w:val="22"/>
              </w:rPr>
              <w:t>“400万高空抛物变焦枪型网络摄像机”</w:t>
            </w:r>
            <w:r>
              <w:rPr>
                <w:rFonts w:hint="eastAsia" w:ascii="宋体" w:hAnsi="宋体" w:cs="宋体"/>
                <w:color w:val="000000"/>
                <w:kern w:val="0"/>
                <w:sz w:val="22"/>
                <w:szCs w:val="22"/>
              </w:rPr>
              <w:t>制造商入选国家级工业设计中心名单的得1分【</w:t>
            </w:r>
            <w:r>
              <w:rPr>
                <w:rFonts w:hint="eastAsia" w:ascii="宋体" w:hAnsi="宋体" w:cs="宋体"/>
                <w:b/>
                <w:bCs/>
                <w:color w:val="000000"/>
                <w:kern w:val="0"/>
                <w:sz w:val="22"/>
                <w:szCs w:val="22"/>
              </w:rPr>
              <w:t>须提供证明材料复印件并加盖</w:t>
            </w:r>
            <w:r>
              <w:rPr>
                <w:rFonts w:hint="eastAsia" w:ascii="宋体" w:hAnsi="宋体" w:cs="宋体"/>
                <w:b/>
                <w:bCs/>
                <w:color w:val="000000"/>
                <w:kern w:val="0"/>
                <w:sz w:val="24"/>
                <w:szCs w:val="24"/>
              </w:rPr>
              <w:t>投标单位</w:t>
            </w:r>
            <w:r>
              <w:rPr>
                <w:rFonts w:hint="eastAsia" w:ascii="宋体" w:hAnsi="宋体" w:cs="宋体"/>
                <w:b/>
                <w:bCs/>
                <w:color w:val="000000"/>
                <w:kern w:val="0"/>
                <w:sz w:val="22"/>
                <w:szCs w:val="22"/>
              </w:rPr>
              <w:t>公章，未提供的不得分</w:t>
            </w: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1872" w:hRule="atLeast"/>
          <w:jc w:val="center"/>
        </w:trPr>
        <w:tc>
          <w:tcPr>
            <w:tcW w:w="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综合实力4</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6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4"/>
                <w:szCs w:val="24"/>
              </w:rPr>
            </w:pPr>
            <w:r>
              <w:rPr>
                <w:rFonts w:hint="eastAsia" w:ascii="宋体" w:hAnsi="宋体" w:cs="宋体"/>
                <w:color w:val="000000"/>
                <w:kern w:val="0"/>
                <w:sz w:val="24"/>
                <w:szCs w:val="24"/>
              </w:rPr>
              <w:t>供应商具有信息安全管理体系认证证书，且认证范围至少应包含系统集成及运维、物联网平台运营、应用软件开发，完全满足得1分，缺项不得分【</w:t>
            </w:r>
            <w:r>
              <w:rPr>
                <w:rFonts w:hint="eastAsia" w:ascii="宋体" w:hAnsi="宋体" w:cs="宋体"/>
                <w:b/>
                <w:bCs/>
                <w:color w:val="000000"/>
                <w:kern w:val="0"/>
                <w:sz w:val="24"/>
                <w:szCs w:val="24"/>
              </w:rPr>
              <w:t>须提供相关体系认证证书复印件以及该证书在全国认证认可信息公共服务平台（http://cx.cnca.cn)上状态为“有效”的查询结果网页截图打印件并加盖投标单位公章，未提供或提供不全的不得分</w:t>
            </w: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1872" w:hRule="atLeast"/>
          <w:jc w:val="center"/>
        </w:trPr>
        <w:tc>
          <w:tcPr>
            <w:tcW w:w="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综合实力5</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6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供应商具有信息技术服务管理体系认证证书，且认证范围至少应包含计算机软硬件运维、物联网平台运营、应用软件开发，完全满足得1分，缺项不得分【</w:t>
            </w:r>
            <w:r>
              <w:rPr>
                <w:rFonts w:hint="eastAsia" w:ascii="宋体" w:hAnsi="宋体" w:cs="宋体"/>
                <w:b/>
                <w:bCs/>
                <w:color w:val="000000"/>
                <w:kern w:val="0"/>
                <w:sz w:val="24"/>
                <w:szCs w:val="24"/>
              </w:rPr>
              <w:t>须提供相关体系认证证书复印件以及该证书在全国认证认可信息公共服务平台（http://cx.cnca.cn)上状态为“有效”的查询结果网页截图打印件并加盖投标单位公章，未提供或提供不全的不得分</w:t>
            </w: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1872" w:hRule="atLeast"/>
          <w:jc w:val="center"/>
        </w:trPr>
        <w:tc>
          <w:tcPr>
            <w:tcW w:w="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综合实力6</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6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供应商具有履约能力评价体系认证证书，且认证范围至少应包含信息系统集成及运维、应用软件开发、国内通信设施运维服务，全部满足得1分，缺项不得分。【</w:t>
            </w:r>
            <w:r>
              <w:rPr>
                <w:rFonts w:hint="eastAsia" w:ascii="宋体" w:hAnsi="宋体" w:cs="宋体"/>
                <w:b/>
                <w:bCs/>
                <w:color w:val="000000"/>
                <w:kern w:val="0"/>
                <w:sz w:val="24"/>
                <w:szCs w:val="24"/>
              </w:rPr>
              <w:t>须提供相关体系认证证书复印件以及该证书在全国认证认可信息公共服务平台（http://cx.cnca.cn)上状态为“有效”的查询结果网页截图打印件并加盖投标单位公章，未提供或提供不全的不得分</w:t>
            </w: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1872" w:hRule="atLeast"/>
          <w:jc w:val="center"/>
        </w:trPr>
        <w:tc>
          <w:tcPr>
            <w:tcW w:w="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综合实力7</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62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供应商具有质量管理体系认证且认证范围至少应包含信息系统集成及运维、应用软件开发、国内通信设施运维服务，全部满足得1分，缺项不得分【</w:t>
            </w:r>
            <w:r>
              <w:rPr>
                <w:rFonts w:hint="eastAsia" w:ascii="宋体" w:hAnsi="宋体" w:cs="宋体"/>
                <w:b/>
                <w:bCs/>
                <w:color w:val="000000"/>
                <w:kern w:val="0"/>
                <w:sz w:val="24"/>
                <w:szCs w:val="24"/>
              </w:rPr>
              <w:t>须提供相关体系认证证书复印件以及该证书在全国认证认可信息公共服务平台（http://cx.cnca.cn)上状态为“有效”的查询结果网页截图打印件并加盖投标单位公章，未提供或提供不全的不得分</w:t>
            </w: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1872" w:hRule="atLeast"/>
          <w:jc w:val="center"/>
        </w:trPr>
        <w:tc>
          <w:tcPr>
            <w:tcW w:w="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综合实力8</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62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供应商具有环境管理体系认证且认证范围至少应包含信息系统集成及运维、应用软件开发、国内通信设施运维服务，全部满足得1分，缺项不得分【</w:t>
            </w:r>
            <w:r>
              <w:rPr>
                <w:rFonts w:hint="eastAsia" w:ascii="宋体" w:hAnsi="宋体" w:cs="宋体"/>
                <w:b/>
                <w:bCs/>
                <w:color w:val="000000"/>
                <w:kern w:val="0"/>
                <w:sz w:val="24"/>
                <w:szCs w:val="24"/>
              </w:rPr>
              <w:t>须提供相关体系认证证书复印件以及该证书在全国认证认可信息公共服务平台（http://cx.cnca.cn)上状态为“有效”的查询结果网页截图打印件并加盖投标单位公章，未提供或提供不全的不得分</w:t>
            </w: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1872" w:hRule="atLeast"/>
          <w:jc w:val="center"/>
        </w:trPr>
        <w:tc>
          <w:tcPr>
            <w:tcW w:w="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综合实力9</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62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供应商具有职业健康安全管理体系认证，且认证范围应包含信息系统集成及运维、应用软件开发、国内通信设施运维服务，全部满足得1分，缺项不得分【</w:t>
            </w:r>
            <w:r>
              <w:rPr>
                <w:rFonts w:hint="eastAsia" w:ascii="宋体" w:hAnsi="宋体" w:cs="宋体"/>
                <w:b/>
                <w:bCs/>
                <w:color w:val="000000"/>
                <w:kern w:val="0"/>
                <w:sz w:val="24"/>
                <w:szCs w:val="24"/>
              </w:rPr>
              <w:t>须提供相关体系认证证书复印件以及该证书在全国认证认可信息公共服务平台（http://cx.cnca.cn)上状态为“有效”的查询结果网页截图打印件并加盖投标单位公章，未提供或提供不全的不得分</w:t>
            </w: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936" w:hRule="atLeast"/>
          <w:jc w:val="center"/>
        </w:trPr>
        <w:tc>
          <w:tcPr>
            <w:tcW w:w="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综合实力10</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62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供应商或其上级公司提供的自有云服务应具备云灾备容灾解决方案，且该方案通过可信云官方认证的得1分【</w:t>
            </w:r>
            <w:r>
              <w:rPr>
                <w:rFonts w:hint="eastAsia" w:ascii="宋体" w:hAnsi="宋体" w:cs="宋体"/>
                <w:b/>
                <w:bCs/>
                <w:color w:val="000000"/>
                <w:kern w:val="0"/>
                <w:sz w:val="24"/>
                <w:szCs w:val="24"/>
              </w:rPr>
              <w:t>须提供相关资质材料复印件以及可信云官方网站截图并加盖投标单位公章,否则不得分</w:t>
            </w: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936" w:hRule="atLeast"/>
          <w:jc w:val="center"/>
        </w:trPr>
        <w:tc>
          <w:tcPr>
            <w:tcW w:w="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综合实力11</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62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供应商所提供</w:t>
            </w:r>
            <w:r>
              <w:rPr>
                <w:rFonts w:hint="eastAsia" w:ascii="宋体" w:hAnsi="宋体" w:cs="宋体"/>
                <w:b/>
                <w:bCs/>
                <w:color w:val="000000"/>
                <w:kern w:val="0"/>
                <w:sz w:val="24"/>
                <w:szCs w:val="24"/>
              </w:rPr>
              <w:t>“云网络”</w:t>
            </w:r>
            <w:r>
              <w:rPr>
                <w:rFonts w:hint="eastAsia" w:ascii="宋体" w:hAnsi="宋体" w:cs="宋体"/>
                <w:color w:val="000000"/>
                <w:kern w:val="0"/>
                <w:sz w:val="24"/>
                <w:szCs w:val="24"/>
              </w:rPr>
              <w:t>有通过云平台网络能力评估-云专线认证的得1分【</w:t>
            </w:r>
            <w:r>
              <w:rPr>
                <w:rFonts w:hint="eastAsia" w:ascii="宋体" w:hAnsi="宋体" w:cs="宋体"/>
                <w:b/>
                <w:bCs/>
                <w:color w:val="000000"/>
                <w:kern w:val="0"/>
                <w:sz w:val="24"/>
                <w:szCs w:val="24"/>
              </w:rPr>
              <w:t>须提供相关证书复印件并加盖投标单位公章，未提供的不得分</w:t>
            </w: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1248" w:hRule="atLeast"/>
          <w:jc w:val="center"/>
        </w:trPr>
        <w:tc>
          <w:tcPr>
            <w:tcW w:w="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综合实力12</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62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为了提高网络智能运维能力，供应商所提供的</w:t>
            </w:r>
            <w:r>
              <w:rPr>
                <w:rFonts w:hint="eastAsia" w:ascii="宋体" w:hAnsi="宋体" w:cs="宋体"/>
                <w:b/>
                <w:bCs/>
                <w:color w:val="000000"/>
                <w:kern w:val="0"/>
                <w:sz w:val="24"/>
                <w:szCs w:val="24"/>
              </w:rPr>
              <w:t>“云网络”</w:t>
            </w:r>
            <w:r>
              <w:rPr>
                <w:rFonts w:hint="eastAsia" w:ascii="宋体" w:hAnsi="宋体" w:cs="宋体"/>
                <w:color w:val="000000"/>
                <w:kern w:val="0"/>
                <w:sz w:val="24"/>
                <w:szCs w:val="24"/>
              </w:rPr>
              <w:t>具备网络智能运维服务能力，且网络智能运维服务通过智能云网-网络智能运维服务认证的得1分【</w:t>
            </w:r>
            <w:r>
              <w:rPr>
                <w:rFonts w:hint="eastAsia" w:ascii="宋体" w:hAnsi="宋体" w:cs="宋体"/>
                <w:b/>
                <w:bCs/>
                <w:color w:val="000000"/>
                <w:kern w:val="0"/>
                <w:sz w:val="24"/>
                <w:szCs w:val="24"/>
              </w:rPr>
              <w:t>须提供证明材料复印件并加盖投标单位公章，未提供的不得分</w:t>
            </w:r>
            <w:r>
              <w:rPr>
                <w:rFonts w:hint="eastAsia" w:ascii="宋体" w:hAnsi="宋体" w:cs="宋体"/>
                <w:color w:val="000000"/>
                <w:kern w:val="0"/>
                <w:sz w:val="24"/>
                <w:szCs w:val="24"/>
              </w:rPr>
              <w:t>】。</w:t>
            </w:r>
          </w:p>
        </w:tc>
      </w:tr>
    </w:tbl>
    <w:p>
      <w:pPr>
        <w:spacing w:before="100" w:beforeAutospacing="1" w:after="100" w:afterAutospacing="1" w:line="420" w:lineRule="atLeast"/>
        <w:ind w:firstLine="480"/>
        <w:jc w:val="lef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（4）各供应商的价格得分C按以下方式得出（满分20分）</w:t>
      </w:r>
    </w:p>
    <w:p>
      <w:pPr>
        <w:widowControl/>
        <w:shd w:val="clear" w:color="auto" w:fill="FFFFFF"/>
        <w:spacing w:before="75" w:after="75" w:line="345" w:lineRule="atLeast"/>
        <w:ind w:firstLine="600" w:firstLineChars="250"/>
        <w:textAlignment w:val="baseline"/>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4"/>
          <w:szCs w:val="24"/>
        </w:rPr>
        <w:t>a.价格分采用低价优先法计算，即满足磋商文件要求且最后报价最低的供应商的价格为磋商基准价，其价格分为满分。其他供应商的价格分统一按照下列公式计算：磋商报价得分=（磋商基准价／最后磋商报价）×价格权值×100。</w:t>
      </w:r>
    </w:p>
    <w:p>
      <w:pPr>
        <w:spacing w:before="100" w:beforeAutospacing="1" w:after="100" w:afterAutospacing="1" w:line="420" w:lineRule="atLeast"/>
        <w:ind w:firstLine="480"/>
        <w:jc w:val="lef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（5）综合评分得分：P＝技术部分评分A+商务部分评分B+报价部分评分C</w:t>
      </w:r>
    </w:p>
    <w:p>
      <w:pPr>
        <w:spacing w:line="360" w:lineRule="auto"/>
        <w:ind w:firstLine="480" w:firstLineChars="200"/>
        <w:textAlignment w:val="baseline"/>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kern w:val="0"/>
          <w:sz w:val="24"/>
          <w:szCs w:val="24"/>
        </w:rPr>
        <w:t>24、采购人、采购代理机构发现磋商小组未按照磋商文件规定的评审标准进行评审的，应当组织重新评审。</w:t>
      </w:r>
    </w:p>
    <w:p>
      <w:pPr>
        <w:spacing w:line="360" w:lineRule="auto"/>
        <w:ind w:firstLine="480" w:firstLineChars="200"/>
        <w:jc w:val="left"/>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25、保密和披露</w:t>
      </w:r>
    </w:p>
    <w:p>
      <w:pPr>
        <w:spacing w:line="360" w:lineRule="auto"/>
        <w:ind w:firstLine="480" w:firstLineChars="200"/>
        <w:jc w:val="left"/>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25.1凡是属于审查、澄清、评价和比较的有关资料，均不向磋商供应商或其他与磋商无关的人员透露。</w:t>
      </w:r>
    </w:p>
    <w:p>
      <w:pPr>
        <w:spacing w:line="360" w:lineRule="auto"/>
        <w:ind w:firstLine="480" w:firstLineChars="200"/>
        <w:jc w:val="left"/>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25.2供应商提供的所有资料和评审过程有关资料，均不得向其他人员和单位透露，除采购监督管理部门、采购单位和依法可查阅的单位外。</w:t>
      </w:r>
    </w:p>
    <w:p>
      <w:pPr>
        <w:spacing w:line="360" w:lineRule="auto"/>
        <w:ind w:firstLine="480" w:firstLineChars="200"/>
        <w:jc w:val="left"/>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25.3采购人和采购代理机构有权在合同签订后，无须事先征求成交供应商同意而披露关于已订立合同的资料，成交供应商的名称及地址、成交货物的有关信息以及合同条款等。</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26、磋商小组终止磋商</w:t>
      </w: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26.1出现下列情况之一时，磋商小组应当终止磋商。如磋商小组终止磋商，应将理由通知所有磋商供应商：</w:t>
      </w:r>
    </w:p>
    <w:p>
      <w:pPr>
        <w:spacing w:line="360" w:lineRule="auto"/>
        <w:ind w:firstLine="240" w:firstLineChars="1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（1）因情况变化，不再符合规定的竞争性磋商采购方式适用情形的；</w:t>
      </w:r>
    </w:p>
    <w:p>
      <w:pPr>
        <w:spacing w:line="360" w:lineRule="auto"/>
        <w:ind w:firstLine="240" w:firstLineChars="1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（2）出现影响采购公正的违法、违规行为的；</w:t>
      </w:r>
    </w:p>
    <w:p>
      <w:pPr>
        <w:spacing w:line="360" w:lineRule="auto"/>
        <w:ind w:firstLine="240" w:firstLineChars="1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（3）在采购过程中符合磋商要求的供应商或者报价符合要求的供应商不足3家的。</w:t>
      </w:r>
    </w:p>
    <w:p>
      <w:pPr>
        <w:spacing w:line="360" w:lineRule="auto"/>
        <w:ind w:firstLine="480" w:firstLineChars="200"/>
        <w:jc w:val="left"/>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26.2磋商终止后，除因重大变故，采购任务取消外，采购人或采购代理机构将择期或另择方式进行该项目货物和服务的采购。</w:t>
      </w:r>
    </w:p>
    <w:p>
      <w:pPr>
        <w:pStyle w:val="7"/>
        <w:jc w:val="center"/>
        <w:textAlignment w:val="baseline"/>
        <w:rPr>
          <w:rFonts w:asciiTheme="minorEastAsia" w:hAnsiTheme="minorEastAsia" w:eastAsiaTheme="minorEastAsia" w:cstheme="minorEastAsia"/>
        </w:rPr>
      </w:pPr>
      <w:bookmarkStart w:id="10" w:name="_Toc36811835"/>
      <w:r>
        <w:rPr>
          <w:rFonts w:hint="eastAsia" w:asciiTheme="minorEastAsia" w:hAnsiTheme="minorEastAsia" w:eastAsiaTheme="minorEastAsia" w:cstheme="minorEastAsia"/>
        </w:rPr>
        <w:t>六、确定成交供应商磋商与签订合同</w:t>
      </w:r>
      <w:bookmarkEnd w:id="10"/>
    </w:p>
    <w:p>
      <w:pPr>
        <w:widowControl/>
        <w:spacing w:before="100" w:beforeAutospacing="1" w:after="100" w:afterAutospacing="1" w:line="360" w:lineRule="auto"/>
        <w:ind w:firstLine="480" w:firstLineChars="20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27、确认成交供应商</w:t>
      </w:r>
    </w:p>
    <w:p>
      <w:pPr>
        <w:widowControl/>
        <w:spacing w:before="100" w:beforeAutospacing="1" w:after="100" w:afterAutospacing="1" w:line="360" w:lineRule="auto"/>
        <w:ind w:firstLine="480" w:firstLineChars="20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27.1采购代理机构在评审结束后2个工作日内将评审报告送采购人确认。</w:t>
      </w:r>
    </w:p>
    <w:p>
      <w:pPr>
        <w:widowControl/>
        <w:spacing w:before="100" w:beforeAutospacing="1" w:after="100" w:afterAutospacing="1" w:line="360" w:lineRule="auto"/>
        <w:ind w:firstLine="480" w:firstLineChars="200"/>
        <w:jc w:val="left"/>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27.2采购人在收到评审报告后5个工作日内，从评审报告提出的成交候选人中，按照综合评分得分排序由高到低的原则确认成交人，也可以书面授权磋商小组直接确定成交人。采购人逾期未确定成交人且不提出异议的，视为确定评审报告提出的排序第一的供应商为成交人。</w:t>
      </w:r>
    </w:p>
    <w:p>
      <w:pPr>
        <w:pStyle w:val="17"/>
        <w:spacing w:before="323" w:after="323" w:line="360" w:lineRule="auto"/>
        <w:ind w:firstLine="465"/>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28、成交通知书和合同签订</w:t>
      </w:r>
    </w:p>
    <w:p>
      <w:pPr>
        <w:pStyle w:val="17"/>
        <w:spacing w:before="323" w:after="323" w:line="360" w:lineRule="auto"/>
        <w:ind w:firstLine="465"/>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28.1成交通知书</w:t>
      </w:r>
    </w:p>
    <w:p>
      <w:pPr>
        <w:pStyle w:val="17"/>
        <w:spacing w:before="323" w:after="323" w:line="360" w:lineRule="auto"/>
        <w:ind w:firstLine="465"/>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采购人或者采购代理机构在成交人确定后2个工作日内，在采购公告发布的网站上进行采购结果公告，同时向成交人发出成交通知书。在采购结果公告后，成交供应商须及时至代理机构处领取成交通知书。</w:t>
      </w:r>
    </w:p>
    <w:p>
      <w:pPr>
        <w:pStyle w:val="17"/>
        <w:spacing w:before="323" w:after="323" w:line="360" w:lineRule="auto"/>
        <w:ind w:firstLine="465"/>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w:t>
      </w:r>
    </w:p>
    <w:p>
      <w:pPr>
        <w:pStyle w:val="17"/>
        <w:spacing w:before="323" w:after="323" w:line="360" w:lineRule="auto"/>
        <w:ind w:firstLine="465"/>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28.2合同签订</w:t>
      </w:r>
    </w:p>
    <w:p>
      <w:pPr>
        <w:widowControl/>
        <w:spacing w:before="75" w:after="75" w:line="360" w:lineRule="auto"/>
        <w:ind w:firstLine="480" w:firstLineChars="20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采购人与成交人应当在成交通知书发出之日</w:t>
      </w:r>
      <w:r>
        <w:rPr>
          <w:rFonts w:hint="eastAsia" w:asciiTheme="minorEastAsia" w:hAnsiTheme="minorEastAsia" w:eastAsiaTheme="minorEastAsia" w:cstheme="minorEastAsia"/>
          <w:sz w:val="24"/>
          <w:szCs w:val="24"/>
        </w:rPr>
        <w:t>（即采购结果公告之日）</w:t>
      </w:r>
      <w:r>
        <w:rPr>
          <w:rFonts w:hint="eastAsia" w:asciiTheme="minorEastAsia" w:hAnsiTheme="minorEastAsia" w:eastAsiaTheme="minorEastAsia" w:cstheme="minorEastAsia"/>
          <w:kern w:val="0"/>
          <w:sz w:val="24"/>
          <w:szCs w:val="24"/>
        </w:rPr>
        <w:t>起30日内</w:t>
      </w:r>
      <w:r>
        <w:rPr>
          <w:rFonts w:hint="eastAsia" w:asciiTheme="minorEastAsia" w:hAnsiTheme="minorEastAsia" w:eastAsiaTheme="minorEastAsia" w:cstheme="minorEastAsia"/>
          <w:sz w:val="24"/>
          <w:szCs w:val="24"/>
        </w:rPr>
        <w:t>（具体时间与采购单位商定）</w:t>
      </w:r>
      <w:r>
        <w:rPr>
          <w:rFonts w:hint="eastAsia" w:asciiTheme="minorEastAsia" w:hAnsiTheme="minorEastAsia" w:eastAsiaTheme="minorEastAsia" w:cstheme="minorEastAsia"/>
          <w:kern w:val="0"/>
          <w:sz w:val="24"/>
          <w:szCs w:val="24"/>
        </w:rPr>
        <w:t>，按照采购文件确定的合同文本以及采购标的、规格型号、采购金额、采购数量、技术和服务要求等事项签订采购合同。根据项目的特点和需要，采购人如果对签订合同的时间期限、地点有特别要求的，可以在成交通知书中进一步明确，成交人应当按照成交通知书的规定和要求，及时与采购人签订合同。</w:t>
      </w:r>
    </w:p>
    <w:p>
      <w:pPr>
        <w:widowControl/>
        <w:spacing w:before="75" w:after="75" w:line="360" w:lineRule="auto"/>
        <w:ind w:firstLine="480" w:firstLineChars="20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竞争性磋商文件、成交人的响应文件及其有关澄清承诺文件等，均为签订政府采购合同的依据和组成部分。</w:t>
      </w:r>
    </w:p>
    <w:p>
      <w:pPr>
        <w:widowControl/>
        <w:spacing w:line="360" w:lineRule="auto"/>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17"/>
        <w:spacing w:before="0" w:beforeAutospacing="0" w:after="0" w:afterAutospacing="0" w:line="360" w:lineRule="auto"/>
        <w:ind w:firstLine="48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成交供应商拒绝签订采购合同的，采购人可以按照磋商确定的排序确定其他供应商作为成交供应商并签订采购合同，也可以重新开展采购活动。拒绝签订采购合同的成交人不得参加对该项目重新开展的采购活动。</w:t>
      </w:r>
    </w:p>
    <w:p>
      <w:pPr>
        <w:pStyle w:val="7"/>
        <w:ind w:left="360"/>
        <w:jc w:val="center"/>
        <w:textAlignment w:val="baseline"/>
        <w:rPr>
          <w:rFonts w:asciiTheme="minorEastAsia" w:hAnsiTheme="minorEastAsia" w:eastAsiaTheme="minorEastAsia" w:cstheme="minorEastAsia"/>
        </w:rPr>
      </w:pPr>
      <w:bookmarkStart w:id="11" w:name="_Toc36811836"/>
      <w:r>
        <w:rPr>
          <w:rFonts w:hint="eastAsia" w:asciiTheme="minorEastAsia" w:hAnsiTheme="minorEastAsia" w:eastAsiaTheme="minorEastAsia" w:cstheme="minorEastAsia"/>
        </w:rPr>
        <w:t>七、询问、质疑</w:t>
      </w:r>
      <w:bookmarkEnd w:id="11"/>
    </w:p>
    <w:p>
      <w:pPr>
        <w:widowControl/>
        <w:spacing w:line="435"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29、询问</w:t>
      </w:r>
    </w:p>
    <w:p>
      <w:pPr>
        <w:widowControl/>
        <w:spacing w:before="75" w:after="75" w:line="435" w:lineRule="atLeast"/>
        <w:ind w:firstLine="360" w:firstLineChars="15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29.1潜在供应商或供应商对本次采购活动的有关事项若有疑问，可向采购人或采购代理机构提出询问，采购人或采购代理机构将按有关规定进行答复。</w:t>
      </w:r>
      <w:r>
        <w:rPr>
          <w:rFonts w:hint="eastAsia" w:asciiTheme="minorEastAsia" w:hAnsiTheme="minorEastAsia" w:eastAsiaTheme="minorEastAsia" w:cstheme="minorEastAsia"/>
          <w:sz w:val="24"/>
          <w:szCs w:val="24"/>
        </w:rPr>
        <w:t>询问及答复可以采取信函或电子邮件或传真等书面方式，也可以采取电话、面谈等口头方式，但答复的内容不涉及商业秘密。</w:t>
      </w: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30、质疑</w:t>
      </w:r>
    </w:p>
    <w:p>
      <w:pPr>
        <w:widowControl/>
        <w:spacing w:before="75" w:after="75" w:line="435" w:lineRule="atLeast"/>
        <w:ind w:firstLine="360" w:firstLineChars="15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30.1质疑应在竞争性磋商文件须知前附表规定的时效内提出（</w:t>
      </w:r>
      <w:r>
        <w:rPr>
          <w:rFonts w:hint="eastAsia" w:asciiTheme="minorEastAsia" w:hAnsiTheme="minorEastAsia" w:eastAsiaTheme="minorEastAsia" w:cstheme="minorEastAsia"/>
          <w:sz w:val="24"/>
          <w:szCs w:val="24"/>
        </w:rPr>
        <w:t>逾期则不予受理，视同接受招标过程和采购结果</w:t>
      </w:r>
      <w:r>
        <w:rPr>
          <w:rFonts w:hint="eastAsia" w:asciiTheme="minorEastAsia" w:hAnsiTheme="minorEastAsia" w:eastAsiaTheme="minorEastAsia" w:cstheme="minorEastAsia"/>
          <w:kern w:val="0"/>
          <w:sz w:val="24"/>
          <w:szCs w:val="24"/>
        </w:rPr>
        <w:t>），并符合下列条件：</w:t>
      </w:r>
    </w:p>
    <w:p>
      <w:pPr>
        <w:widowControl/>
        <w:spacing w:before="75" w:after="75" w:line="435" w:lineRule="atLeast"/>
        <w:ind w:firstLine="360" w:firstLineChars="15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30.1.1对磋商文件提出质疑的，</w:t>
      </w:r>
      <w:r>
        <w:rPr>
          <w:rFonts w:hint="eastAsia" w:asciiTheme="minorEastAsia" w:hAnsiTheme="minorEastAsia" w:eastAsiaTheme="minorEastAsia" w:cstheme="minorEastAsia"/>
          <w:sz w:val="24"/>
          <w:szCs w:val="24"/>
        </w:rPr>
        <w:t>质疑人应为潜在供应商，且两者的身份、名称等均应保持一致，并提供已在龙岩公物采购网已对本项目进行报名的回执函（供应商报名中-查看投标-打印回执码）。对采购过程、结果提出质疑的，质疑人应为供应商，且两者的身份、名称等均应保持一致。</w:t>
      </w:r>
      <w:r>
        <w:rPr>
          <w:rFonts w:hint="eastAsia" w:asciiTheme="minorEastAsia" w:hAnsiTheme="minorEastAsia" w:eastAsiaTheme="minorEastAsia" w:cstheme="minorEastAsia"/>
          <w:kern w:val="0"/>
          <w:sz w:val="24"/>
          <w:szCs w:val="24"/>
        </w:rPr>
        <w:t>提出质疑的供应商应当是直接参与所质疑项目采购活动的供应商。</w:t>
      </w:r>
    </w:p>
    <w:p>
      <w:pPr>
        <w:widowControl/>
        <w:spacing w:before="75" w:after="75" w:line="435" w:lineRule="atLeast"/>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30.1.2</w:t>
      </w:r>
      <w:r>
        <w:rPr>
          <w:rFonts w:hint="eastAsia" w:asciiTheme="minorEastAsia" w:hAnsiTheme="minorEastAsia" w:eastAsiaTheme="minorEastAsia" w:cstheme="minorEastAsia"/>
          <w:sz w:val="24"/>
          <w:szCs w:val="24"/>
        </w:rPr>
        <w:t>质疑人应按挂号邮件或快递方式或送达方式向采购人或连城县国有资产产权交易服务有限公司提供原件</w:t>
      </w:r>
      <w:r>
        <w:rPr>
          <w:rFonts w:hint="eastAsia" w:asciiTheme="minorEastAsia" w:hAnsiTheme="minorEastAsia" w:eastAsiaTheme="minorEastAsia" w:cstheme="minorEastAsia"/>
          <w:kern w:val="0"/>
          <w:sz w:val="24"/>
          <w:szCs w:val="24"/>
        </w:rPr>
        <w:t>。</w:t>
      </w:r>
    </w:p>
    <w:p>
      <w:pPr>
        <w:widowControl/>
        <w:spacing w:before="75" w:after="75" w:line="435" w:lineRule="atLeast"/>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30.1.3质疑函应包括下列主要内容：</w:t>
      </w:r>
    </w:p>
    <w:p>
      <w:pPr>
        <w:widowControl/>
        <w:spacing w:before="75" w:after="75" w:line="435" w:lineRule="atLeast"/>
        <w:ind w:firstLine="360" w:firstLineChars="15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widowControl/>
        <w:spacing w:before="75" w:after="75" w:line="435" w:lineRule="atLeast"/>
        <w:ind w:firstLine="360" w:firstLineChars="15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②所质疑项目的基本信息，至少包括：项目编号、项目名称等；</w:t>
      </w:r>
    </w:p>
    <w:p>
      <w:pPr>
        <w:widowControl/>
        <w:spacing w:before="75" w:after="75" w:line="435" w:lineRule="atLeast"/>
        <w:ind w:left="359" w:leftChars="171"/>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③所质疑的具体事项（以下简称：“质疑事项”）；</w:t>
      </w:r>
    </w:p>
    <w:p>
      <w:pPr>
        <w:widowControl/>
        <w:spacing w:before="75" w:after="75" w:line="435" w:lineRule="atLeast"/>
        <w:ind w:left="359" w:leftChars="171"/>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④质疑人自身权益受到损害的事实依据和证明材料，至少包括：</w:t>
      </w:r>
    </w:p>
    <w:p>
      <w:pPr>
        <w:widowControl/>
        <w:spacing w:before="75" w:after="75" w:line="435" w:lineRule="atLeast"/>
        <w:ind w:firstLine="48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a1所质疑的具体事项事实存在的证明材料；</w:t>
      </w:r>
    </w:p>
    <w:p>
      <w:pPr>
        <w:widowControl/>
        <w:spacing w:before="75" w:after="75" w:line="435" w:lineRule="atLeast"/>
        <w:ind w:firstLine="48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a2所质疑的具体事项事实导致质疑人自身权益受到损害的证明材料，如：采购文件、采购过程或成交结果违法违规，损害自已合法权益等证明材料；</w:t>
      </w: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widowControl/>
        <w:spacing w:before="75" w:after="75" w:line="435" w:lineRule="atLeast"/>
        <w:ind w:firstLine="480" w:firstLineChars="20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⑤针对质疑事项提出的明确请求和法律依据，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widowControl/>
        <w:spacing w:before="75" w:after="75" w:line="435" w:lineRule="atLeast"/>
        <w:ind w:firstLine="480" w:firstLineChars="20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⑥提出质疑的日期以及质疑人代表联系方式，至少包括：姓名、手机、电子信箱、邮寄地址等。</w:t>
      </w:r>
    </w:p>
    <w:p>
      <w:pPr>
        <w:widowControl/>
        <w:spacing w:before="75" w:after="75" w:line="435" w:lineRule="atLeast"/>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30.2对不符合前文规定的质疑，采购人或采购代理机构将按照下列规定进行处理：</w:t>
      </w: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30.2.1超过质疑时效提交的或者</w:t>
      </w:r>
      <w:r>
        <w:rPr>
          <w:rFonts w:hint="eastAsia" w:asciiTheme="minorEastAsia" w:hAnsiTheme="minorEastAsia" w:eastAsiaTheme="minorEastAsia" w:cstheme="minorEastAsia"/>
          <w:sz w:val="24"/>
          <w:szCs w:val="24"/>
        </w:rPr>
        <w:t>不符合其中第30.1.1或30.1.2条规定的，书面告知质疑人不予受理及其理由。</w:t>
      </w:r>
    </w:p>
    <w:p>
      <w:pPr>
        <w:widowControl/>
        <w:spacing w:before="75" w:after="75" w:line="435" w:lineRule="atLeast"/>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30.2.2</w:t>
      </w:r>
      <w:r>
        <w:rPr>
          <w:rFonts w:hint="eastAsia" w:asciiTheme="minorEastAsia" w:hAnsiTheme="minorEastAsia" w:eastAsiaTheme="minorEastAsia" w:cstheme="minorEastAsia"/>
          <w:sz w:val="24"/>
          <w:szCs w:val="24"/>
        </w:rPr>
        <w:t>不符合其中第30.1.3条规定的，书面告知质疑人修改、补充后在规定时限内重新提交质疑函。</w:t>
      </w:r>
    </w:p>
    <w:p>
      <w:pPr>
        <w:widowControl/>
        <w:spacing w:before="75" w:after="75" w:line="435" w:lineRule="atLeast"/>
        <w:ind w:firstLine="48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30.2.3质疑人修改、补充质疑函超过质疑时效提交的按30.2.1款处理。供应商提交质疑函时，要认真上述关于质疑的相关规定，以免内容或资料不齐，需要修改补充而延误时间。</w:t>
      </w:r>
    </w:p>
    <w:p>
      <w:pPr>
        <w:widowControl/>
        <w:spacing w:before="75" w:after="75" w:line="435" w:lineRule="atLeast"/>
        <w:ind w:firstLine="240" w:firstLineChars="10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30.3对符合上述规定的质疑，采购人或采购代理机构将按照有关规定进行答复。</w:t>
      </w:r>
    </w:p>
    <w:p>
      <w:pPr>
        <w:textAlignment w:val="baseline"/>
        <w:rPr>
          <w:rFonts w:asciiTheme="minorEastAsia" w:hAnsiTheme="minorEastAsia" w:eastAsiaTheme="minorEastAsia" w:cstheme="minorEastAsia"/>
          <w:kern w:val="0"/>
          <w:sz w:val="24"/>
          <w:szCs w:val="24"/>
        </w:rPr>
      </w:pPr>
    </w:p>
    <w:p>
      <w:pPr>
        <w:pStyle w:val="6"/>
        <w:textAlignment w:val="baseline"/>
        <w:rPr>
          <w:rFonts w:asciiTheme="minorEastAsia" w:hAnsiTheme="minorEastAsia" w:eastAsiaTheme="minorEastAsia" w:cstheme="minorEastAsia"/>
        </w:rPr>
        <w:sectPr>
          <w:headerReference r:id="rId6" w:type="default"/>
          <w:pgSz w:w="11907" w:h="16840"/>
          <w:pgMar w:top="1440" w:right="1800" w:bottom="1440" w:left="1800" w:header="851" w:footer="992" w:gutter="0"/>
          <w:cols w:space="720" w:num="1"/>
          <w:docGrid w:type="linesAndChars" w:linePitch="323" w:charSpace="-2"/>
        </w:sectPr>
      </w:pPr>
      <w:bookmarkStart w:id="12" w:name="_Toc36811841"/>
    </w:p>
    <w:p>
      <w:pPr>
        <w:pStyle w:val="6"/>
        <w:jc w:val="center"/>
        <w:textAlignment w:val="baseline"/>
        <w:rPr>
          <w:rStyle w:val="24"/>
          <w:rFonts w:asciiTheme="minorEastAsia" w:hAnsiTheme="minorEastAsia" w:eastAsiaTheme="minorEastAsia" w:cstheme="minorEastAsia"/>
          <w:b w:val="0"/>
          <w:bCs w:val="0"/>
        </w:rPr>
      </w:pPr>
      <w:r>
        <w:rPr>
          <w:rFonts w:hint="eastAsia" w:asciiTheme="minorEastAsia" w:hAnsiTheme="minorEastAsia" w:eastAsiaTheme="minorEastAsia" w:cstheme="minorEastAsia"/>
        </w:rPr>
        <w:t>第三章 采购内容及要求</w:t>
      </w:r>
    </w:p>
    <w:p>
      <w:pPr>
        <w:pStyle w:val="17"/>
        <w:spacing w:before="75" w:beforeAutospacing="0" w:after="75" w:afterAutospacing="0" w:line="360" w:lineRule="auto"/>
        <w:ind w:left="-180" w:right="-180"/>
        <w:rPr>
          <w:rFonts w:asciiTheme="minorEastAsia" w:hAnsiTheme="minorEastAsia" w:eastAsiaTheme="minorEastAsia" w:cstheme="minorEastAsia"/>
          <w:b/>
          <w:bCs/>
        </w:rPr>
      </w:pPr>
      <w:r>
        <w:rPr>
          <w:rFonts w:hint="eastAsia" w:asciiTheme="minorEastAsia" w:hAnsiTheme="minorEastAsia" w:eastAsiaTheme="minorEastAsia" w:cstheme="minorEastAsia"/>
          <w:b/>
          <w:bCs/>
        </w:rPr>
        <w:t>一、项目概况（采购标的）</w:t>
      </w:r>
    </w:p>
    <w:p>
      <w:pPr>
        <w:pStyle w:val="17"/>
        <w:spacing w:before="0" w:beforeAutospacing="0" w:after="0" w:afterAutospacing="0" w:line="360" w:lineRule="auto"/>
        <w:ind w:firstLine="480" w:firstLineChars="200"/>
        <w:rPr>
          <w:rStyle w:val="24"/>
          <w:rFonts w:asciiTheme="minorEastAsia" w:hAnsiTheme="minorEastAsia" w:eastAsiaTheme="minorEastAsia" w:cstheme="minorEastAsia"/>
          <w:bCs/>
          <w:kern w:val="0"/>
          <w:shd w:val="clear" w:color="auto" w:fill="FFFFFF"/>
        </w:rPr>
      </w:pPr>
      <w:r>
        <w:rPr>
          <w:rStyle w:val="24"/>
          <w:rFonts w:hint="eastAsia" w:asciiTheme="minorEastAsia" w:hAnsiTheme="minorEastAsia" w:eastAsiaTheme="minorEastAsia" w:cstheme="minorEastAsia"/>
          <w:bCs/>
          <w:kern w:val="0"/>
          <w:shd w:val="clear" w:color="auto" w:fill="FFFFFF"/>
        </w:rPr>
        <w:t>项目中连城县南前花园小区的具体情况如下：</w:t>
      </w:r>
    </w:p>
    <w:p>
      <w:pPr>
        <w:pStyle w:val="17"/>
        <w:spacing w:before="0" w:beforeAutospacing="0" w:after="0" w:afterAutospacing="0" w:line="360" w:lineRule="auto"/>
        <w:ind w:firstLine="480" w:firstLineChars="200"/>
        <w:rPr>
          <w:rFonts w:asciiTheme="minorEastAsia" w:hAnsiTheme="minorEastAsia" w:eastAsiaTheme="minorEastAsia" w:cstheme="minorEastAsia"/>
          <w:bCs/>
          <w:color w:val="000000"/>
        </w:rPr>
      </w:pPr>
      <w:r>
        <w:rPr>
          <w:rStyle w:val="24"/>
          <w:rFonts w:hint="eastAsia" w:asciiTheme="minorEastAsia" w:hAnsiTheme="minorEastAsia" w:eastAsiaTheme="minorEastAsia" w:cstheme="minorEastAsia"/>
          <w:bCs/>
          <w:kern w:val="0"/>
          <w:shd w:val="clear" w:color="auto" w:fill="FFFFFF"/>
        </w:rPr>
        <w:t>连城县南前花园安置小区（一期）：为连城县南前花园安置小区，总用地面积23101.16㎡，总建筑面积56931.88㎡，其中：南前花园安置小区（一期）总建筑面积41224.92㎡（其中计容面积包含住宅面积27305.64㎡、商业面积1145.16㎡），户数为280套。</w:t>
      </w:r>
      <w:r>
        <w:rPr>
          <w:rFonts w:hint="eastAsia" w:asciiTheme="minorEastAsia" w:hAnsiTheme="minorEastAsia" w:eastAsiaTheme="minorEastAsia" w:cstheme="minorEastAsia"/>
          <w:bCs/>
          <w:color w:val="000000"/>
        </w:rPr>
        <w:t xml:space="preserve">连城县南前花园小区标志标线及配套工程（智慧小区专业技术分项）服务类采购项目，主要建设内容如下： </w:t>
      </w:r>
    </w:p>
    <w:tbl>
      <w:tblPr>
        <w:tblStyle w:val="21"/>
        <w:tblW w:w="6853" w:type="dxa"/>
        <w:jc w:val="center"/>
        <w:tblLayout w:type="fixed"/>
        <w:tblCellMar>
          <w:top w:w="0" w:type="dxa"/>
          <w:left w:w="108" w:type="dxa"/>
          <w:bottom w:w="0" w:type="dxa"/>
          <w:right w:w="108" w:type="dxa"/>
        </w:tblCellMar>
      </w:tblPr>
      <w:tblGrid>
        <w:gridCol w:w="981"/>
        <w:gridCol w:w="5872"/>
      </w:tblGrid>
      <w:tr>
        <w:tblPrEx>
          <w:tblCellMar>
            <w:top w:w="0" w:type="dxa"/>
            <w:left w:w="108" w:type="dxa"/>
            <w:bottom w:w="0" w:type="dxa"/>
            <w:right w:w="108" w:type="dxa"/>
          </w:tblCellMar>
        </w:tblPrEx>
        <w:trPr>
          <w:trHeight w:val="283" w:hRule="atLeast"/>
          <w:tblHeader/>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cs="Arial"/>
                <w:b/>
                <w:bCs/>
              </w:rPr>
            </w:pPr>
            <w:r>
              <w:rPr>
                <w:rFonts w:cs="Arial"/>
                <w:b/>
                <w:bCs/>
              </w:rPr>
              <w:t>序号</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center"/>
              <w:rPr>
                <w:rFonts w:cs="Arial"/>
                <w:b/>
                <w:bCs/>
              </w:rPr>
            </w:pPr>
            <w:r>
              <w:rPr>
                <w:rFonts w:cs="Arial"/>
                <w:b/>
                <w:bCs/>
              </w:rPr>
              <w:t>子系统名称</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cs="Arial"/>
              </w:rPr>
            </w:pPr>
            <w:r>
              <w:rPr>
                <w:rFonts w:cs="Arial"/>
              </w:rPr>
              <w:t>1</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cs="Arial"/>
              </w:rPr>
            </w:pPr>
            <w:r>
              <w:rPr>
                <w:rFonts w:cs="Arial"/>
              </w:rPr>
              <w:t>室内通信管网工程</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cs="Arial"/>
              </w:rPr>
            </w:pPr>
            <w:r>
              <w:rPr>
                <w:rFonts w:cs="Arial"/>
              </w:rPr>
              <w:t>2</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cs="Arial"/>
              </w:rPr>
            </w:pPr>
            <w:r>
              <w:rPr>
                <w:rFonts w:cs="Arial"/>
              </w:rPr>
              <w:t>内部组网联接设备</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cs="Arial"/>
              </w:rPr>
            </w:pPr>
            <w:r>
              <w:rPr>
                <w:rFonts w:cs="Arial"/>
              </w:rPr>
              <w:t>3</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cs="Arial"/>
              </w:rPr>
            </w:pPr>
            <w:r>
              <w:rPr>
                <w:rFonts w:cs="Arial"/>
              </w:rPr>
              <w:t>楼宇门禁管理系统</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cs="Arial"/>
              </w:rPr>
            </w:pPr>
            <w:r>
              <w:rPr>
                <w:rFonts w:cs="Arial"/>
              </w:rPr>
              <w:t>4</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cs="Arial"/>
              </w:rPr>
            </w:pPr>
            <w:r>
              <w:rPr>
                <w:rFonts w:cs="Arial"/>
              </w:rPr>
              <w:t>公共视频安防监控系统</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cs="Arial"/>
              </w:rPr>
            </w:pPr>
            <w:r>
              <w:rPr>
                <w:rFonts w:hint="eastAsia" w:cs="Arial"/>
              </w:rPr>
              <w:t>5</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cs="Arial"/>
              </w:rPr>
            </w:pPr>
            <w:r>
              <w:rPr>
                <w:rFonts w:cs="Arial"/>
              </w:rPr>
              <w:t>机房工程</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cs="Arial"/>
              </w:rPr>
            </w:pPr>
            <w:r>
              <w:rPr>
                <w:rFonts w:hint="eastAsia" w:cs="Arial"/>
              </w:rPr>
              <w:t>6</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cs="Arial"/>
              </w:rPr>
            </w:pPr>
            <w:r>
              <w:rPr>
                <w:rFonts w:cs="Arial"/>
              </w:rPr>
              <w:t>出入口道闸管理系统</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cs="Arial"/>
              </w:rPr>
            </w:pPr>
            <w:r>
              <w:rPr>
                <w:rFonts w:hint="eastAsia" w:cs="Arial"/>
              </w:rPr>
              <w:t>7</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cs="Arial"/>
              </w:rPr>
            </w:pPr>
            <w:r>
              <w:rPr>
                <w:rFonts w:cs="Arial"/>
              </w:rPr>
              <w:t>智能充电管理</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cs="Arial"/>
              </w:rPr>
            </w:pPr>
            <w:r>
              <w:rPr>
                <w:rFonts w:hint="eastAsia" w:cs="Arial"/>
              </w:rPr>
              <w:t>8</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cs="Arial"/>
              </w:rPr>
            </w:pPr>
            <w:r>
              <w:rPr>
                <w:rFonts w:cs="Arial"/>
              </w:rPr>
              <w:t>物业人员考勤系统</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cs="Arial"/>
              </w:rPr>
            </w:pPr>
            <w:r>
              <w:rPr>
                <w:rFonts w:hint="eastAsia" w:cs="Arial"/>
              </w:rPr>
              <w:t>9</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cs="Arial"/>
              </w:rPr>
            </w:pPr>
            <w:r>
              <w:rPr>
                <w:rFonts w:cs="Arial"/>
              </w:rPr>
              <w:t>后端总平台</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cs="Arial"/>
              </w:rPr>
            </w:pPr>
            <w:r>
              <w:rPr>
                <w:rFonts w:hint="eastAsia" w:cs="Arial"/>
              </w:rPr>
              <w:t>10</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cs="Arial"/>
              </w:rPr>
            </w:pPr>
            <w:r>
              <w:rPr>
                <w:rFonts w:cs="Arial"/>
              </w:rPr>
              <w:t>巡更系统</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cs="Arial"/>
              </w:rPr>
            </w:pPr>
            <w:r>
              <w:rPr>
                <w:rFonts w:hint="eastAsia" w:cs="Arial"/>
              </w:rPr>
              <w:t>11</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cs="Arial"/>
              </w:rPr>
            </w:pPr>
            <w:r>
              <w:rPr>
                <w:rFonts w:cs="Arial"/>
              </w:rPr>
              <w:t>出入口道闸管理系统（室外）</w:t>
            </w:r>
          </w:p>
        </w:tc>
      </w:tr>
      <w:tr>
        <w:tblPrEx>
          <w:tblCellMar>
            <w:top w:w="0" w:type="dxa"/>
            <w:left w:w="108" w:type="dxa"/>
            <w:bottom w:w="0" w:type="dxa"/>
            <w:right w:w="108" w:type="dxa"/>
          </w:tblCellMar>
        </w:tblPrEx>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cs="Arial"/>
              </w:rPr>
            </w:pPr>
            <w:r>
              <w:rPr>
                <w:rFonts w:hint="eastAsia" w:cs="Arial"/>
              </w:rPr>
              <w:t>12</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cs="Arial"/>
              </w:rPr>
            </w:pPr>
            <w:r>
              <w:rPr>
                <w:rFonts w:cs="Arial"/>
              </w:rPr>
              <w:t>公共视频安防监控系统（室外）</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cs="Arial"/>
              </w:rPr>
            </w:pPr>
            <w:r>
              <w:rPr>
                <w:rFonts w:hint="eastAsia" w:cs="Arial"/>
              </w:rPr>
              <w:t>13</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cs="Arial"/>
              </w:rPr>
            </w:pPr>
            <w:r>
              <w:rPr>
                <w:rFonts w:cs="Arial"/>
              </w:rPr>
              <w:t>云广播系统（室外）</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cs="Arial"/>
              </w:rPr>
            </w:pPr>
            <w:r>
              <w:rPr>
                <w:rFonts w:hint="eastAsia" w:cs="Arial"/>
              </w:rPr>
              <w:t>14</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cs="Arial"/>
              </w:rPr>
            </w:pPr>
            <w:r>
              <w:rPr>
                <w:rFonts w:cs="Arial"/>
              </w:rPr>
              <w:t>室外管网</w:t>
            </w:r>
          </w:p>
        </w:tc>
      </w:tr>
      <w:tr>
        <w:tblPrEx>
          <w:tblCellMar>
            <w:top w:w="0" w:type="dxa"/>
            <w:left w:w="108" w:type="dxa"/>
            <w:bottom w:w="0" w:type="dxa"/>
            <w:right w:w="108" w:type="dxa"/>
          </w:tblCellMar>
        </w:tblPrEx>
        <w:trPr>
          <w:trHeight w:val="285"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pPr>
              <w:jc w:val="center"/>
              <w:rPr>
                <w:rFonts w:cs="Arial"/>
              </w:rPr>
            </w:pPr>
            <w:r>
              <w:rPr>
                <w:rFonts w:hint="eastAsia" w:cs="Arial"/>
              </w:rPr>
              <w:t>15</w:t>
            </w:r>
          </w:p>
        </w:tc>
        <w:tc>
          <w:tcPr>
            <w:tcW w:w="5872" w:type="dxa"/>
            <w:tcBorders>
              <w:top w:val="single" w:color="000000" w:sz="4" w:space="0"/>
              <w:left w:val="single" w:color="000000" w:sz="4" w:space="0"/>
              <w:bottom w:val="single" w:color="000000" w:sz="4" w:space="0"/>
              <w:right w:val="single" w:color="000000" w:sz="4" w:space="0"/>
            </w:tcBorders>
            <w:noWrap/>
            <w:vAlign w:val="center"/>
          </w:tcPr>
          <w:p>
            <w:pPr>
              <w:jc w:val="left"/>
              <w:rPr>
                <w:rFonts w:cs="Arial"/>
              </w:rPr>
            </w:pPr>
            <w:r>
              <w:rPr>
                <w:rFonts w:cs="Arial"/>
              </w:rPr>
              <w:t>系统集成施工服务</w:t>
            </w:r>
          </w:p>
        </w:tc>
      </w:tr>
    </w:tbl>
    <w:p>
      <w:pPr>
        <w:pStyle w:val="17"/>
        <w:spacing w:before="75" w:beforeAutospacing="0" w:after="75" w:afterAutospacing="0" w:line="360" w:lineRule="auto"/>
        <w:ind w:left="-180" w:right="-180"/>
        <w:rPr>
          <w:rFonts w:asciiTheme="minorEastAsia" w:hAnsiTheme="minorEastAsia" w:eastAsiaTheme="minorEastAsia" w:cstheme="minorEastAsia"/>
          <w:b/>
          <w:bCs/>
        </w:rPr>
      </w:pPr>
      <w:r>
        <w:rPr>
          <w:rFonts w:hint="eastAsia" w:asciiTheme="minorEastAsia" w:hAnsiTheme="minorEastAsia" w:eastAsiaTheme="minorEastAsia" w:cstheme="minorEastAsia"/>
          <w:b/>
          <w:bCs/>
        </w:rPr>
        <w:t>二、技术和服务要求</w:t>
      </w:r>
    </w:p>
    <w:tbl>
      <w:tblPr>
        <w:tblStyle w:val="21"/>
        <w:tblW w:w="9739" w:type="dxa"/>
        <w:jc w:val="center"/>
        <w:tblLayout w:type="autofit"/>
        <w:tblCellMar>
          <w:top w:w="0" w:type="dxa"/>
          <w:left w:w="108" w:type="dxa"/>
          <w:bottom w:w="0" w:type="dxa"/>
          <w:right w:w="108" w:type="dxa"/>
        </w:tblCellMar>
      </w:tblPr>
      <w:tblGrid>
        <w:gridCol w:w="477"/>
        <w:gridCol w:w="1396"/>
        <w:gridCol w:w="6752"/>
        <w:gridCol w:w="478"/>
        <w:gridCol w:w="636"/>
      </w:tblGrid>
      <w:tr>
        <w:tblPrEx>
          <w:tblCellMar>
            <w:top w:w="0" w:type="dxa"/>
            <w:left w:w="108" w:type="dxa"/>
            <w:bottom w:w="0" w:type="dxa"/>
            <w:right w:w="108" w:type="dxa"/>
          </w:tblCellMar>
        </w:tblPrEx>
        <w:trPr>
          <w:trHeight w:val="573" w:hRule="atLeast"/>
          <w:jc w:val="center"/>
        </w:trPr>
        <w:tc>
          <w:tcPr>
            <w:tcW w:w="47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序号</w:t>
            </w:r>
          </w:p>
        </w:tc>
        <w:tc>
          <w:tcPr>
            <w:tcW w:w="139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项目名称</w:t>
            </w:r>
          </w:p>
        </w:tc>
        <w:tc>
          <w:tcPr>
            <w:tcW w:w="675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技术参数</w:t>
            </w:r>
          </w:p>
        </w:tc>
        <w:tc>
          <w:tcPr>
            <w:tcW w:w="47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单位</w:t>
            </w:r>
          </w:p>
        </w:tc>
        <w:tc>
          <w:tcPr>
            <w:tcW w:w="63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数量</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rPr>
            </w:pPr>
            <w:r>
              <w:rPr>
                <w:rFonts w:hint="eastAsia" w:ascii="宋体" w:hAnsi="宋体" w:cs="宋体"/>
                <w:b/>
                <w:bCs/>
                <w:kern w:val="0"/>
              </w:rPr>
              <w:t>一、室内管网</w:t>
            </w:r>
          </w:p>
        </w:tc>
      </w:tr>
      <w:tr>
        <w:tblPrEx>
          <w:tblCellMar>
            <w:top w:w="0" w:type="dxa"/>
            <w:left w:w="108" w:type="dxa"/>
            <w:bottom w:w="0" w:type="dxa"/>
            <w:right w:w="108" w:type="dxa"/>
          </w:tblCellMar>
        </w:tblPrEx>
        <w:trPr>
          <w:trHeight w:val="430"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金属线槽(主干弱电桥架)</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1.钢制镀锌金属槽式电缆桥架</w:t>
            </w:r>
            <w:r>
              <w:rPr>
                <w:rFonts w:hint="eastAsia" w:ascii="宋体" w:hAnsi="宋体" w:cs="宋体"/>
                <w:kern w:val="0"/>
              </w:rPr>
              <w:br w:type="textWrapping"/>
            </w:r>
            <w:r>
              <w:rPr>
                <w:rFonts w:hint="eastAsia" w:ascii="宋体" w:hAnsi="宋体" w:cs="宋体"/>
                <w:kern w:val="0"/>
              </w:rPr>
              <w:t>2.≥200*100mm*0.8mm</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432</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rPr>
            </w:pPr>
            <w:r>
              <w:rPr>
                <w:rFonts w:hint="eastAsia" w:ascii="宋体" w:hAnsi="宋体" w:cs="宋体"/>
                <w:b/>
                <w:bCs/>
                <w:kern w:val="0"/>
              </w:rPr>
              <w:t>二、内部组网联接设备</w:t>
            </w:r>
          </w:p>
        </w:tc>
      </w:tr>
      <w:tr>
        <w:tblPrEx>
          <w:tblCellMar>
            <w:top w:w="0" w:type="dxa"/>
            <w:left w:w="108" w:type="dxa"/>
            <w:bottom w:w="0" w:type="dxa"/>
            <w:right w:w="108" w:type="dxa"/>
          </w:tblCellMar>
        </w:tblPrEx>
        <w:trPr>
          <w:trHeight w:val="3377"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24口核心交换机</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千兆SFP光口≥24个，千兆Combo口≥4个，万兆SFP+光口≥4个；</w:t>
            </w:r>
            <w:r>
              <w:rPr>
                <w:rFonts w:hint="eastAsia" w:ascii="宋体" w:hAnsi="宋体" w:cs="宋体"/>
                <w:kern w:val="0"/>
              </w:rPr>
              <w:br w:type="textWrapping"/>
            </w:r>
            <w:r>
              <w:rPr>
                <w:rFonts w:hint="eastAsia" w:ascii="宋体" w:hAnsi="宋体" w:cs="宋体"/>
                <w:kern w:val="0"/>
              </w:rPr>
              <w:t>2. 交换容量≥4.32Tbps，包转发率≥168Mpps；</w:t>
            </w:r>
            <w:r>
              <w:rPr>
                <w:rFonts w:hint="eastAsia" w:ascii="宋体" w:hAnsi="宋体" w:cs="宋体"/>
                <w:kern w:val="0"/>
              </w:rPr>
              <w:br w:type="textWrapping"/>
            </w:r>
            <w:r>
              <w:rPr>
                <w:rFonts w:hint="eastAsia" w:ascii="宋体" w:hAnsi="宋体" w:cs="宋体"/>
                <w:kern w:val="0"/>
              </w:rPr>
              <w:t>3. 支持搭配控制器管理平台，实现对交换机进行胖瘦两种工作模式的切换管理，可以根据不同的组网需要，随时灵活的进行切换；</w:t>
            </w:r>
            <w:r>
              <w:rPr>
                <w:rFonts w:hint="eastAsia" w:ascii="宋体" w:hAnsi="宋体" w:cs="宋体"/>
                <w:kern w:val="0"/>
              </w:rPr>
              <w:br w:type="textWrapping"/>
            </w:r>
            <w:r>
              <w:rPr>
                <w:rFonts w:hint="eastAsia" w:ascii="宋体" w:hAnsi="宋体" w:cs="宋体"/>
                <w:kern w:val="0"/>
              </w:rPr>
              <w:t>▲4. 支持通过静态IP地址、DHCP Option43、DNS域名等多种方式发现控制器管理平台；</w:t>
            </w:r>
            <w:r>
              <w:rPr>
                <w:rFonts w:hint="eastAsia" w:ascii="宋体" w:hAnsi="宋体" w:cs="宋体"/>
                <w:b/>
                <w:bCs/>
                <w:kern w:val="0"/>
              </w:rPr>
              <w:t>（须提供投标产品的后台功能界面截图予以佐证）</w:t>
            </w:r>
            <w:r>
              <w:rPr>
                <w:rFonts w:hint="eastAsia" w:ascii="宋体" w:hAnsi="宋体" w:cs="宋体"/>
                <w:kern w:val="0"/>
              </w:rPr>
              <w:br w:type="textWrapping"/>
            </w:r>
            <w:r>
              <w:rPr>
                <w:rFonts w:hint="eastAsia" w:ascii="宋体" w:hAnsi="宋体" w:cs="宋体"/>
                <w:kern w:val="0"/>
              </w:rPr>
              <w:t>▲5. 支持搭配控制器管理平台，实现 “一键替换”按钮即可完成故障设备替换；</w:t>
            </w:r>
            <w:r>
              <w:rPr>
                <w:rFonts w:hint="eastAsia" w:ascii="宋体" w:hAnsi="宋体" w:cs="宋体"/>
                <w:b/>
                <w:bCs/>
                <w:kern w:val="0"/>
              </w:rPr>
              <w:t>（须提供投标产品的后台功能界面截图予以佐证）</w:t>
            </w:r>
            <w:r>
              <w:rPr>
                <w:rFonts w:hint="eastAsia" w:ascii="宋体" w:hAnsi="宋体" w:cs="宋体"/>
                <w:kern w:val="0"/>
              </w:rPr>
              <w:br w:type="textWrapping"/>
            </w:r>
            <w:r>
              <w:rPr>
                <w:rFonts w:hint="eastAsia" w:ascii="宋体" w:hAnsi="宋体" w:cs="宋体"/>
                <w:kern w:val="0"/>
              </w:rPr>
              <w:t>6. 支持IEEE 802.3az 标准的 EEE节能技术：当EEE使能时，从而大幅度的减小端口在该阶段的功耗，达到了节能的目的；</w:t>
            </w:r>
            <w:r>
              <w:rPr>
                <w:rFonts w:hint="eastAsia" w:ascii="宋体" w:hAnsi="宋体" w:cs="宋体"/>
                <w:kern w:val="0"/>
              </w:rPr>
              <w:br w:type="textWrapping"/>
            </w:r>
            <w:r>
              <w:rPr>
                <w:rFonts w:hint="eastAsia" w:ascii="宋体" w:hAnsi="宋体" w:cs="宋体"/>
                <w:kern w:val="0"/>
              </w:rPr>
              <w:t xml:space="preserve">7. 支持M-LAG技术实现跨设备链路聚合（非堆叠技术实现），要求配对的设备有独立的控制平面； </w:t>
            </w:r>
            <w:r>
              <w:rPr>
                <w:rFonts w:hint="eastAsia" w:ascii="宋体" w:hAnsi="宋体" w:cs="宋体"/>
                <w:kern w:val="0"/>
              </w:rPr>
              <w:br w:type="textWrapping"/>
            </w:r>
            <w:r>
              <w:rPr>
                <w:rFonts w:hint="eastAsia" w:ascii="宋体" w:hAnsi="宋体" w:cs="宋体"/>
                <w:kern w:val="0"/>
              </w:rPr>
              <w:t>▲8. 支持搭配控制器管理平台，实现通过移动APP远程查看端口状态，查看交换机供电情况，远程重启交换机端口等；</w:t>
            </w:r>
            <w:r>
              <w:rPr>
                <w:rFonts w:hint="eastAsia" w:ascii="宋体" w:hAnsi="宋体" w:cs="宋体"/>
                <w:b/>
                <w:bCs/>
                <w:kern w:val="0"/>
              </w:rPr>
              <w:t>（须提供APP软件功能界面截图及由第三方检测机构出具的有效检验检测报告复印件予以佐证，检测报告上须体现“CMA”标志）</w:t>
            </w:r>
            <w:r>
              <w:rPr>
                <w:rFonts w:hint="eastAsia" w:ascii="宋体" w:hAnsi="宋体" w:cs="宋体"/>
                <w:kern w:val="0"/>
              </w:rPr>
              <w:br w:type="textWrapping"/>
            </w:r>
            <w:r>
              <w:rPr>
                <w:rFonts w:hint="eastAsia" w:ascii="宋体" w:hAnsi="宋体" w:cs="宋体"/>
                <w:kern w:val="0"/>
              </w:rPr>
              <w:t>▲9. 支持搭配控制器管理平台，实现通过查看日志可查看各个终端之间互访的记录，并可查看到可视化的互访图显示，可查看到观察区域和保护区域的数量、安全访问、风险访问次数、拦截次数、攻击终端数量等；</w:t>
            </w:r>
            <w:r>
              <w:rPr>
                <w:rFonts w:hint="eastAsia" w:ascii="宋体" w:hAnsi="宋体" w:cs="宋体"/>
                <w:b/>
                <w:bCs/>
                <w:kern w:val="0"/>
              </w:rPr>
              <w:t>（须提供投标产品的功能界面截图及由第三方检测机构出具的有效检验检测报告复印件予以佐证，检测报告上须体现“CMA”标志））</w:t>
            </w:r>
            <w:r>
              <w:rPr>
                <w:rFonts w:hint="eastAsia" w:ascii="宋体" w:hAnsi="宋体" w:cs="宋体"/>
                <w:kern w:val="0"/>
              </w:rPr>
              <w:br w:type="textWrapping"/>
            </w:r>
            <w:r>
              <w:rPr>
                <w:rFonts w:hint="eastAsia" w:ascii="宋体" w:hAnsi="宋体" w:cs="宋体"/>
                <w:kern w:val="0"/>
              </w:rPr>
              <w:t>▲10. 支持搭配控制器管理平台，自动生成拓扑，拓扑图显示堆叠、M-LAG，并支持点击拓扑中进入交换机编辑页面，可以显示普通链路、peer-link链路等；（</w:t>
            </w:r>
            <w:r>
              <w:rPr>
                <w:rFonts w:hint="eastAsia" w:ascii="宋体" w:hAnsi="宋体" w:cs="宋体"/>
                <w:b/>
                <w:bCs/>
                <w:kern w:val="0"/>
              </w:rPr>
              <w:t>提供后台配置操作界面截图及由第三方检测机构出具的有效检验检测报告复印件予以佐证，检测报告上须体现“CMA”标志）；</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1074"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8口接入POE交换机</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千兆POE电口≥8个，2个千兆SFP光口</w:t>
            </w:r>
            <w:r>
              <w:rPr>
                <w:rFonts w:hint="eastAsia" w:ascii="宋体" w:hAnsi="宋体" w:cs="宋体"/>
                <w:kern w:val="0"/>
              </w:rPr>
              <w:br w:type="textWrapping"/>
            </w:r>
            <w:r>
              <w:rPr>
                <w:rFonts w:hint="eastAsia" w:ascii="宋体" w:hAnsi="宋体" w:cs="宋体"/>
                <w:kern w:val="0"/>
              </w:rPr>
              <w:t>2. 交换性能≥56Gbps，包转发率≥14.88Mpps；</w:t>
            </w:r>
            <w:r>
              <w:rPr>
                <w:rFonts w:hint="eastAsia" w:ascii="宋体" w:hAnsi="宋体" w:cs="宋体"/>
                <w:kern w:val="0"/>
              </w:rPr>
              <w:br w:type="textWrapping"/>
            </w:r>
            <w:r>
              <w:rPr>
                <w:rFonts w:hint="eastAsia" w:ascii="宋体" w:hAnsi="宋体" w:cs="宋体"/>
                <w:kern w:val="0"/>
              </w:rPr>
              <w:t>3. 工作温度：0°C～45°C，存储温度：-40°C～70°C；</w:t>
            </w:r>
            <w:r>
              <w:rPr>
                <w:rFonts w:hint="eastAsia" w:ascii="宋体" w:hAnsi="宋体" w:cs="宋体"/>
                <w:kern w:val="0"/>
              </w:rPr>
              <w:br w:type="textWrapping"/>
            </w:r>
            <w:r>
              <w:rPr>
                <w:rFonts w:hint="eastAsia" w:ascii="宋体" w:hAnsi="宋体" w:cs="宋体"/>
                <w:kern w:val="0"/>
              </w:rPr>
              <w:t>4. 相对湿度：10%～95% RH 无凝结；</w:t>
            </w:r>
            <w:r>
              <w:rPr>
                <w:rFonts w:hint="eastAsia" w:ascii="宋体" w:hAnsi="宋体" w:cs="宋体"/>
                <w:kern w:val="0"/>
              </w:rPr>
              <w:br w:type="textWrapping"/>
            </w:r>
            <w:r>
              <w:rPr>
                <w:rFonts w:hint="eastAsia" w:ascii="宋体" w:hAnsi="宋体" w:cs="宋体"/>
                <w:kern w:val="0"/>
              </w:rPr>
              <w:t>5. 支持IEEE 802.3af/at供电标准，整机最大输出功率≥120W；</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25</w:t>
            </w:r>
          </w:p>
        </w:tc>
      </w:tr>
      <w:tr>
        <w:tblPrEx>
          <w:tblCellMar>
            <w:top w:w="0" w:type="dxa"/>
            <w:left w:w="108" w:type="dxa"/>
            <w:bottom w:w="0" w:type="dxa"/>
            <w:right w:w="108" w:type="dxa"/>
          </w:tblCellMar>
        </w:tblPrEx>
        <w:trPr>
          <w:trHeight w:val="1503"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3</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24口汇聚交换机</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千兆电口≥24个， 千兆 SFP光口≥4个，Console口≥1个；</w:t>
            </w:r>
            <w:r>
              <w:rPr>
                <w:rFonts w:hint="eastAsia" w:ascii="宋体" w:hAnsi="宋体" w:cs="宋体"/>
                <w:kern w:val="0"/>
              </w:rPr>
              <w:br w:type="textWrapping"/>
            </w:r>
            <w:r>
              <w:rPr>
                <w:rFonts w:hint="eastAsia" w:ascii="宋体" w:hAnsi="宋体" w:cs="宋体"/>
                <w:kern w:val="0"/>
              </w:rPr>
              <w:t>2. 交换性能≥336Gbps/3.36Tbps，包转发率≥96Mpps；</w:t>
            </w:r>
            <w:r>
              <w:rPr>
                <w:rFonts w:hint="eastAsia" w:ascii="宋体" w:hAnsi="宋体" w:cs="宋体"/>
                <w:kern w:val="0"/>
              </w:rPr>
              <w:br w:type="textWrapping"/>
            </w:r>
            <w:r>
              <w:rPr>
                <w:rFonts w:hint="eastAsia" w:ascii="宋体" w:hAnsi="宋体" w:cs="宋体"/>
                <w:kern w:val="0"/>
              </w:rPr>
              <w:t>3. 支持交换机端口设置为信任端口或非信任端口，非信任端口也可设置白名单响应DHCP报文；</w:t>
            </w:r>
            <w:r>
              <w:rPr>
                <w:rFonts w:hint="eastAsia" w:ascii="宋体" w:hAnsi="宋体" w:cs="宋体"/>
                <w:kern w:val="0"/>
              </w:rPr>
              <w:br w:type="textWrapping"/>
            </w:r>
            <w:r>
              <w:rPr>
                <w:rFonts w:hint="eastAsia" w:ascii="宋体" w:hAnsi="宋体" w:cs="宋体"/>
                <w:kern w:val="0"/>
              </w:rPr>
              <w:t>4. 支持IEEE 802.3az 标准的 EEE节能技术：当EEE使能时，从而大幅度的减小端口在该阶段的功耗，达到了节能的目的；</w:t>
            </w:r>
            <w:r>
              <w:rPr>
                <w:rFonts w:hint="eastAsia" w:ascii="宋体" w:hAnsi="宋体" w:cs="宋体"/>
                <w:kern w:val="0"/>
              </w:rPr>
              <w:br w:type="textWrapping"/>
            </w:r>
            <w:r>
              <w:rPr>
                <w:rFonts w:hint="eastAsia" w:ascii="宋体" w:hAnsi="宋体" w:cs="宋体"/>
                <w:kern w:val="0"/>
              </w:rPr>
              <w:t>5. 支持MAC地址≥8K；</w:t>
            </w:r>
            <w:r>
              <w:rPr>
                <w:rFonts w:hint="eastAsia" w:ascii="宋体" w:hAnsi="宋体" w:cs="宋体"/>
                <w:kern w:val="0"/>
              </w:rPr>
              <w:br w:type="textWrapping"/>
            </w:r>
            <w:r>
              <w:rPr>
                <w:rFonts w:hint="eastAsia" w:ascii="宋体" w:hAnsi="宋体" w:cs="宋体"/>
                <w:kern w:val="0"/>
              </w:rPr>
              <w:t>6. 支持WEB网管特性；</w:t>
            </w:r>
            <w:r>
              <w:rPr>
                <w:rFonts w:hint="eastAsia" w:ascii="宋体" w:hAnsi="宋体" w:cs="宋体"/>
                <w:kern w:val="0"/>
              </w:rPr>
              <w:br w:type="textWrapping"/>
            </w:r>
            <w:r>
              <w:rPr>
                <w:rFonts w:hint="eastAsia" w:ascii="宋体" w:hAnsi="宋体" w:cs="宋体"/>
                <w:kern w:val="0"/>
              </w:rPr>
              <w:t>7. 支持接口MAC地址学习个数限制</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3</w:t>
            </w:r>
          </w:p>
        </w:tc>
      </w:tr>
      <w:tr>
        <w:tblPrEx>
          <w:tblCellMar>
            <w:top w:w="0" w:type="dxa"/>
            <w:left w:w="108" w:type="dxa"/>
            <w:bottom w:w="0" w:type="dxa"/>
            <w:right w:w="108" w:type="dxa"/>
          </w:tblCellMar>
        </w:tblPrEx>
        <w:trPr>
          <w:trHeight w:val="635"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4</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千兆光模块</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1.SFP 千兆单模光模块，单模，1310nm，最大传输距离 10km，接头类型：LC。</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60</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5</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铠装光缆</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1.室外单模铠装光缆；符合ITU-T标准，最少弯曲半径7.5mm；纤芯≥12芯，工作温度：-20～+60℃。</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1500</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rPr>
            </w:pPr>
            <w:r>
              <w:rPr>
                <w:rFonts w:hint="eastAsia" w:ascii="宋体" w:hAnsi="宋体" w:cs="宋体"/>
                <w:b/>
                <w:bCs/>
                <w:kern w:val="0"/>
              </w:rPr>
              <w:t>三、楼宇门禁管理系统</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（一）门禁设备</w:t>
            </w:r>
          </w:p>
        </w:tc>
      </w:tr>
      <w:tr>
        <w:tblPrEx>
          <w:tblCellMar>
            <w:top w:w="0" w:type="dxa"/>
            <w:left w:w="108" w:type="dxa"/>
            <w:bottom w:w="0" w:type="dxa"/>
            <w:right w:w="108" w:type="dxa"/>
          </w:tblCellMar>
        </w:tblPrEx>
        <w:trPr>
          <w:trHeight w:val="2363"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人脸门禁识别器</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参数不低于以下：</w:t>
            </w:r>
            <w:r>
              <w:rPr>
                <w:rFonts w:hint="eastAsia" w:ascii="宋体" w:hAnsi="宋体" w:cs="宋体"/>
                <w:kern w:val="0"/>
              </w:rPr>
              <w:br w:type="textWrapping"/>
            </w:r>
            <w:r>
              <w:rPr>
                <w:rFonts w:hint="eastAsia" w:ascii="宋体" w:hAnsi="宋体" w:cs="宋体"/>
                <w:kern w:val="0"/>
              </w:rPr>
              <w:t>1.操作系统 Android 5.1</w:t>
            </w:r>
            <w:r>
              <w:rPr>
                <w:rFonts w:hint="eastAsia" w:ascii="宋体" w:hAnsi="宋体" w:cs="宋体"/>
                <w:kern w:val="0"/>
              </w:rPr>
              <w:br w:type="textWrapping"/>
            </w:r>
            <w:r>
              <w:rPr>
                <w:rFonts w:hint="eastAsia" w:ascii="宋体" w:hAnsi="宋体" w:cs="宋体"/>
                <w:kern w:val="0"/>
              </w:rPr>
              <w:t>2.CPU 四核 Cortex-A17，主频 1.6GHZ</w:t>
            </w:r>
            <w:r>
              <w:rPr>
                <w:rFonts w:hint="eastAsia" w:ascii="宋体" w:hAnsi="宋体" w:cs="宋体"/>
                <w:kern w:val="0"/>
              </w:rPr>
              <w:br w:type="textWrapping"/>
            </w:r>
            <w:r>
              <w:rPr>
                <w:rFonts w:hint="eastAsia" w:ascii="宋体" w:hAnsi="宋体" w:cs="宋体"/>
                <w:kern w:val="0"/>
              </w:rPr>
              <w:t>3.存储容量 内存 2GB，存储 8GB</w:t>
            </w:r>
            <w:r>
              <w:rPr>
                <w:rFonts w:hint="eastAsia" w:ascii="宋体" w:hAnsi="宋体" w:cs="宋体"/>
                <w:kern w:val="0"/>
              </w:rPr>
              <w:br w:type="textWrapping"/>
            </w:r>
            <w:r>
              <w:rPr>
                <w:rFonts w:hint="eastAsia" w:ascii="宋体" w:hAnsi="宋体" w:cs="宋体"/>
                <w:kern w:val="0"/>
              </w:rPr>
              <w:t>4.工作温度 -10 ℃～ 50 ℃</w:t>
            </w:r>
            <w:r>
              <w:rPr>
                <w:rFonts w:hint="eastAsia" w:ascii="宋体" w:hAnsi="宋体" w:cs="宋体"/>
                <w:kern w:val="0"/>
              </w:rPr>
              <w:br w:type="textWrapping"/>
            </w:r>
            <w:r>
              <w:rPr>
                <w:rFonts w:hint="eastAsia" w:ascii="宋体" w:hAnsi="宋体" w:cs="宋体"/>
                <w:kern w:val="0"/>
              </w:rPr>
              <w:t>5.储存温度 -20 ℃～ 60 ℃</w:t>
            </w:r>
            <w:r>
              <w:rPr>
                <w:rFonts w:hint="eastAsia" w:ascii="宋体" w:hAnsi="宋体" w:cs="宋体"/>
                <w:kern w:val="0"/>
              </w:rPr>
              <w:br w:type="textWrapping"/>
            </w:r>
            <w:r>
              <w:rPr>
                <w:rFonts w:hint="eastAsia" w:ascii="宋体" w:hAnsi="宋体" w:cs="宋体"/>
                <w:kern w:val="0"/>
              </w:rPr>
              <w:t>6.工作湿度 10% ～ 90%</w:t>
            </w:r>
            <w:r>
              <w:rPr>
                <w:rFonts w:hint="eastAsia" w:ascii="宋体" w:hAnsi="宋体" w:cs="宋体"/>
                <w:kern w:val="0"/>
              </w:rPr>
              <w:br w:type="textWrapping"/>
            </w:r>
            <w:r>
              <w:rPr>
                <w:rFonts w:hint="eastAsia" w:ascii="宋体" w:hAnsi="宋体" w:cs="宋体"/>
                <w:kern w:val="0"/>
              </w:rPr>
              <w:t>7.防护等级 IP66</w:t>
            </w:r>
            <w:r>
              <w:rPr>
                <w:rFonts w:hint="eastAsia" w:ascii="宋体" w:hAnsi="宋体" w:cs="宋体"/>
                <w:kern w:val="0"/>
              </w:rPr>
              <w:br w:type="textWrapping"/>
            </w:r>
            <w:r>
              <w:rPr>
                <w:rFonts w:hint="eastAsia" w:ascii="宋体" w:hAnsi="宋体" w:cs="宋体"/>
                <w:kern w:val="0"/>
              </w:rPr>
              <w:t>8.电源 DC 12V/2A</w:t>
            </w:r>
            <w:r>
              <w:rPr>
                <w:rFonts w:hint="eastAsia" w:ascii="宋体" w:hAnsi="宋体" w:cs="宋体"/>
                <w:kern w:val="0"/>
              </w:rPr>
              <w:br w:type="textWrapping"/>
            </w:r>
            <w:r>
              <w:rPr>
                <w:rFonts w:hint="eastAsia" w:ascii="宋体" w:hAnsi="宋体" w:cs="宋体"/>
                <w:kern w:val="0"/>
              </w:rPr>
              <w:t>9.识别模式 人像识别、卡、app远程、访客密码等</w:t>
            </w:r>
            <w:r>
              <w:rPr>
                <w:rFonts w:hint="eastAsia" w:ascii="宋体" w:hAnsi="宋体" w:cs="宋体"/>
                <w:kern w:val="0"/>
              </w:rPr>
              <w:br w:type="textWrapping"/>
            </w:r>
            <w:r>
              <w:rPr>
                <w:rFonts w:hint="eastAsia" w:ascii="宋体" w:hAnsi="宋体" w:cs="宋体"/>
                <w:kern w:val="0"/>
              </w:rPr>
              <w:t>10.人像容量 最大支持 20000 张人像照片</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9</w:t>
            </w:r>
          </w:p>
        </w:tc>
      </w:tr>
      <w:tr>
        <w:tblPrEx>
          <w:tblCellMar>
            <w:top w:w="0" w:type="dxa"/>
            <w:left w:w="108" w:type="dxa"/>
            <w:bottom w:w="0" w:type="dxa"/>
            <w:right w:w="108" w:type="dxa"/>
          </w:tblCellMar>
        </w:tblPrEx>
        <w:trPr>
          <w:trHeight w:val="1074"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门禁立柱支架</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1.使用环境：室内室外；</w:t>
            </w:r>
            <w:r>
              <w:rPr>
                <w:rFonts w:hint="eastAsia" w:ascii="宋体" w:hAnsi="宋体" w:cs="宋体"/>
                <w:kern w:val="0"/>
              </w:rPr>
              <w:br w:type="textWrapping"/>
            </w:r>
            <w:r>
              <w:rPr>
                <w:rFonts w:hint="eastAsia" w:ascii="宋体" w:hAnsi="宋体" w:cs="宋体"/>
                <w:kern w:val="0"/>
              </w:rPr>
              <w:t>2.外壳材料：铝合金材质；</w:t>
            </w:r>
            <w:r>
              <w:rPr>
                <w:rFonts w:hint="eastAsia" w:ascii="宋体" w:hAnsi="宋体" w:cs="宋体"/>
                <w:kern w:val="0"/>
              </w:rPr>
              <w:br w:type="textWrapping"/>
            </w:r>
            <w:r>
              <w:rPr>
                <w:rFonts w:hint="eastAsia" w:ascii="宋体" w:hAnsi="宋体" w:cs="宋体"/>
                <w:kern w:val="0"/>
              </w:rPr>
              <w:t>3.产品尺寸：≥1371.8mm×180.0mm×180.0mm（高×宽×厚）；</w:t>
            </w:r>
            <w:r>
              <w:rPr>
                <w:rFonts w:hint="eastAsia" w:ascii="宋体" w:hAnsi="宋体" w:cs="宋体"/>
                <w:kern w:val="0"/>
              </w:rPr>
              <w:br w:type="textWrapping"/>
            </w:r>
            <w:r>
              <w:rPr>
                <w:rFonts w:hint="eastAsia" w:ascii="宋体" w:hAnsi="宋体" w:cs="宋体"/>
                <w:kern w:val="0"/>
              </w:rPr>
              <w:t>4.工作温度：-30℃~+70℃；</w:t>
            </w:r>
            <w:r>
              <w:rPr>
                <w:rFonts w:hint="eastAsia" w:ascii="宋体" w:hAnsi="宋体" w:cs="宋体"/>
                <w:kern w:val="0"/>
              </w:rPr>
              <w:br w:type="textWrapping"/>
            </w:r>
            <w:r>
              <w:rPr>
                <w:rFonts w:hint="eastAsia" w:ascii="宋体" w:hAnsi="宋体" w:cs="宋体"/>
                <w:kern w:val="0"/>
              </w:rPr>
              <w:t>5.安装方式：地面安装</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9</w:t>
            </w:r>
          </w:p>
        </w:tc>
      </w:tr>
      <w:tr>
        <w:tblPrEx>
          <w:tblCellMar>
            <w:top w:w="0" w:type="dxa"/>
            <w:left w:w="108" w:type="dxa"/>
            <w:bottom w:w="0" w:type="dxa"/>
            <w:right w:w="108" w:type="dxa"/>
          </w:tblCellMar>
        </w:tblPrEx>
        <w:trPr>
          <w:trHeight w:val="2148"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3</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单门磁力锁</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锁体尺寸：长250x宽47x厚26(mm)</w:t>
            </w:r>
            <w:r>
              <w:rPr>
                <w:rFonts w:hint="eastAsia" w:ascii="宋体" w:hAnsi="宋体" w:cs="宋体"/>
                <w:kern w:val="0"/>
              </w:rPr>
              <w:br w:type="textWrapping"/>
            </w:r>
            <w:r>
              <w:rPr>
                <w:rFonts w:hint="eastAsia" w:ascii="宋体" w:hAnsi="宋体" w:cs="宋体"/>
                <w:kern w:val="0"/>
              </w:rPr>
              <w:t>2. 吸板尺寸：长180x宽38x厚11(mm)</w:t>
            </w:r>
            <w:r>
              <w:rPr>
                <w:rFonts w:hint="eastAsia" w:ascii="宋体" w:hAnsi="宋体" w:cs="宋体"/>
                <w:kern w:val="0"/>
              </w:rPr>
              <w:br w:type="textWrapping"/>
            </w:r>
            <w:r>
              <w:rPr>
                <w:rFonts w:hint="eastAsia" w:ascii="宋体" w:hAnsi="宋体" w:cs="宋体"/>
                <w:kern w:val="0"/>
              </w:rPr>
              <w:t>3. 最大拉力：≥280kg(600Lbs)直线拉力</w:t>
            </w:r>
            <w:r>
              <w:rPr>
                <w:rFonts w:hint="eastAsia" w:ascii="宋体" w:hAnsi="宋体" w:cs="宋体"/>
                <w:kern w:val="0"/>
              </w:rPr>
              <w:br w:type="textWrapping"/>
            </w:r>
            <w:r>
              <w:rPr>
                <w:rFonts w:hint="eastAsia" w:ascii="宋体" w:hAnsi="宋体" w:cs="宋体"/>
                <w:kern w:val="0"/>
              </w:rPr>
              <w:t>4. 工作电压：DC12V/DC24V</w:t>
            </w:r>
            <w:r>
              <w:rPr>
                <w:rFonts w:hint="eastAsia" w:ascii="宋体" w:hAnsi="宋体" w:cs="宋体"/>
                <w:kern w:val="0"/>
              </w:rPr>
              <w:br w:type="textWrapping"/>
            </w:r>
            <w:r>
              <w:rPr>
                <w:rFonts w:hint="eastAsia" w:ascii="宋体" w:hAnsi="宋体" w:cs="宋体"/>
                <w:kern w:val="0"/>
              </w:rPr>
              <w:t>5. 工作电流：480mA/240mA</w:t>
            </w:r>
            <w:r>
              <w:rPr>
                <w:rFonts w:hint="eastAsia" w:ascii="宋体" w:hAnsi="宋体" w:cs="宋体"/>
                <w:kern w:val="0"/>
              </w:rPr>
              <w:br w:type="textWrapping"/>
            </w:r>
            <w:r>
              <w:rPr>
                <w:rFonts w:hint="eastAsia" w:ascii="宋体" w:hAnsi="宋体" w:cs="宋体"/>
                <w:kern w:val="0"/>
              </w:rPr>
              <w:t>6. 信号输出：门状态信号输出 RS485</w:t>
            </w:r>
            <w:r>
              <w:rPr>
                <w:rFonts w:hint="eastAsia" w:ascii="宋体" w:hAnsi="宋体" w:cs="宋体"/>
                <w:kern w:val="0"/>
              </w:rPr>
              <w:br w:type="textWrapping"/>
            </w:r>
            <w:r>
              <w:rPr>
                <w:rFonts w:hint="eastAsia" w:ascii="宋体" w:hAnsi="宋体" w:cs="宋体"/>
                <w:kern w:val="0"/>
              </w:rPr>
              <w:t>7. 延时开门：无</w:t>
            </w:r>
            <w:r>
              <w:rPr>
                <w:rFonts w:hint="eastAsia" w:ascii="宋体" w:hAnsi="宋体" w:cs="宋体"/>
                <w:kern w:val="0"/>
              </w:rPr>
              <w:br w:type="textWrapping"/>
            </w:r>
            <w:r>
              <w:rPr>
                <w:rFonts w:hint="eastAsia" w:ascii="宋体" w:hAnsi="宋体" w:cs="宋体"/>
                <w:kern w:val="0"/>
              </w:rPr>
              <w:t>8. 安全类型：断电开门</w:t>
            </w:r>
            <w:r>
              <w:rPr>
                <w:rFonts w:hint="eastAsia" w:ascii="宋体" w:hAnsi="宋体" w:cs="宋体"/>
                <w:kern w:val="0"/>
              </w:rPr>
              <w:br w:type="textWrapping"/>
            </w:r>
            <w:r>
              <w:rPr>
                <w:rFonts w:hint="eastAsia" w:ascii="宋体" w:hAnsi="宋体" w:cs="宋体"/>
                <w:kern w:val="0"/>
              </w:rPr>
              <w:t>9. 工作环境：工作温度：-30℃-+60℃，工作湿度：≤95%</w:t>
            </w:r>
            <w:r>
              <w:rPr>
                <w:rFonts w:hint="eastAsia" w:ascii="宋体" w:hAnsi="宋体" w:cs="宋体"/>
                <w:kern w:val="0"/>
              </w:rPr>
              <w:br w:type="textWrapping"/>
            </w:r>
            <w:r>
              <w:rPr>
                <w:rFonts w:hint="eastAsia" w:ascii="宋体" w:hAnsi="宋体" w:cs="宋体"/>
                <w:kern w:val="0"/>
              </w:rPr>
              <w:t>10. 产品重量：≤2KG</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10</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4</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磁力锁支架</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1.高强铝合金；90度开门；适用木门\金属门\防火门等；适用280KG磁力锁；</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10</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5</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门禁电源</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1.插墙式电源适配器-AC100V~240V-24W-12V2A-V级</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10</w:t>
            </w:r>
          </w:p>
        </w:tc>
      </w:tr>
      <w:tr>
        <w:tblPrEx>
          <w:tblCellMar>
            <w:top w:w="0" w:type="dxa"/>
            <w:left w:w="108" w:type="dxa"/>
            <w:bottom w:w="0" w:type="dxa"/>
            <w:right w:w="108" w:type="dxa"/>
          </w:tblCellMar>
        </w:tblPrEx>
        <w:trPr>
          <w:trHeight w:val="1718"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6</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自动闭门器</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1.最大门重:≥80KG</w:t>
            </w:r>
            <w:r>
              <w:rPr>
                <w:rFonts w:hint="eastAsia" w:ascii="宋体" w:hAnsi="宋体" w:cs="宋体"/>
                <w:kern w:val="0"/>
              </w:rPr>
              <w:br w:type="textWrapping"/>
            </w:r>
            <w:r>
              <w:rPr>
                <w:rFonts w:hint="eastAsia" w:ascii="宋体" w:hAnsi="宋体" w:cs="宋体"/>
                <w:kern w:val="0"/>
              </w:rPr>
              <w:t>2.最大门宽:1100MM</w:t>
            </w:r>
            <w:r>
              <w:rPr>
                <w:rFonts w:hint="eastAsia" w:ascii="宋体" w:hAnsi="宋体" w:cs="宋体"/>
                <w:kern w:val="0"/>
              </w:rPr>
              <w:br w:type="textWrapping"/>
            </w:r>
            <w:r>
              <w:rPr>
                <w:rFonts w:hint="eastAsia" w:ascii="宋体" w:hAnsi="宋体" w:cs="宋体"/>
                <w:kern w:val="0"/>
              </w:rPr>
              <w:t>3.关门力度:≥EN4</w:t>
            </w:r>
            <w:r>
              <w:rPr>
                <w:rFonts w:hint="eastAsia" w:ascii="宋体" w:hAnsi="宋体" w:cs="宋体"/>
                <w:kern w:val="0"/>
              </w:rPr>
              <w:br w:type="textWrapping"/>
            </w:r>
            <w:r>
              <w:rPr>
                <w:rFonts w:hint="eastAsia" w:ascii="宋体" w:hAnsi="宋体" w:cs="宋体"/>
                <w:kern w:val="0"/>
              </w:rPr>
              <w:t>4.开门角度:180度</w:t>
            </w:r>
            <w:r>
              <w:rPr>
                <w:rFonts w:hint="eastAsia" w:ascii="宋体" w:hAnsi="宋体" w:cs="宋体"/>
                <w:kern w:val="0"/>
              </w:rPr>
              <w:br w:type="textWrapping"/>
            </w:r>
            <w:r>
              <w:rPr>
                <w:rFonts w:hint="eastAsia" w:ascii="宋体" w:hAnsi="宋体" w:cs="宋体"/>
                <w:kern w:val="0"/>
              </w:rPr>
              <w:t>5.定速功能:有</w:t>
            </w:r>
            <w:r>
              <w:rPr>
                <w:rFonts w:hint="eastAsia" w:ascii="宋体" w:hAnsi="宋体" w:cs="宋体"/>
                <w:kern w:val="0"/>
              </w:rPr>
              <w:br w:type="textWrapping"/>
            </w:r>
            <w:r>
              <w:rPr>
                <w:rFonts w:hint="eastAsia" w:ascii="宋体" w:hAnsi="宋体" w:cs="宋体"/>
                <w:kern w:val="0"/>
              </w:rPr>
              <w:t>6.定位功能:有</w:t>
            </w:r>
            <w:r>
              <w:rPr>
                <w:rFonts w:hint="eastAsia" w:ascii="宋体" w:hAnsi="宋体" w:cs="宋体"/>
                <w:kern w:val="0"/>
              </w:rPr>
              <w:br w:type="textWrapping"/>
            </w:r>
            <w:r>
              <w:rPr>
                <w:rFonts w:hint="eastAsia" w:ascii="宋体" w:hAnsi="宋体" w:cs="宋体"/>
                <w:kern w:val="0"/>
              </w:rPr>
              <w:t>7.使用寿命:100万次</w:t>
            </w:r>
            <w:r>
              <w:rPr>
                <w:rFonts w:hint="eastAsia" w:ascii="宋体" w:hAnsi="宋体" w:cs="宋体"/>
                <w:kern w:val="0"/>
              </w:rPr>
              <w:br w:type="textWrapping"/>
            </w:r>
            <w:r>
              <w:rPr>
                <w:rFonts w:hint="eastAsia" w:ascii="宋体" w:hAnsi="宋体" w:cs="宋体"/>
                <w:kern w:val="0"/>
              </w:rPr>
              <w:t>8.适用范围:工作温度：-20℃-+55℃， 工作湿度：≤95%；</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10</w:t>
            </w:r>
          </w:p>
        </w:tc>
      </w:tr>
      <w:tr>
        <w:tblPrEx>
          <w:tblCellMar>
            <w:top w:w="0" w:type="dxa"/>
            <w:left w:w="108" w:type="dxa"/>
            <w:bottom w:w="0" w:type="dxa"/>
            <w:right w:w="108" w:type="dxa"/>
          </w:tblCellMar>
        </w:tblPrEx>
        <w:trPr>
          <w:trHeight w:val="2148"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7</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出入门按钮</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1.专业电路设计，无机械故障</w:t>
            </w:r>
            <w:r>
              <w:rPr>
                <w:rFonts w:hint="eastAsia" w:ascii="宋体" w:hAnsi="宋体" w:cs="宋体"/>
                <w:kern w:val="0"/>
              </w:rPr>
              <w:br w:type="textWrapping"/>
            </w:r>
            <w:r>
              <w:rPr>
                <w:rFonts w:hint="eastAsia" w:ascii="宋体" w:hAnsi="宋体" w:cs="宋体"/>
                <w:kern w:val="0"/>
              </w:rPr>
              <w:t>2.精美外观设计，美观大方</w:t>
            </w:r>
            <w:r>
              <w:rPr>
                <w:rFonts w:hint="eastAsia" w:ascii="宋体" w:hAnsi="宋体" w:cs="宋体"/>
                <w:kern w:val="0"/>
              </w:rPr>
              <w:br w:type="textWrapping"/>
            </w:r>
            <w:r>
              <w:rPr>
                <w:rFonts w:hint="eastAsia" w:ascii="宋体" w:hAnsi="宋体" w:cs="宋体"/>
                <w:kern w:val="0"/>
              </w:rPr>
              <w:t>3.可采用防火阻燃材料，安装方便</w:t>
            </w:r>
            <w:r>
              <w:rPr>
                <w:rFonts w:hint="eastAsia" w:ascii="宋体" w:hAnsi="宋体" w:cs="宋体"/>
                <w:kern w:val="0"/>
              </w:rPr>
              <w:br w:type="textWrapping"/>
            </w:r>
            <w:r>
              <w:rPr>
                <w:rFonts w:hint="eastAsia" w:ascii="宋体" w:hAnsi="宋体" w:cs="宋体"/>
                <w:kern w:val="0"/>
              </w:rPr>
              <w:t>4.品种齐全，多种触发方式</w:t>
            </w:r>
            <w:r>
              <w:rPr>
                <w:rFonts w:hint="eastAsia" w:ascii="宋体" w:hAnsi="宋体" w:cs="宋体"/>
                <w:kern w:val="0"/>
              </w:rPr>
              <w:br w:type="textWrapping"/>
            </w:r>
            <w:r>
              <w:rPr>
                <w:rFonts w:hint="eastAsia" w:ascii="宋体" w:hAnsi="宋体" w:cs="宋体"/>
                <w:kern w:val="0"/>
              </w:rPr>
              <w:t>5.常开/常闭功能，可灵活应用</w:t>
            </w:r>
            <w:r>
              <w:rPr>
                <w:rFonts w:hint="eastAsia" w:ascii="宋体" w:hAnsi="宋体" w:cs="宋体"/>
                <w:kern w:val="0"/>
              </w:rPr>
              <w:br w:type="textWrapping"/>
            </w:r>
            <w:r>
              <w:rPr>
                <w:rFonts w:hint="eastAsia" w:ascii="宋体" w:hAnsi="宋体" w:cs="宋体"/>
                <w:kern w:val="0"/>
              </w:rPr>
              <w:t>6.≥五十万次抗疲劳测试，经久耐用</w:t>
            </w:r>
            <w:r>
              <w:rPr>
                <w:rFonts w:hint="eastAsia" w:ascii="宋体" w:hAnsi="宋体" w:cs="宋体"/>
                <w:kern w:val="0"/>
              </w:rPr>
              <w:br w:type="textWrapping"/>
            </w:r>
            <w:r>
              <w:rPr>
                <w:rFonts w:hint="eastAsia" w:ascii="宋体" w:hAnsi="宋体" w:cs="宋体"/>
                <w:kern w:val="0"/>
              </w:rPr>
              <w:t>7.高级门禁工程指定配套产品</w:t>
            </w:r>
            <w:r>
              <w:rPr>
                <w:rFonts w:hint="eastAsia" w:ascii="宋体" w:hAnsi="宋体" w:cs="宋体"/>
                <w:kern w:val="0"/>
              </w:rPr>
              <w:br w:type="textWrapping"/>
            </w:r>
            <w:r>
              <w:rPr>
                <w:rFonts w:hint="eastAsia" w:ascii="宋体" w:hAnsi="宋体" w:cs="宋体"/>
                <w:kern w:val="0"/>
              </w:rPr>
              <w:t>8.塑料外壳:86*86*25mm</w:t>
            </w:r>
            <w:r>
              <w:rPr>
                <w:rFonts w:hint="eastAsia" w:ascii="宋体" w:hAnsi="宋体" w:cs="宋体"/>
                <w:kern w:val="0"/>
              </w:rPr>
              <w:br w:type="textWrapping"/>
            </w:r>
            <w:r>
              <w:rPr>
                <w:rFonts w:hint="eastAsia" w:ascii="宋体" w:hAnsi="宋体" w:cs="宋体"/>
                <w:kern w:val="0"/>
              </w:rPr>
              <w:t>9.工作温度：-30℃-+60℃， 工作湿度：≤95%；</w:t>
            </w:r>
            <w:r>
              <w:rPr>
                <w:rFonts w:hint="eastAsia" w:ascii="宋体" w:hAnsi="宋体" w:cs="宋体"/>
                <w:kern w:val="0"/>
              </w:rPr>
              <w:br w:type="textWrapping"/>
            </w:r>
            <w:r>
              <w:rPr>
                <w:rFonts w:hint="eastAsia" w:ascii="宋体" w:hAnsi="宋体" w:cs="宋体"/>
                <w:kern w:val="0"/>
              </w:rPr>
              <w:t>10.重量：≤0.1KG</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10</w:t>
            </w:r>
          </w:p>
        </w:tc>
      </w:tr>
      <w:tr>
        <w:tblPrEx>
          <w:tblCellMar>
            <w:top w:w="0" w:type="dxa"/>
            <w:left w:w="108" w:type="dxa"/>
            <w:bottom w:w="0" w:type="dxa"/>
            <w:right w:w="108" w:type="dxa"/>
          </w:tblCellMar>
        </w:tblPrEx>
        <w:trPr>
          <w:trHeight w:val="4510"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8</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单门双向门禁控制器</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1.工业型专业设计，带锁具及铰链转动结构，可承受80kg力，防暴性能优良</w:t>
            </w:r>
            <w:r>
              <w:rPr>
                <w:rFonts w:hint="eastAsia" w:ascii="宋体" w:hAnsi="宋体" w:cs="宋体"/>
                <w:kern w:val="0"/>
              </w:rPr>
              <w:br w:type="textWrapping"/>
            </w:r>
            <w:r>
              <w:rPr>
                <w:rFonts w:hint="eastAsia" w:ascii="宋体" w:hAnsi="宋体" w:cs="宋体"/>
                <w:kern w:val="0"/>
              </w:rPr>
              <w:t>2.集成报警、门禁、视频监控、消防报警接入</w:t>
            </w:r>
            <w:r>
              <w:rPr>
                <w:rFonts w:hint="eastAsia" w:ascii="宋体" w:hAnsi="宋体" w:cs="宋体"/>
                <w:kern w:val="0"/>
              </w:rPr>
              <w:br w:type="textWrapping"/>
            </w:r>
            <w:r>
              <w:rPr>
                <w:rFonts w:hint="eastAsia" w:ascii="宋体" w:hAnsi="宋体" w:cs="宋体"/>
                <w:kern w:val="0"/>
              </w:rPr>
              <w:t>3.采用32位高处理器，支持TCP/IP通讯方式</w:t>
            </w:r>
            <w:r>
              <w:rPr>
                <w:rFonts w:hint="eastAsia" w:ascii="宋体" w:hAnsi="宋体" w:cs="宋体"/>
                <w:kern w:val="0"/>
              </w:rPr>
              <w:br w:type="textWrapping"/>
            </w:r>
            <w:r>
              <w:rPr>
                <w:rFonts w:hint="eastAsia" w:ascii="宋体" w:hAnsi="宋体" w:cs="宋体"/>
                <w:kern w:val="0"/>
              </w:rPr>
              <w:t>4.具有双通讯协议设计，同时支持RS485协议和韦根协议读卡器的接入</w:t>
            </w:r>
            <w:r>
              <w:rPr>
                <w:rFonts w:hint="eastAsia" w:ascii="宋体" w:hAnsi="宋体" w:cs="宋体"/>
                <w:kern w:val="0"/>
              </w:rPr>
              <w:br w:type="textWrapping"/>
            </w:r>
            <w:r>
              <w:rPr>
                <w:rFonts w:hint="eastAsia" w:ascii="宋体" w:hAnsi="宋体" w:cs="宋体"/>
                <w:kern w:val="0"/>
              </w:rPr>
              <w:t>5.韦根接口支持国际标准W26\W34，可无缝兼容第三方产品</w:t>
            </w:r>
            <w:r>
              <w:rPr>
                <w:rFonts w:hint="eastAsia" w:ascii="宋体" w:hAnsi="宋体" w:cs="宋体"/>
                <w:kern w:val="0"/>
              </w:rPr>
              <w:br w:type="textWrapping"/>
            </w:r>
            <w:r>
              <w:rPr>
                <w:rFonts w:hint="eastAsia" w:ascii="宋体" w:hAnsi="宋体" w:cs="宋体"/>
                <w:kern w:val="0"/>
              </w:rPr>
              <w:t>6.支持2台读卡器（可设单门双向识别）</w:t>
            </w:r>
            <w:r>
              <w:rPr>
                <w:rFonts w:hint="eastAsia" w:ascii="宋体" w:hAnsi="宋体" w:cs="宋体"/>
                <w:kern w:val="0"/>
              </w:rPr>
              <w:br w:type="textWrapping"/>
            </w:r>
            <w:r>
              <w:rPr>
                <w:rFonts w:hint="eastAsia" w:ascii="宋体" w:hAnsi="宋体" w:cs="宋体"/>
                <w:kern w:val="0"/>
              </w:rPr>
              <w:t>7.支持5组信号输入（开门按钮*1，门磁报警*1，防拆报警*1，报警输入*2）</w:t>
            </w:r>
            <w:r>
              <w:rPr>
                <w:rFonts w:hint="eastAsia" w:ascii="宋体" w:hAnsi="宋体" w:cs="宋体"/>
                <w:kern w:val="0"/>
              </w:rPr>
              <w:br w:type="textWrapping"/>
            </w:r>
            <w:r>
              <w:rPr>
                <w:rFonts w:hint="eastAsia" w:ascii="宋体" w:hAnsi="宋体" w:cs="宋体"/>
                <w:kern w:val="0"/>
              </w:rPr>
              <w:t>8.支持3组控制输出（电锁控制*1，警报输出*2）</w:t>
            </w:r>
            <w:r>
              <w:rPr>
                <w:rFonts w:hint="eastAsia" w:ascii="宋体" w:hAnsi="宋体" w:cs="宋体"/>
                <w:kern w:val="0"/>
              </w:rPr>
              <w:br w:type="textWrapping"/>
            </w:r>
            <w:r>
              <w:rPr>
                <w:rFonts w:hint="eastAsia" w:ascii="宋体" w:hAnsi="宋体" w:cs="宋体"/>
                <w:kern w:val="0"/>
              </w:rPr>
              <w:t>9.存储容量为16M，最大支持100,000个持卡者,150,000条刷卡记录</w:t>
            </w:r>
            <w:r>
              <w:rPr>
                <w:rFonts w:hint="eastAsia" w:ascii="宋体" w:hAnsi="宋体" w:cs="宋体"/>
                <w:kern w:val="0"/>
              </w:rPr>
              <w:br w:type="textWrapping"/>
            </w:r>
            <w:r>
              <w:rPr>
                <w:rFonts w:hint="eastAsia" w:ascii="宋体" w:hAnsi="宋体" w:cs="宋体"/>
                <w:kern w:val="0"/>
              </w:rPr>
              <w:t>10.具有防反潜、多重验证、远程验证、平台视频联动等多项专项功能，支持首卡开门</w:t>
            </w:r>
            <w:r>
              <w:rPr>
                <w:rFonts w:hint="eastAsia" w:ascii="宋体" w:hAnsi="宋体" w:cs="宋体"/>
                <w:kern w:val="0"/>
              </w:rPr>
              <w:br w:type="textWrapping"/>
            </w:r>
            <w:r>
              <w:rPr>
                <w:rFonts w:hint="eastAsia" w:ascii="宋体" w:hAnsi="宋体" w:cs="宋体"/>
                <w:kern w:val="0"/>
              </w:rPr>
              <w:t>11.支持普通卡、VIP卡、来宾卡、巡逻卡、黑白名单、胁迫卡等类型及权限下发</w:t>
            </w:r>
            <w:r>
              <w:rPr>
                <w:rFonts w:hint="eastAsia" w:ascii="宋体" w:hAnsi="宋体" w:cs="宋体"/>
                <w:kern w:val="0"/>
              </w:rPr>
              <w:br w:type="textWrapping"/>
            </w:r>
            <w:r>
              <w:rPr>
                <w:rFonts w:hint="eastAsia" w:ascii="宋体" w:hAnsi="宋体" w:cs="宋体"/>
                <w:kern w:val="0"/>
              </w:rPr>
              <w:t>12.支持非法闯入报警、开门超时报警、支持胁迫卡及胁迫码设定，支持黑白名单及巡逻卡设定</w:t>
            </w:r>
            <w:r>
              <w:rPr>
                <w:rFonts w:hint="eastAsia" w:ascii="宋体" w:hAnsi="宋体" w:cs="宋体"/>
                <w:kern w:val="0"/>
              </w:rPr>
              <w:br w:type="textWrapping"/>
            </w:r>
            <w:r>
              <w:rPr>
                <w:rFonts w:hint="eastAsia" w:ascii="宋体" w:hAnsi="宋体" w:cs="宋体"/>
                <w:kern w:val="0"/>
              </w:rPr>
              <w:t>13.支持卡片、密码、指纹各种组合方式开门，支持分时段开门</w:t>
            </w:r>
            <w:r>
              <w:rPr>
                <w:rFonts w:hint="eastAsia" w:ascii="宋体" w:hAnsi="宋体" w:cs="宋体"/>
                <w:kern w:val="0"/>
              </w:rPr>
              <w:br w:type="textWrapping"/>
            </w:r>
            <w:r>
              <w:rPr>
                <w:rFonts w:hint="eastAsia" w:ascii="宋体" w:hAnsi="宋体" w:cs="宋体"/>
                <w:kern w:val="0"/>
              </w:rPr>
              <w:t>14.支持128组时间表及128组假日时段表，支持常开时间段、常闭时间段、远程开门时间段、首卡开门时间段等设置</w:t>
            </w:r>
            <w:r>
              <w:rPr>
                <w:rFonts w:hint="eastAsia" w:ascii="宋体" w:hAnsi="宋体" w:cs="宋体"/>
                <w:kern w:val="0"/>
              </w:rPr>
              <w:br w:type="textWrapping"/>
            </w:r>
            <w:r>
              <w:rPr>
                <w:rFonts w:hint="eastAsia" w:ascii="宋体" w:hAnsi="宋体" w:cs="宋体"/>
                <w:kern w:val="0"/>
              </w:rPr>
              <w:t>15.所有连接端口均具备过流和过压保护，当出入控制设备执行启闭动作的电动或电磁等部件短路时，任何操作不会导致电源损坏</w:t>
            </w:r>
            <w:r>
              <w:rPr>
                <w:rFonts w:hint="eastAsia" w:ascii="宋体" w:hAnsi="宋体" w:cs="宋体"/>
                <w:kern w:val="0"/>
              </w:rPr>
              <w:br w:type="textWrapping"/>
            </w:r>
            <w:r>
              <w:rPr>
                <w:rFonts w:hint="eastAsia" w:ascii="宋体" w:hAnsi="宋体" w:cs="宋体"/>
                <w:kern w:val="0"/>
              </w:rPr>
              <w:t>16.具有丰富的事件记录存储及上传功能，断网后可将数据存储在本地，网络恢复后继续上传</w:t>
            </w:r>
            <w:r>
              <w:rPr>
                <w:rFonts w:hint="eastAsia" w:ascii="宋体" w:hAnsi="宋体" w:cs="宋体"/>
                <w:kern w:val="0"/>
              </w:rPr>
              <w:br w:type="textWrapping"/>
            </w:r>
            <w:r>
              <w:rPr>
                <w:rFonts w:hint="eastAsia" w:ascii="宋体" w:hAnsi="宋体" w:cs="宋体"/>
                <w:kern w:val="0"/>
              </w:rPr>
              <w:t>17.具有看门狗保护功能，可对内置程序进行诊断，在数据发生异常时自动复位</w:t>
            </w:r>
            <w:r>
              <w:rPr>
                <w:rFonts w:hint="eastAsia" w:ascii="宋体" w:hAnsi="宋体" w:cs="宋体"/>
                <w:kern w:val="0"/>
              </w:rPr>
              <w:br w:type="textWrapping"/>
            </w:r>
            <w:r>
              <w:rPr>
                <w:rFonts w:hint="eastAsia" w:ascii="宋体" w:hAnsi="宋体" w:cs="宋体"/>
                <w:kern w:val="0"/>
              </w:rPr>
              <w:t>18.内置RTC（支持夏令时），支持手动校时、自动校时功能</w:t>
            </w:r>
            <w:r>
              <w:rPr>
                <w:rFonts w:hint="eastAsia" w:ascii="宋体" w:hAnsi="宋体" w:cs="宋体"/>
                <w:kern w:val="0"/>
              </w:rPr>
              <w:br w:type="textWrapping"/>
            </w:r>
            <w:r>
              <w:rPr>
                <w:rFonts w:hint="eastAsia" w:ascii="宋体" w:hAnsi="宋体" w:cs="宋体"/>
                <w:kern w:val="0"/>
              </w:rPr>
              <w:t>19.数据断电永久保存，支持在线升级</w:t>
            </w:r>
            <w:r>
              <w:rPr>
                <w:rFonts w:hint="eastAsia" w:ascii="宋体" w:hAnsi="宋体" w:cs="宋体"/>
                <w:kern w:val="0"/>
              </w:rPr>
              <w:br w:type="textWrapping"/>
            </w:r>
            <w:r>
              <w:rPr>
                <w:rFonts w:hint="eastAsia" w:ascii="宋体" w:hAnsi="宋体" w:cs="宋体"/>
                <w:kern w:val="0"/>
              </w:rPr>
              <w:t>20.主机具有备用电池设计，外部供电断开时可不间断切换蓄电池供电，保证门禁系统正常运行</w:t>
            </w:r>
            <w:r>
              <w:rPr>
                <w:rFonts w:hint="eastAsia" w:ascii="宋体" w:hAnsi="宋体" w:cs="宋体"/>
                <w:kern w:val="0"/>
              </w:rPr>
              <w:br w:type="textWrapping"/>
            </w:r>
            <w:r>
              <w:rPr>
                <w:rFonts w:hint="eastAsia" w:ascii="宋体" w:hAnsi="宋体" w:cs="宋体"/>
                <w:kern w:val="0"/>
              </w:rPr>
              <w:t>21.工作温度：-30℃-+60℃，工作湿度：≤95%</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9</w:t>
            </w:r>
          </w:p>
        </w:tc>
      </w:tr>
      <w:tr>
        <w:tblPrEx>
          <w:tblCellMar>
            <w:top w:w="0" w:type="dxa"/>
            <w:left w:w="108" w:type="dxa"/>
            <w:bottom w:w="0" w:type="dxa"/>
            <w:right w:w="108" w:type="dxa"/>
          </w:tblCellMar>
        </w:tblPrEx>
        <w:trPr>
          <w:trHeight w:val="3651"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9</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IC刷卡密码门禁一体机</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1.采用32位ARM内核处理器，支持本机设定及管理</w:t>
            </w:r>
            <w:r>
              <w:rPr>
                <w:rFonts w:hint="eastAsia" w:ascii="宋体" w:hAnsi="宋体" w:cs="宋体"/>
                <w:kern w:val="0"/>
              </w:rPr>
              <w:br w:type="textWrapping"/>
            </w:r>
            <w:r>
              <w:rPr>
                <w:rFonts w:hint="eastAsia" w:ascii="宋体" w:hAnsi="宋体" w:cs="宋体"/>
                <w:kern w:val="0"/>
              </w:rPr>
              <w:t>2.全触摸按键，蓝色背光灯，液晶显示人机操作界面</w:t>
            </w:r>
            <w:r>
              <w:rPr>
                <w:rFonts w:hint="eastAsia" w:ascii="宋体" w:hAnsi="宋体" w:cs="宋体"/>
                <w:kern w:val="0"/>
              </w:rPr>
              <w:br w:type="textWrapping"/>
            </w:r>
            <w:r>
              <w:rPr>
                <w:rFonts w:hint="eastAsia" w:ascii="宋体" w:hAnsi="宋体" w:cs="宋体"/>
                <w:kern w:val="0"/>
              </w:rPr>
              <w:t>3.支持1万个卡用户和5万条记录</w:t>
            </w:r>
            <w:r>
              <w:rPr>
                <w:rFonts w:hint="eastAsia" w:ascii="宋体" w:hAnsi="宋体" w:cs="宋体"/>
                <w:kern w:val="0"/>
              </w:rPr>
              <w:br w:type="textWrapping"/>
            </w:r>
            <w:r>
              <w:rPr>
                <w:rFonts w:hint="eastAsia" w:ascii="宋体" w:hAnsi="宋体" w:cs="宋体"/>
                <w:kern w:val="0"/>
              </w:rPr>
              <w:t>4.支持IC(Mifare)卡，读卡距离在0cm-3cm，刷卡响应时间&lt;0.1s</w:t>
            </w:r>
            <w:r>
              <w:rPr>
                <w:rFonts w:hint="eastAsia" w:ascii="宋体" w:hAnsi="宋体" w:cs="宋体"/>
                <w:kern w:val="0"/>
              </w:rPr>
              <w:br w:type="textWrapping"/>
            </w:r>
            <w:r>
              <w:rPr>
                <w:rFonts w:hint="eastAsia" w:ascii="宋体" w:hAnsi="宋体" w:cs="宋体"/>
                <w:kern w:val="0"/>
              </w:rPr>
              <w:t>5.支持IC(Mifare)卡、二代身份证卡、公交IC卡、银行IC卡识别</w:t>
            </w:r>
            <w:r>
              <w:rPr>
                <w:rFonts w:hint="eastAsia" w:ascii="宋体" w:hAnsi="宋体" w:cs="宋体"/>
                <w:kern w:val="0"/>
              </w:rPr>
              <w:br w:type="textWrapping"/>
            </w:r>
            <w:r>
              <w:rPr>
                <w:rFonts w:hint="eastAsia" w:ascii="宋体" w:hAnsi="宋体" w:cs="宋体"/>
                <w:kern w:val="0"/>
              </w:rPr>
              <w:t>6.支持5种开门模式，卡、卡+密码、密码、卡或密码、分时段</w:t>
            </w:r>
            <w:r>
              <w:rPr>
                <w:rFonts w:hint="eastAsia" w:ascii="宋体" w:hAnsi="宋体" w:cs="宋体"/>
                <w:kern w:val="0"/>
              </w:rPr>
              <w:br w:type="textWrapping"/>
            </w:r>
            <w:r>
              <w:rPr>
                <w:rFonts w:hint="eastAsia" w:ascii="宋体" w:hAnsi="宋体" w:cs="宋体"/>
                <w:kern w:val="0"/>
              </w:rPr>
              <w:t>7.支持防拆报警、非法闯入报警、开门超时报警、支持胁迫卡及胁迫码设定，强化系统安全</w:t>
            </w:r>
            <w:r>
              <w:rPr>
                <w:rFonts w:hint="eastAsia" w:ascii="宋体" w:hAnsi="宋体" w:cs="宋体"/>
                <w:kern w:val="0"/>
              </w:rPr>
              <w:br w:type="textWrapping"/>
            </w:r>
            <w:r>
              <w:rPr>
                <w:rFonts w:hint="eastAsia" w:ascii="宋体" w:hAnsi="宋体" w:cs="宋体"/>
                <w:kern w:val="0"/>
              </w:rPr>
              <w:t>8.支持128组时间段、128组假日时段表、常开时间段、常闭时间段、远程开门时间段、首卡开门时间等设置</w:t>
            </w:r>
            <w:r>
              <w:rPr>
                <w:rFonts w:hint="eastAsia" w:ascii="宋体" w:hAnsi="宋体" w:cs="宋体"/>
                <w:kern w:val="0"/>
              </w:rPr>
              <w:br w:type="textWrapping"/>
            </w:r>
            <w:r>
              <w:rPr>
                <w:rFonts w:hint="eastAsia" w:ascii="宋体" w:hAnsi="宋体" w:cs="宋体"/>
                <w:kern w:val="0"/>
              </w:rPr>
              <w:t>9.具有防反潜、多重认证、远程验证、平台视频联动功能，支持首卡开门</w:t>
            </w:r>
            <w:r>
              <w:rPr>
                <w:rFonts w:hint="eastAsia" w:ascii="宋体" w:hAnsi="宋体" w:cs="宋体"/>
                <w:kern w:val="0"/>
              </w:rPr>
              <w:br w:type="textWrapping"/>
            </w:r>
            <w:r>
              <w:rPr>
                <w:rFonts w:hint="eastAsia" w:ascii="宋体" w:hAnsi="宋体" w:cs="宋体"/>
                <w:kern w:val="0"/>
              </w:rPr>
              <w:t>10.支持多种卡片类型下发，来宾卡、胁迫卡、巡逻卡、黑白名单卡、VIP卡、普通卡等</w:t>
            </w:r>
            <w:r>
              <w:rPr>
                <w:rFonts w:hint="eastAsia" w:ascii="宋体" w:hAnsi="宋体" w:cs="宋体"/>
                <w:kern w:val="0"/>
              </w:rPr>
              <w:br w:type="textWrapping"/>
            </w:r>
            <w:r>
              <w:rPr>
                <w:rFonts w:hint="eastAsia" w:ascii="宋体" w:hAnsi="宋体" w:cs="宋体"/>
                <w:kern w:val="0"/>
              </w:rPr>
              <w:t>11.支持卡片的有效时段设置、密码设置以及有效期限设置，并可对来宾卡的使用次数进行设定</w:t>
            </w:r>
            <w:r>
              <w:rPr>
                <w:rFonts w:hint="eastAsia" w:ascii="宋体" w:hAnsi="宋体" w:cs="宋体"/>
                <w:kern w:val="0"/>
              </w:rPr>
              <w:br w:type="textWrapping"/>
            </w:r>
            <w:r>
              <w:rPr>
                <w:rFonts w:hint="eastAsia" w:ascii="宋体" w:hAnsi="宋体" w:cs="宋体"/>
                <w:kern w:val="0"/>
              </w:rPr>
              <w:t>12.支持5万记录的断电永久保存，自带RTC和看门口狗程序，保证设备正常运行</w:t>
            </w:r>
            <w:r>
              <w:rPr>
                <w:rFonts w:hint="eastAsia" w:ascii="宋体" w:hAnsi="宋体" w:cs="宋体"/>
                <w:kern w:val="0"/>
              </w:rPr>
              <w:br w:type="textWrapping"/>
            </w:r>
            <w:r>
              <w:rPr>
                <w:rFonts w:hint="eastAsia" w:ascii="宋体" w:hAnsi="宋体" w:cs="宋体"/>
                <w:kern w:val="0"/>
              </w:rPr>
              <w:t>13.可在本机进行报警、开锁、语言、时间、日期、网络参数、声音参数等设置</w:t>
            </w:r>
            <w:r>
              <w:rPr>
                <w:rFonts w:hint="eastAsia" w:ascii="宋体" w:hAnsi="宋体" w:cs="宋体"/>
                <w:kern w:val="0"/>
              </w:rPr>
              <w:br w:type="textWrapping"/>
            </w:r>
            <w:r>
              <w:rPr>
                <w:rFonts w:hint="eastAsia" w:ascii="宋体" w:hAnsi="宋体" w:cs="宋体"/>
                <w:kern w:val="0"/>
              </w:rPr>
              <w:t>14.支持开门按钮、门锁控制、门磁检测、门铃控制输出以及报警联动</w:t>
            </w:r>
            <w:r>
              <w:rPr>
                <w:rFonts w:hint="eastAsia" w:ascii="宋体" w:hAnsi="宋体" w:cs="宋体"/>
                <w:kern w:val="0"/>
              </w:rPr>
              <w:br w:type="textWrapping"/>
            </w:r>
            <w:r>
              <w:rPr>
                <w:rFonts w:hint="eastAsia" w:ascii="宋体" w:hAnsi="宋体" w:cs="宋体"/>
                <w:kern w:val="0"/>
              </w:rPr>
              <w:t>15.支持以太网接口、韦根接口、RS485接口、2路报警输出、1路报警输入、1路门铃输出</w:t>
            </w:r>
            <w:r>
              <w:rPr>
                <w:rFonts w:hint="eastAsia" w:ascii="宋体" w:hAnsi="宋体" w:cs="宋体"/>
                <w:kern w:val="0"/>
              </w:rPr>
              <w:br w:type="textWrapping"/>
            </w:r>
            <w:r>
              <w:rPr>
                <w:rFonts w:hint="eastAsia" w:ascii="宋体" w:hAnsi="宋体" w:cs="宋体"/>
                <w:kern w:val="0"/>
              </w:rPr>
              <w:t>16.本机支持外扩1组门禁读卡器，采用RS485或韦根通讯接口</w:t>
            </w:r>
            <w:r>
              <w:rPr>
                <w:rFonts w:hint="eastAsia" w:ascii="宋体" w:hAnsi="宋体" w:cs="宋体"/>
                <w:kern w:val="0"/>
              </w:rPr>
              <w:br w:type="textWrapping"/>
            </w:r>
            <w:r>
              <w:rPr>
                <w:rFonts w:hint="eastAsia" w:ascii="宋体" w:hAnsi="宋体" w:cs="宋体"/>
                <w:kern w:val="0"/>
              </w:rPr>
              <w:t>17.支持作为一体机，集成读卡器和单门双向控制器功能，与门禁控制器搭配使用</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1074"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10</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门禁立柱支架</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1.使用环境：室内室外；</w:t>
            </w:r>
            <w:r>
              <w:rPr>
                <w:rFonts w:hint="eastAsia" w:ascii="宋体" w:hAnsi="宋体" w:cs="宋体"/>
                <w:kern w:val="0"/>
              </w:rPr>
              <w:br w:type="textWrapping"/>
            </w:r>
            <w:r>
              <w:rPr>
                <w:rFonts w:hint="eastAsia" w:ascii="宋体" w:hAnsi="宋体" w:cs="宋体"/>
                <w:kern w:val="0"/>
              </w:rPr>
              <w:t>2.外壳材料：铝合金材质；</w:t>
            </w:r>
            <w:r>
              <w:rPr>
                <w:rFonts w:hint="eastAsia" w:ascii="宋体" w:hAnsi="宋体" w:cs="宋体"/>
                <w:kern w:val="0"/>
              </w:rPr>
              <w:br w:type="textWrapping"/>
            </w:r>
            <w:r>
              <w:rPr>
                <w:rFonts w:hint="eastAsia" w:ascii="宋体" w:hAnsi="宋体" w:cs="宋体"/>
                <w:kern w:val="0"/>
              </w:rPr>
              <w:t>3.产品尺寸：≥1371.8mm×180.0mm×180.0mm（高×宽×厚）；</w:t>
            </w:r>
            <w:r>
              <w:rPr>
                <w:rFonts w:hint="eastAsia" w:ascii="宋体" w:hAnsi="宋体" w:cs="宋体"/>
                <w:kern w:val="0"/>
              </w:rPr>
              <w:br w:type="textWrapping"/>
            </w:r>
            <w:r>
              <w:rPr>
                <w:rFonts w:hint="eastAsia" w:ascii="宋体" w:hAnsi="宋体" w:cs="宋体"/>
                <w:kern w:val="0"/>
              </w:rPr>
              <w:t>4.工作温度：-30℃~+70℃；</w:t>
            </w:r>
            <w:r>
              <w:rPr>
                <w:rFonts w:hint="eastAsia" w:ascii="宋体" w:hAnsi="宋体" w:cs="宋体"/>
                <w:kern w:val="0"/>
              </w:rPr>
              <w:br w:type="textWrapping"/>
            </w:r>
            <w:r>
              <w:rPr>
                <w:rFonts w:hint="eastAsia" w:ascii="宋体" w:hAnsi="宋体" w:cs="宋体"/>
                <w:kern w:val="0"/>
              </w:rPr>
              <w:t>5.安装方式：地面安装</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（二）门禁线材管材及光纤联网设备</w:t>
            </w:r>
          </w:p>
        </w:tc>
      </w:tr>
      <w:tr>
        <w:tblPrEx>
          <w:tblCellMar>
            <w:top w:w="0" w:type="dxa"/>
            <w:left w:w="108" w:type="dxa"/>
            <w:bottom w:w="0" w:type="dxa"/>
            <w:right w:w="108" w:type="dxa"/>
          </w:tblCellMar>
        </w:tblPrEx>
        <w:trPr>
          <w:trHeight w:val="430"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11</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安装机柜、机架</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1.安装机柜、机架 (墙挂式(600×600)</w:t>
            </w:r>
            <w:r>
              <w:rPr>
                <w:rFonts w:hint="eastAsia" w:ascii="宋体" w:hAnsi="宋体" w:cs="宋体"/>
                <w:kern w:val="0"/>
              </w:rPr>
              <w:br w:type="textWrapping"/>
            </w:r>
            <w:r>
              <w:rPr>
                <w:rFonts w:hint="eastAsia" w:ascii="宋体" w:hAnsi="宋体" w:cs="宋体"/>
                <w:kern w:val="0"/>
              </w:rPr>
              <w:t>2.≥9U，宽600高500深450</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9</w:t>
            </w:r>
          </w:p>
        </w:tc>
      </w:tr>
      <w:tr>
        <w:tblPrEx>
          <w:tblCellMar>
            <w:top w:w="0" w:type="dxa"/>
            <w:left w:w="108" w:type="dxa"/>
            <w:bottom w:w="0" w:type="dxa"/>
            <w:right w:w="108" w:type="dxa"/>
          </w:tblCellMar>
        </w:tblPrEx>
        <w:trPr>
          <w:trHeight w:val="1718"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12</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光纤收发器</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1.电口速率：≥1个1000Mbps Base-T；</w:t>
            </w:r>
            <w:r>
              <w:rPr>
                <w:rFonts w:hint="eastAsia" w:ascii="宋体" w:hAnsi="宋体" w:cs="宋体"/>
                <w:kern w:val="0"/>
              </w:rPr>
              <w:br w:type="textWrapping"/>
            </w:r>
            <w:r>
              <w:rPr>
                <w:rFonts w:hint="eastAsia" w:ascii="宋体" w:hAnsi="宋体" w:cs="宋体"/>
                <w:kern w:val="0"/>
              </w:rPr>
              <w:t>2.光口速率：≥1个1000Mbps Base-SC；</w:t>
            </w:r>
            <w:r>
              <w:rPr>
                <w:rFonts w:hint="eastAsia" w:ascii="宋体" w:hAnsi="宋体" w:cs="宋体"/>
                <w:kern w:val="0"/>
              </w:rPr>
              <w:br w:type="textWrapping"/>
            </w:r>
            <w:r>
              <w:rPr>
                <w:rFonts w:hint="eastAsia" w:ascii="宋体" w:hAnsi="宋体" w:cs="宋体"/>
                <w:kern w:val="0"/>
              </w:rPr>
              <w:t>3.光接口类型：SC；</w:t>
            </w:r>
            <w:r>
              <w:rPr>
                <w:rFonts w:hint="eastAsia" w:ascii="宋体" w:hAnsi="宋体" w:cs="宋体"/>
                <w:kern w:val="0"/>
              </w:rPr>
              <w:br w:type="textWrapping"/>
            </w:r>
            <w:r>
              <w:rPr>
                <w:rFonts w:hint="eastAsia" w:ascii="宋体" w:hAnsi="宋体" w:cs="宋体"/>
                <w:kern w:val="0"/>
              </w:rPr>
              <w:t>4.形态：盒式；</w:t>
            </w:r>
            <w:r>
              <w:rPr>
                <w:rFonts w:hint="eastAsia" w:ascii="宋体" w:hAnsi="宋体" w:cs="宋体"/>
                <w:kern w:val="0"/>
              </w:rPr>
              <w:br w:type="textWrapping"/>
            </w:r>
            <w:r>
              <w:rPr>
                <w:rFonts w:hint="eastAsia" w:ascii="宋体" w:hAnsi="宋体" w:cs="宋体"/>
                <w:kern w:val="0"/>
              </w:rPr>
              <w:t>5.传输距离：≥20km；</w:t>
            </w:r>
            <w:r>
              <w:rPr>
                <w:rFonts w:hint="eastAsia" w:ascii="宋体" w:hAnsi="宋体" w:cs="宋体"/>
                <w:kern w:val="0"/>
              </w:rPr>
              <w:br w:type="textWrapping"/>
            </w:r>
            <w:r>
              <w:rPr>
                <w:rFonts w:hint="eastAsia" w:ascii="宋体" w:hAnsi="宋体" w:cs="宋体"/>
                <w:kern w:val="0"/>
              </w:rPr>
              <w:t>6.光纤类型：单模单纤；</w:t>
            </w:r>
            <w:r>
              <w:rPr>
                <w:rFonts w:hint="eastAsia" w:ascii="宋体" w:hAnsi="宋体" w:cs="宋体"/>
                <w:kern w:val="0"/>
              </w:rPr>
              <w:br w:type="textWrapping"/>
            </w:r>
            <w:r>
              <w:rPr>
                <w:rFonts w:hint="eastAsia" w:ascii="宋体" w:hAnsi="宋体" w:cs="宋体"/>
                <w:kern w:val="0"/>
              </w:rPr>
              <w:t>7.波长：1310nm 发送,1550nm 接收；</w:t>
            </w:r>
            <w:r>
              <w:rPr>
                <w:rFonts w:hint="eastAsia" w:ascii="宋体" w:hAnsi="宋体" w:cs="宋体"/>
                <w:kern w:val="0"/>
              </w:rPr>
              <w:br w:type="textWrapping"/>
            </w:r>
            <w:r>
              <w:rPr>
                <w:rFonts w:hint="eastAsia" w:ascii="宋体" w:hAnsi="宋体" w:cs="宋体"/>
                <w:kern w:val="0"/>
              </w:rPr>
              <w:t>8.安装方式：桌面</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9</w:t>
            </w:r>
          </w:p>
        </w:tc>
      </w:tr>
      <w:tr>
        <w:tblPrEx>
          <w:tblCellMar>
            <w:top w:w="0" w:type="dxa"/>
            <w:left w:w="108" w:type="dxa"/>
            <w:bottom w:w="0" w:type="dxa"/>
            <w:right w:w="108" w:type="dxa"/>
          </w:tblCellMar>
        </w:tblPrEx>
        <w:trPr>
          <w:trHeight w:val="430"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13</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超五类网线</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材质：≥99.97%无氧铜线芯；</w:t>
            </w:r>
            <w:r>
              <w:rPr>
                <w:rFonts w:hint="eastAsia" w:ascii="宋体" w:hAnsi="宋体" w:cs="宋体"/>
                <w:kern w:val="0"/>
              </w:rPr>
              <w:br w:type="textWrapping"/>
            </w:r>
            <w:r>
              <w:rPr>
                <w:rFonts w:hint="eastAsia" w:ascii="宋体" w:hAnsi="宋体" w:cs="宋体"/>
                <w:kern w:val="0"/>
              </w:rPr>
              <w:t>2. 导体结构：4P*0.5±0.01mm；</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1000</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14</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单元门口主机电源线</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 xml:space="preserve">1.≥RVV2*1.0mm2，PVC材质，额定电压300/500V </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1200</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15</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PVC管</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1.规格:≥Φ25，PVC材质，抗老化</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2000</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（三）网络传输</w:t>
            </w:r>
          </w:p>
        </w:tc>
      </w:tr>
      <w:tr>
        <w:tblPrEx>
          <w:tblCellMar>
            <w:top w:w="0" w:type="dxa"/>
            <w:left w:w="108" w:type="dxa"/>
            <w:bottom w:w="0" w:type="dxa"/>
            <w:right w:w="108" w:type="dxa"/>
          </w:tblCellMar>
        </w:tblPrEx>
        <w:trPr>
          <w:trHeight w:val="677"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16</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网络</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1.网络下行带宽≥50M/条2.网络租赁期≥60个月</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条</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9</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rPr>
            </w:pPr>
            <w:r>
              <w:rPr>
                <w:rFonts w:hint="eastAsia" w:ascii="宋体" w:hAnsi="宋体" w:cs="宋体"/>
                <w:b/>
                <w:bCs/>
                <w:kern w:val="0"/>
              </w:rPr>
              <w:t>四、公共视频安防监控系统</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(一)公共安防监控</w:t>
            </w:r>
          </w:p>
        </w:tc>
      </w:tr>
      <w:tr>
        <w:tblPrEx>
          <w:tblCellMar>
            <w:top w:w="0" w:type="dxa"/>
            <w:left w:w="108" w:type="dxa"/>
            <w:bottom w:w="0" w:type="dxa"/>
            <w:right w:w="108" w:type="dxa"/>
          </w:tblCellMar>
        </w:tblPrEx>
        <w:trPr>
          <w:trHeight w:val="386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400万像素红外枪型网络摄像机</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传感器类型：≥1/2.7英寸CMOS；像素：≥400万；</w:t>
            </w:r>
            <w:r>
              <w:rPr>
                <w:rFonts w:hint="eastAsia" w:ascii="宋体" w:hAnsi="宋体" w:cs="宋体"/>
                <w:kern w:val="0"/>
              </w:rPr>
              <w:br w:type="textWrapping"/>
            </w:r>
            <w:r>
              <w:rPr>
                <w:rFonts w:hint="eastAsia" w:ascii="宋体" w:hAnsi="宋体" w:cs="宋体"/>
                <w:kern w:val="0"/>
              </w:rPr>
              <w:t>2. 最大分辨率：≥2688×1520；</w:t>
            </w:r>
            <w:r>
              <w:rPr>
                <w:rFonts w:hint="eastAsia" w:ascii="宋体" w:hAnsi="宋体" w:cs="宋体"/>
                <w:kern w:val="0"/>
              </w:rPr>
              <w:br w:type="textWrapping"/>
            </w:r>
            <w:r>
              <w:rPr>
                <w:rFonts w:hint="eastAsia" w:ascii="宋体" w:hAnsi="宋体" w:cs="宋体"/>
                <w:kern w:val="0"/>
              </w:rPr>
              <w:t>3. 最低照度：≤0.002Lux(彩色模式); ≤0.0002Lux(黑白模式);0Lux(补光灯开启)；</w:t>
            </w:r>
            <w:r>
              <w:rPr>
                <w:rFonts w:hint="eastAsia" w:ascii="宋体" w:hAnsi="宋体" w:cs="宋体"/>
                <w:kern w:val="0"/>
              </w:rPr>
              <w:br w:type="textWrapping"/>
            </w:r>
            <w:r>
              <w:rPr>
                <w:rFonts w:hint="eastAsia" w:ascii="宋体" w:hAnsi="宋体" w:cs="宋体"/>
                <w:kern w:val="0"/>
              </w:rPr>
              <w:t>4. 最大补光距离：50m（红外）；镜头类型：定焦；镜头焦距：3.6mm；</w:t>
            </w:r>
            <w:r>
              <w:rPr>
                <w:rFonts w:hint="eastAsia" w:ascii="宋体" w:hAnsi="宋体" w:cs="宋体"/>
                <w:kern w:val="0"/>
              </w:rPr>
              <w:br w:type="textWrapping"/>
            </w:r>
            <w:r>
              <w:rPr>
                <w:rFonts w:hint="eastAsia" w:ascii="宋体" w:hAnsi="宋体" w:cs="宋体"/>
                <w:kern w:val="0"/>
              </w:rPr>
              <w:t>5. 通用行为分析：物品遗留；物品搬移；</w:t>
            </w:r>
            <w:r>
              <w:rPr>
                <w:rFonts w:hint="eastAsia" w:ascii="宋体" w:hAnsi="宋体" w:cs="宋体"/>
                <w:kern w:val="0"/>
              </w:rPr>
              <w:br w:type="textWrapping"/>
            </w:r>
            <w:r>
              <w:rPr>
                <w:rFonts w:hint="eastAsia" w:ascii="宋体" w:hAnsi="宋体" w:cs="宋体"/>
                <w:kern w:val="0"/>
              </w:rPr>
              <w:t>6. 图像传输延时检验：在只输出主码流、分辨率设置为2592× 1520、帧率设置为20fps、码率2Mbps时，视频图像传输至客户端的延时时间≤100 ms</w:t>
            </w:r>
            <w:r>
              <w:rPr>
                <w:rFonts w:hint="eastAsia" w:ascii="宋体" w:hAnsi="宋体" w:cs="宋体"/>
                <w:kern w:val="0"/>
              </w:rPr>
              <w:br w:type="textWrapping"/>
            </w:r>
            <w:r>
              <w:rPr>
                <w:rFonts w:hint="eastAsia" w:ascii="宋体" w:hAnsi="宋体" w:cs="宋体"/>
                <w:kern w:val="0"/>
              </w:rPr>
              <w:t>7. 当以下的智能分析行为进行智能分析，并通过客户端软件或IE浏览器给出报警提示。a）拌线入侵；b）区域入侵；c）物品遗留；d）物品搬移；e）徘徊检测；f）停车检测；g）快速移动；h）人员聚集；设备支持行为分析触发后联动抓图、录像、目标跟踪、报警上传、发送邮件等多种报警触发方式；</w:t>
            </w:r>
            <w:r>
              <w:rPr>
                <w:rFonts w:hint="eastAsia" w:ascii="宋体" w:hAnsi="宋体" w:cs="宋体"/>
                <w:kern w:val="0"/>
              </w:rPr>
              <w:br w:type="textWrapping"/>
            </w:r>
            <w:r>
              <w:rPr>
                <w:rFonts w:hint="eastAsia" w:ascii="宋体" w:hAnsi="宋体" w:cs="宋体"/>
                <w:kern w:val="0"/>
              </w:rPr>
              <w:t>8. 在分辨率设置为2688×1520、帧率设置为30fps、码率设置为1Mbps时，样机处于监看或录像状态，监视画面无明显缺损，物体移动时画面边缘无明显锯齿、拉毛现象</w:t>
            </w:r>
            <w:r>
              <w:rPr>
                <w:rFonts w:hint="eastAsia" w:ascii="宋体" w:hAnsi="宋体" w:cs="宋体"/>
                <w:kern w:val="0"/>
              </w:rPr>
              <w:br w:type="textWrapping"/>
            </w:r>
            <w:r>
              <w:rPr>
                <w:rFonts w:hint="eastAsia" w:ascii="宋体" w:hAnsi="宋体" w:cs="宋体"/>
                <w:kern w:val="0"/>
              </w:rPr>
              <w:t>9. 视频压缩标准：H.265；H.264；H.264H；H.264B；MJPEG；</w:t>
            </w:r>
            <w:r>
              <w:rPr>
                <w:rFonts w:hint="eastAsia" w:ascii="宋体" w:hAnsi="宋体" w:cs="宋体"/>
                <w:kern w:val="0"/>
              </w:rPr>
              <w:br w:type="textWrapping"/>
            </w:r>
            <w:r>
              <w:rPr>
                <w:rFonts w:hint="eastAsia" w:ascii="宋体" w:hAnsi="宋体" w:cs="宋体"/>
                <w:kern w:val="0"/>
              </w:rPr>
              <w:t>10. 可通过5个IE浏览器同时浏览主码流2688×1520（25fps）、子码流704×576（25fps）、第三码流1920×1080（25fps）、第四码流704×576（25fps）、第五码流1920×1080（25fps）的视频图像</w:t>
            </w:r>
            <w:r>
              <w:rPr>
                <w:rFonts w:hint="eastAsia" w:ascii="宋体" w:hAnsi="宋体" w:cs="宋体"/>
                <w:kern w:val="0"/>
              </w:rPr>
              <w:br w:type="textWrapping"/>
            </w:r>
            <w:r>
              <w:rPr>
                <w:rFonts w:hint="eastAsia" w:ascii="宋体" w:hAnsi="宋体" w:cs="宋体"/>
                <w:kern w:val="0"/>
              </w:rPr>
              <w:t>11. 智能编码：H.264：支持H.265：支持；</w:t>
            </w:r>
            <w:r>
              <w:rPr>
                <w:rFonts w:hint="eastAsia" w:ascii="宋体" w:hAnsi="宋体" w:cs="宋体"/>
                <w:kern w:val="0"/>
              </w:rPr>
              <w:br w:type="textWrapping"/>
            </w:r>
            <w:r>
              <w:rPr>
                <w:rFonts w:hint="eastAsia" w:ascii="宋体" w:hAnsi="宋体" w:cs="宋体"/>
                <w:kern w:val="0"/>
              </w:rPr>
              <w:t>12. 报警事件：网络断开；IP冲突；非法访问；动态检测；视频遮挡；绊线入侵；区域入侵；快速移动；物品遗留；物品搬移；徘徊检测；人员聚集；停车检测；场景变更；电压检测；SMD安全异常；；</w:t>
            </w:r>
            <w:r>
              <w:rPr>
                <w:rFonts w:hint="eastAsia" w:ascii="宋体" w:hAnsi="宋体" w:cs="宋体"/>
                <w:kern w:val="0"/>
              </w:rPr>
              <w:br w:type="textWrapping"/>
            </w:r>
            <w:r>
              <w:rPr>
                <w:rFonts w:hint="eastAsia" w:ascii="宋体" w:hAnsi="宋体" w:cs="宋体"/>
                <w:kern w:val="0"/>
              </w:rPr>
              <w:t>13. 网络接口：1个（RJ-45网口,支持10M/100M 网络数据）</w:t>
            </w:r>
            <w:r>
              <w:rPr>
                <w:rFonts w:hint="eastAsia" w:ascii="宋体" w:hAnsi="宋体" w:cs="宋体"/>
                <w:kern w:val="0"/>
              </w:rPr>
              <w:br w:type="textWrapping"/>
            </w:r>
            <w:r>
              <w:rPr>
                <w:rFonts w:hint="eastAsia" w:ascii="宋体" w:hAnsi="宋体" w:cs="宋体"/>
                <w:kern w:val="0"/>
              </w:rPr>
              <w:t>14. 供电方式：DC12V/POE；</w:t>
            </w:r>
            <w:r>
              <w:rPr>
                <w:rFonts w:hint="eastAsia" w:ascii="宋体" w:hAnsi="宋体" w:cs="宋体"/>
                <w:kern w:val="0"/>
              </w:rPr>
              <w:br w:type="textWrapping"/>
            </w:r>
            <w:r>
              <w:rPr>
                <w:rFonts w:hint="eastAsia" w:ascii="宋体" w:hAnsi="宋体" w:cs="宋体"/>
                <w:kern w:val="0"/>
              </w:rPr>
              <w:t>15. 防护等级：IP67</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39</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电源适配器</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1.DC12V2A电源适配器，标准接口，金属线芯</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39</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3</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枪机支架</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1.铝合金；白色；最大承重1.0kg；壁装；</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39</w:t>
            </w:r>
          </w:p>
        </w:tc>
      </w:tr>
      <w:tr>
        <w:tblPrEx>
          <w:tblCellMar>
            <w:top w:w="0" w:type="dxa"/>
            <w:left w:w="108" w:type="dxa"/>
            <w:bottom w:w="0" w:type="dxa"/>
            <w:right w:w="108" w:type="dxa"/>
          </w:tblCellMar>
        </w:tblPrEx>
        <w:trPr>
          <w:trHeight w:val="4725"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4</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400万电梯定焦防暴半球网络摄像机</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采用≥1/3英寸400万像素CMOS图像传感器，内置GPU芯片；</w:t>
            </w:r>
            <w:r>
              <w:rPr>
                <w:rFonts w:hint="eastAsia" w:ascii="宋体" w:hAnsi="宋体" w:cs="宋体"/>
                <w:kern w:val="0"/>
              </w:rPr>
              <w:br w:type="textWrapping"/>
            </w:r>
            <w:r>
              <w:rPr>
                <w:rFonts w:hint="eastAsia" w:ascii="宋体" w:hAnsi="宋体" w:cs="宋体"/>
                <w:kern w:val="0"/>
              </w:rPr>
              <w:t>2. 支持分辨率设置为2688×1520，帧率设置为25fps，码率设置为1Mbps输出，水平中心分辨力≥1500TVL；</w:t>
            </w:r>
            <w:r>
              <w:rPr>
                <w:rFonts w:hint="eastAsia" w:ascii="宋体" w:hAnsi="宋体" w:cs="宋体"/>
                <w:kern w:val="0"/>
              </w:rPr>
              <w:br w:type="textWrapping"/>
            </w:r>
            <w:r>
              <w:rPr>
                <w:rFonts w:hint="eastAsia" w:ascii="宋体" w:hAnsi="宋体" w:cs="宋体"/>
                <w:kern w:val="0"/>
              </w:rPr>
              <w:t>3. 支持最低照度彩色：≤0.0002lx，黑白：≤0.0001lx；</w:t>
            </w:r>
            <w:r>
              <w:rPr>
                <w:rFonts w:hint="eastAsia" w:ascii="宋体" w:hAnsi="宋体" w:cs="宋体"/>
                <w:kern w:val="0"/>
              </w:rPr>
              <w:br w:type="textWrapping"/>
            </w:r>
            <w:r>
              <w:rPr>
                <w:rFonts w:hint="eastAsia" w:ascii="宋体" w:hAnsi="宋体" w:cs="宋体"/>
                <w:kern w:val="0"/>
              </w:rPr>
              <w:t>4. 支持H.265、H.264、MJPEG视频编码格式，其中H.265和H.264都支持Baseline/Main/High Profile；</w:t>
            </w:r>
            <w:r>
              <w:rPr>
                <w:rFonts w:hint="eastAsia" w:ascii="宋体" w:hAnsi="宋体" w:cs="宋体"/>
                <w:kern w:val="0"/>
              </w:rPr>
              <w:br w:type="textWrapping"/>
            </w:r>
            <w:r>
              <w:rPr>
                <w:rFonts w:hint="eastAsia" w:ascii="宋体" w:hAnsi="宋体" w:cs="宋体"/>
                <w:kern w:val="0"/>
              </w:rPr>
              <w:t>5. 信噪比≥62dB；</w:t>
            </w:r>
            <w:r>
              <w:rPr>
                <w:rFonts w:hint="eastAsia" w:ascii="宋体" w:hAnsi="宋体" w:cs="宋体"/>
                <w:kern w:val="0"/>
              </w:rPr>
              <w:br w:type="textWrapping"/>
            </w:r>
            <w:r>
              <w:rPr>
                <w:rFonts w:hint="eastAsia" w:ascii="宋体" w:hAnsi="宋体" w:cs="宋体"/>
                <w:kern w:val="0"/>
              </w:rPr>
              <w:t>6. 支持最大红外补光距离≥30米；</w:t>
            </w:r>
            <w:r>
              <w:rPr>
                <w:rFonts w:hint="eastAsia" w:ascii="宋体" w:hAnsi="宋体" w:cs="宋体"/>
                <w:kern w:val="0"/>
              </w:rPr>
              <w:br w:type="textWrapping"/>
            </w:r>
            <w:r>
              <w:rPr>
                <w:rFonts w:hint="eastAsia" w:ascii="宋体" w:hAnsi="宋体" w:cs="宋体"/>
                <w:kern w:val="0"/>
              </w:rPr>
              <w:t>7. 支持绊线入侵、区域入侵、快速移动、徘徊检测、人员聚集；</w:t>
            </w:r>
            <w:r>
              <w:rPr>
                <w:rFonts w:hint="eastAsia" w:ascii="宋体" w:hAnsi="宋体" w:cs="宋体"/>
                <w:kern w:val="0"/>
              </w:rPr>
              <w:br w:type="textWrapping"/>
            </w:r>
            <w:r>
              <w:rPr>
                <w:rFonts w:hint="eastAsia" w:ascii="宋体" w:hAnsi="宋体" w:cs="宋体"/>
                <w:kern w:val="0"/>
              </w:rPr>
              <w:t>8. 支持视频遮挡联动电瓶车报警功能：同时开启视频遮挡和电瓶车入梯检测功能，当镜头被遮挡条件下电瓶车进入电梯，撤除遮挡物后应给出报警提示，直到电瓶车离开电梯时，报警结束；视频遮挡功能和电瓶车入梯检测功能可独立开启；</w:t>
            </w:r>
            <w:r>
              <w:rPr>
                <w:rFonts w:hint="eastAsia" w:ascii="宋体" w:hAnsi="宋体" w:cs="宋体"/>
                <w:kern w:val="0"/>
              </w:rPr>
              <w:br w:type="textWrapping"/>
            </w:r>
            <w:r>
              <w:rPr>
                <w:rFonts w:hint="eastAsia" w:ascii="宋体" w:hAnsi="宋体" w:cs="宋体"/>
                <w:kern w:val="0"/>
              </w:rPr>
              <w:t>9. 具有SD卡槽外置侧出式功能，设备安装后，可随时安装或拆卸SD卡，无需拆卸设备；金属上下壳具有相对称的凹陷三角标记，对准其标记即可对准螺丝孔；底部尾线支持可掰式侧出线或底部对中出线；扬声器锁扣螺丝位于底部；底部具有FRONT方式指示标志；</w:t>
            </w:r>
            <w:r>
              <w:rPr>
                <w:rFonts w:hint="eastAsia" w:ascii="宋体" w:hAnsi="宋体" w:cs="宋体"/>
                <w:kern w:val="0"/>
              </w:rPr>
              <w:br w:type="textWrapping"/>
            </w:r>
            <w:r>
              <w:rPr>
                <w:rFonts w:hint="eastAsia" w:ascii="宋体" w:hAnsi="宋体" w:cs="宋体"/>
                <w:kern w:val="0"/>
              </w:rPr>
              <w:t>10. 支持广告联动功能：开启智能动检功能后，当检测到有人员进入电梯时，可输出广告控制信号用于广告投放，当人员离开电梯时，广告播放关闭；</w:t>
            </w:r>
            <w:r>
              <w:rPr>
                <w:rFonts w:hint="eastAsia" w:ascii="宋体" w:hAnsi="宋体" w:cs="宋体"/>
                <w:kern w:val="0"/>
              </w:rPr>
              <w:br w:type="textWrapping"/>
            </w:r>
            <w:r>
              <w:rPr>
                <w:rFonts w:hint="eastAsia" w:ascii="宋体" w:hAnsi="宋体" w:cs="宋体"/>
                <w:kern w:val="0"/>
              </w:rPr>
              <w:t>11. 支持电瓶车禁入报警功能：可通过IE浏览器配置电瓶车禁止入梯楼层，开启该功能后，当电瓶车在禁入楼层进入电梯时，将给出报警提示，默认布控楼层为1楼及地下楼层，已经在楼上的电瓶车可以正常入梯下楼；</w:t>
            </w:r>
            <w:r>
              <w:rPr>
                <w:rFonts w:hint="eastAsia" w:ascii="宋体" w:hAnsi="宋体" w:cs="宋体"/>
                <w:kern w:val="0"/>
              </w:rPr>
              <w:br w:type="textWrapping"/>
            </w:r>
            <w:r>
              <w:rPr>
                <w:rFonts w:hint="eastAsia" w:ascii="宋体" w:hAnsi="宋体" w:cs="宋体"/>
                <w:kern w:val="0"/>
              </w:rPr>
              <w:t>12. 支持动物进入报警联动功能检验：当有猫/狗进入电梯后可触发联动抓图、录像、报警上传、发送邮件、辅助输出等多种报警触发方式；</w:t>
            </w:r>
            <w:r>
              <w:rPr>
                <w:rFonts w:hint="eastAsia" w:ascii="宋体" w:hAnsi="宋体" w:cs="宋体"/>
                <w:kern w:val="0"/>
              </w:rPr>
              <w:br w:type="textWrapping"/>
            </w:r>
            <w:r>
              <w:rPr>
                <w:rFonts w:hint="eastAsia" w:ascii="宋体" w:hAnsi="宋体" w:cs="宋体"/>
                <w:kern w:val="0"/>
              </w:rPr>
              <w:t>13. 开启匿名登录功能，不输入用户名和密码可预览视频图像；</w:t>
            </w:r>
            <w:r>
              <w:rPr>
                <w:rFonts w:hint="eastAsia" w:ascii="宋体" w:hAnsi="宋体" w:cs="宋体"/>
                <w:kern w:val="0"/>
              </w:rPr>
              <w:br w:type="textWrapping"/>
            </w:r>
            <w:r>
              <w:rPr>
                <w:rFonts w:hint="eastAsia" w:ascii="宋体" w:hAnsi="宋体" w:cs="宋体"/>
                <w:kern w:val="0"/>
              </w:rPr>
              <w:t>14. 同一静止场景相同图像质量下，设备在H.264或H.265编码方式时，开启智能编码功能和不开启智能编码相比，码率节约90%；</w:t>
            </w:r>
            <w:r>
              <w:rPr>
                <w:rFonts w:hint="eastAsia" w:ascii="宋体" w:hAnsi="宋体" w:cs="宋体"/>
                <w:kern w:val="0"/>
              </w:rPr>
              <w:br w:type="textWrapping"/>
            </w:r>
            <w:r>
              <w:rPr>
                <w:rFonts w:hint="eastAsia" w:ascii="宋体" w:hAnsi="宋体" w:cs="宋体"/>
                <w:kern w:val="0"/>
              </w:rPr>
              <w:t>15. 在IE浏览器下，具有亮度、对比度、饱和度、锐度、gamma设置选项；</w:t>
            </w:r>
            <w:r>
              <w:rPr>
                <w:rFonts w:hint="eastAsia" w:ascii="宋体" w:hAnsi="宋体" w:cs="宋体"/>
                <w:kern w:val="0"/>
              </w:rPr>
              <w:br w:type="textWrapping"/>
            </w:r>
            <w:r>
              <w:rPr>
                <w:rFonts w:hint="eastAsia" w:ascii="宋体" w:hAnsi="宋体" w:cs="宋体"/>
                <w:kern w:val="0"/>
              </w:rPr>
              <w:t>16. 具有≥1路报警输入接口、≥1路报警输出接口、≥1路音频输入接口、≥1路音频输出接口；</w:t>
            </w:r>
            <w:r>
              <w:rPr>
                <w:rFonts w:hint="eastAsia" w:ascii="宋体" w:hAnsi="宋体" w:cs="宋体"/>
                <w:kern w:val="0"/>
              </w:rPr>
              <w:br w:type="textWrapping"/>
            </w:r>
            <w:r>
              <w:rPr>
                <w:rFonts w:hint="eastAsia" w:ascii="宋体" w:hAnsi="宋体" w:cs="宋体"/>
                <w:kern w:val="0"/>
              </w:rPr>
              <w:t>17. 具有≥1个RJ45网络接口、≥1个SD卡插槽、内置MIC、扬声器；</w:t>
            </w:r>
            <w:r>
              <w:rPr>
                <w:rFonts w:hint="eastAsia" w:ascii="宋体" w:hAnsi="宋体" w:cs="宋体"/>
                <w:kern w:val="0"/>
              </w:rPr>
              <w:br w:type="textWrapping"/>
            </w:r>
            <w:r>
              <w:rPr>
                <w:rFonts w:hint="eastAsia" w:ascii="宋体" w:hAnsi="宋体" w:cs="宋体"/>
                <w:kern w:val="0"/>
              </w:rPr>
              <w:t>18. 支持IP67防护等级；</w:t>
            </w:r>
            <w:r>
              <w:rPr>
                <w:rFonts w:hint="eastAsia" w:ascii="宋体" w:hAnsi="宋体" w:cs="宋体"/>
                <w:kern w:val="0"/>
              </w:rPr>
              <w:br w:type="textWrapping"/>
            </w:r>
            <w:r>
              <w:rPr>
                <w:rFonts w:hint="eastAsia" w:ascii="宋体" w:hAnsi="宋体" w:cs="宋体"/>
                <w:kern w:val="0"/>
              </w:rPr>
              <w:t>19. 支持DC12V/POE供电；</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9</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5</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电源适配器</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1.DC12V2A电源适配器，标准接口，金属线芯</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9</w:t>
            </w:r>
          </w:p>
        </w:tc>
      </w:tr>
      <w:tr>
        <w:tblPrEx>
          <w:tblCellMar>
            <w:top w:w="0" w:type="dxa"/>
            <w:left w:w="108" w:type="dxa"/>
            <w:bottom w:w="0" w:type="dxa"/>
            <w:right w:w="108" w:type="dxa"/>
          </w:tblCellMar>
        </w:tblPrEx>
        <w:trPr>
          <w:trHeight w:val="1074"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6</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电梯网桥</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1、传输距离≥100m， 2.4G电梯网桥，包含发射端和接收端两个设备，出厂默认配对，无需配置即可使用；</w:t>
            </w:r>
            <w:r>
              <w:rPr>
                <w:rFonts w:hint="eastAsia" w:ascii="宋体" w:hAnsi="宋体" w:cs="宋体"/>
                <w:kern w:val="0"/>
              </w:rPr>
              <w:br w:type="textWrapping"/>
            </w:r>
            <w:r>
              <w:rPr>
                <w:rFonts w:hint="eastAsia" w:ascii="宋体" w:hAnsi="宋体" w:cs="宋体"/>
                <w:kern w:val="0"/>
              </w:rPr>
              <w:t>2、最大桥接速率300Mbps，内置定向天线水平60度，垂直30度，</w:t>
            </w:r>
            <w:r>
              <w:rPr>
                <w:rFonts w:hint="eastAsia" w:ascii="宋体" w:hAnsi="宋体" w:cs="宋体"/>
                <w:kern w:val="0"/>
              </w:rPr>
              <w:br w:type="textWrapping"/>
            </w:r>
            <w:r>
              <w:rPr>
                <w:rFonts w:hint="eastAsia" w:ascii="宋体" w:hAnsi="宋体" w:cs="宋体"/>
                <w:kern w:val="0"/>
              </w:rPr>
              <w:t>3、推荐在100m内无遮挡环境使用，</w:t>
            </w:r>
            <w:r>
              <w:rPr>
                <w:rFonts w:hint="eastAsia" w:ascii="宋体" w:hAnsi="宋体" w:cs="宋体"/>
                <w:kern w:val="0"/>
              </w:rPr>
              <w:br w:type="textWrapping"/>
            </w:r>
            <w:r>
              <w:rPr>
                <w:rFonts w:hint="eastAsia" w:ascii="宋体" w:hAnsi="宋体" w:cs="宋体"/>
                <w:kern w:val="0"/>
              </w:rPr>
              <w:t>4、支持壁挂/抱杆等安装方式</w:t>
            </w:r>
            <w:r>
              <w:rPr>
                <w:rFonts w:hint="eastAsia" w:ascii="宋体" w:hAnsi="宋体" w:cs="宋体"/>
                <w:kern w:val="0"/>
              </w:rPr>
              <w:br w:type="textWrapping"/>
            </w:r>
            <w:r>
              <w:rPr>
                <w:rFonts w:hint="eastAsia" w:ascii="宋体" w:hAnsi="宋体" w:cs="宋体"/>
                <w:kern w:val="0"/>
              </w:rPr>
              <w:t>5、工作温度：-10℃～+55℃（电源标配）</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9</w:t>
            </w:r>
          </w:p>
        </w:tc>
      </w:tr>
      <w:tr>
        <w:tblPrEx>
          <w:tblCellMar>
            <w:top w:w="0" w:type="dxa"/>
            <w:left w:w="108" w:type="dxa"/>
            <w:bottom w:w="0" w:type="dxa"/>
            <w:right w:w="108" w:type="dxa"/>
          </w:tblCellMar>
        </w:tblPrEx>
        <w:trPr>
          <w:trHeight w:val="113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7</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网络硬盘录像机(64路）</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嵌入式LINUX操作系统，支持WEB、本地GUI界面操作；</w:t>
            </w:r>
            <w:r>
              <w:rPr>
                <w:rFonts w:hint="eastAsia" w:ascii="宋体" w:hAnsi="宋体" w:cs="宋体"/>
                <w:kern w:val="0"/>
              </w:rPr>
              <w:br w:type="textWrapping"/>
            </w:r>
            <w:r>
              <w:rPr>
                <w:rFonts w:hint="eastAsia" w:ascii="宋体" w:hAnsi="宋体" w:cs="宋体"/>
                <w:kern w:val="0"/>
              </w:rPr>
              <w:t>2. 视频接入：≥64路IPC接入，总码流≥640Mbps,最大存储码流≥640Mbps,最大转发码流≥640Mbps,最大回放码流≥128Mbps。</w:t>
            </w:r>
            <w:r>
              <w:rPr>
                <w:rFonts w:hint="eastAsia" w:ascii="宋体" w:hAnsi="宋体" w:cs="宋体"/>
                <w:kern w:val="0"/>
              </w:rPr>
              <w:br w:type="textWrapping"/>
            </w:r>
            <w:r>
              <w:rPr>
                <w:rFonts w:hint="eastAsia" w:ascii="宋体" w:hAnsi="宋体" w:cs="宋体"/>
                <w:kern w:val="0"/>
              </w:rPr>
              <w:t>3. 可自适应接入H.265、H.264、MPEG4、MJPE、SmartH.264、SmartH.265、SVAC编码格式的网络视频并解码；</w:t>
            </w:r>
            <w:r>
              <w:rPr>
                <w:rFonts w:hint="eastAsia" w:ascii="宋体" w:hAnsi="宋体" w:cs="宋体"/>
                <w:kern w:val="0"/>
              </w:rPr>
              <w:br w:type="textWrapping"/>
            </w:r>
            <w:r>
              <w:rPr>
                <w:rFonts w:hint="eastAsia" w:ascii="宋体" w:hAnsi="宋体" w:cs="宋体"/>
                <w:kern w:val="0"/>
              </w:rPr>
              <w:t>4. 最大可接入16块接口为SATA的硬盘，每个SATA口可接入最大10TB容量的硬盘，可通过eSATA接口接入外置硬盘，设备可外置SSD固态硬盘，可配置8个IPSAN网盘，支持对加密硬盘的适应接入;</w:t>
            </w:r>
            <w:r>
              <w:rPr>
                <w:rFonts w:hint="eastAsia" w:ascii="宋体" w:hAnsi="宋体" w:cs="宋体"/>
                <w:kern w:val="0"/>
              </w:rPr>
              <w:br w:type="textWrapping"/>
            </w:r>
            <w:r>
              <w:rPr>
                <w:rFonts w:hint="eastAsia" w:ascii="宋体" w:hAnsi="宋体" w:cs="宋体"/>
                <w:kern w:val="0"/>
              </w:rPr>
              <w:t>5. 设备的登录过程，使用了Digest认证技术。具备防火墙能力，能够抗ICMP洪泛攻击、防半连接攻击；</w:t>
            </w:r>
            <w:r>
              <w:rPr>
                <w:rFonts w:hint="eastAsia" w:ascii="宋体" w:hAnsi="宋体" w:cs="宋体"/>
                <w:kern w:val="0"/>
              </w:rPr>
              <w:br w:type="textWrapping"/>
            </w:r>
            <w:r>
              <w:rPr>
                <w:rFonts w:hint="eastAsia" w:ascii="宋体" w:hAnsi="宋体" w:cs="宋体"/>
                <w:kern w:val="0"/>
              </w:rPr>
              <w:t>6. 支持热备盘功能，可指定某块硬盘为热备盘，当RAID内某一块硬盘发生故障，热备盘可自动替换故障盘，进行RAID重构，支持全局热备和局部热备; 支持RAID误操作恢复功能，当RAID组中某块工作正常的硬盘被误拔掉之后1分钟内再插上，该硬盘能恢复到原RAID组中;</w:t>
            </w:r>
            <w:r>
              <w:rPr>
                <w:rFonts w:hint="eastAsia" w:ascii="宋体" w:hAnsi="宋体" w:cs="宋体"/>
                <w:kern w:val="0"/>
              </w:rPr>
              <w:br w:type="textWrapping"/>
            </w:r>
            <w:r>
              <w:rPr>
                <w:rFonts w:hint="eastAsia" w:ascii="宋体" w:hAnsi="宋体" w:cs="宋体"/>
                <w:kern w:val="0"/>
              </w:rPr>
              <w:t>▲7. 具备安全异常分析能力，可自动监测到异常行为（如非法IP访问、密码暴破行为、Web路径暴破、网络连接资源异常、可信环境异常等），并通过邮件、手机推送、蜂鸣等方式产生告警</w:t>
            </w:r>
            <w:r>
              <w:rPr>
                <w:rFonts w:hint="eastAsia" w:ascii="宋体" w:hAnsi="宋体" w:cs="宋体"/>
                <w:b/>
                <w:bCs/>
                <w:kern w:val="0"/>
              </w:rPr>
              <w:t>（须提供由第三方检测机构出具的有效检验检测报告复印件予以佐证，检测报告上须体现“CMA”标志）</w:t>
            </w:r>
            <w:r>
              <w:rPr>
                <w:rFonts w:hint="eastAsia" w:ascii="宋体" w:hAnsi="宋体" w:cs="宋体"/>
                <w:kern w:val="0"/>
              </w:rPr>
              <w:br w:type="textWrapping"/>
            </w:r>
            <w:r>
              <w:rPr>
                <w:rFonts w:hint="eastAsia" w:ascii="宋体" w:hAnsi="宋体" w:cs="宋体"/>
                <w:kern w:val="0"/>
              </w:rPr>
              <w:t>8. 支持数据备份功能，支持不同事件类型的录像文件或者图片进行USB、移动硬盘本地备份、USB和DVD刻录机备份、Web端网络下载备份，备份格式MP4和AVI 可选支持esata接口，设备中的普通、动检、报警录像，可以下载到esata外接硬盘中用于备份;</w:t>
            </w:r>
            <w:r>
              <w:rPr>
                <w:rFonts w:hint="eastAsia" w:ascii="宋体" w:hAnsi="宋体" w:cs="宋体"/>
                <w:kern w:val="0"/>
              </w:rPr>
              <w:br w:type="textWrapping"/>
            </w:r>
            <w:r>
              <w:rPr>
                <w:rFonts w:hint="eastAsia" w:ascii="宋体" w:hAnsi="宋体" w:cs="宋体"/>
                <w:kern w:val="0"/>
              </w:rPr>
              <w:t>9. 支持音频播放功能，可接入音频编码格式为G.711u、G.711a、G.726、G.722.1、G.729、AAC及PCM的前端设备，且可导入MP3格式的音频文件并播放，可对音频文件重命名并删除,支持多个时间段音频播放设置,可设置不同间隔、次数播放音频文件;</w:t>
            </w:r>
            <w:r>
              <w:rPr>
                <w:rFonts w:hint="eastAsia" w:ascii="宋体" w:hAnsi="宋体" w:cs="宋体"/>
                <w:kern w:val="0"/>
              </w:rPr>
              <w:br w:type="textWrapping"/>
            </w:r>
            <w:r>
              <w:rPr>
                <w:rFonts w:hint="eastAsia" w:ascii="宋体" w:hAnsi="宋体" w:cs="宋体"/>
                <w:kern w:val="0"/>
              </w:rPr>
              <w:t>10. 为保证设备能够稳定运行，需要支持故障报警功能，设备接入具有故障报警功能的摄像机，当有前端设备断线、存储即将满、存储满、Raid异常、非法访问、无硬盘、硬盘错误、网络断开、IP冲突、Mac冲突事件发生时，设备可给出报警提示并触发蜂鸣器报警，发送邮件、语音提示、指示灯亮、启动联动日志记录、输出联动报警信号，日志中可记录冲突的Mac地址以及登陆错误的IP地址和帐号信息，支持报警输入输出一键撤防功能;</w:t>
            </w:r>
            <w:r>
              <w:rPr>
                <w:rFonts w:hint="eastAsia" w:ascii="宋体" w:hAnsi="宋体" w:cs="宋体"/>
                <w:kern w:val="0"/>
              </w:rPr>
              <w:br w:type="textWrapping"/>
            </w:r>
            <w:r>
              <w:rPr>
                <w:rFonts w:hint="eastAsia" w:ascii="宋体" w:hAnsi="宋体" w:cs="宋体"/>
                <w:kern w:val="0"/>
              </w:rPr>
              <w:t>11. 支持画中画预览功能，可通过客户端软件在2路视频图像中分别叠加1路其他通道的视频图像并同时显示，可对画中画视频进行录像，并可在64画面预览模式下同时预览2路画中画视频; 支持视频画面拖动功能，最大画面分屏显示模式下，设备可拖动改变各通道视频画面的位置;</w:t>
            </w:r>
            <w:r>
              <w:rPr>
                <w:rFonts w:hint="eastAsia" w:ascii="宋体" w:hAnsi="宋体" w:cs="宋体"/>
                <w:kern w:val="0"/>
              </w:rPr>
              <w:br w:type="textWrapping"/>
            </w:r>
            <w:r>
              <w:rPr>
                <w:rFonts w:hint="eastAsia" w:ascii="宋体" w:hAnsi="宋体" w:cs="宋体"/>
                <w:kern w:val="0"/>
              </w:rPr>
              <w:t>12. 支持校时功能，可通过客户端软件对设备设置NTP校时服务器或手动校时，可通过客户端软件设置校时白名单，只有在白名单中的设备才能校时，在网络安排权限中增加IP校时白名单，IP校时白名单配置与IP权限黑白名单配置独立；</w:t>
            </w:r>
            <w:r>
              <w:rPr>
                <w:rFonts w:hint="eastAsia" w:ascii="宋体" w:hAnsi="宋体" w:cs="宋体"/>
                <w:kern w:val="0"/>
              </w:rPr>
              <w:br w:type="textWrapping"/>
            </w:r>
            <w:r>
              <w:rPr>
                <w:rFonts w:hint="eastAsia" w:ascii="宋体" w:hAnsi="宋体" w:cs="宋体"/>
                <w:kern w:val="0"/>
              </w:rPr>
              <w:t>13. 为方便实施调试，需要支持IP添加/修改功能，设备可批量添加、修改前端摄像机的IP地址，并可对已添加的前端摄像机IP进行过滤;</w:t>
            </w:r>
            <w:r>
              <w:rPr>
                <w:rFonts w:hint="eastAsia" w:ascii="宋体" w:hAnsi="宋体" w:cs="宋体"/>
                <w:kern w:val="0"/>
              </w:rPr>
              <w:br w:type="textWrapping"/>
            </w:r>
            <w:r>
              <w:rPr>
                <w:rFonts w:hint="eastAsia" w:ascii="宋体" w:hAnsi="宋体" w:cs="宋体"/>
                <w:kern w:val="0"/>
              </w:rPr>
              <w:t>14. 支持实时识别和检测将被加载运行的可执行程序、ko模块的数字签名，未通过签名验证的非法可执行程序、ko模块将被拒绝加载运行。</w:t>
            </w:r>
            <w:r>
              <w:rPr>
                <w:rFonts w:hint="eastAsia" w:ascii="宋体" w:hAnsi="宋体" w:cs="宋体"/>
                <w:kern w:val="0"/>
              </w:rPr>
              <w:br w:type="textWrapping"/>
            </w:r>
            <w:r>
              <w:rPr>
                <w:rFonts w:hint="eastAsia" w:ascii="宋体" w:hAnsi="宋体" w:cs="宋体"/>
                <w:kern w:val="0"/>
              </w:rPr>
              <w:t>15. 不少于2个10/100/1000M以太网口、2个HDMI接口、2个VGA输出接口、1路音频输入接口、2路音频输出接口，16路报警输入接口，6路报警输出接口;</w:t>
            </w:r>
            <w:r>
              <w:rPr>
                <w:rFonts w:hint="eastAsia" w:ascii="宋体" w:hAnsi="宋体" w:cs="宋体"/>
                <w:kern w:val="0"/>
              </w:rPr>
              <w:br w:type="textWrapping"/>
            </w:r>
            <w:r>
              <w:rPr>
                <w:rFonts w:hint="eastAsia" w:ascii="宋体" w:hAnsi="宋体" w:cs="宋体"/>
                <w:kern w:val="0"/>
              </w:rPr>
              <w:t>16. 具备1个eSATA接口、1个RS232接口、4个USB接口(后面板2个USB3.0,前面板2个USB2.0);</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1718"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8</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光纤收发器</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1.电口速率：≥1个1000Mbps Base-T；</w:t>
            </w:r>
            <w:r>
              <w:rPr>
                <w:rFonts w:hint="eastAsia" w:ascii="宋体" w:hAnsi="宋体" w:cs="宋体"/>
                <w:kern w:val="0"/>
              </w:rPr>
              <w:br w:type="textWrapping"/>
            </w:r>
            <w:r>
              <w:rPr>
                <w:rFonts w:hint="eastAsia" w:ascii="宋体" w:hAnsi="宋体" w:cs="宋体"/>
                <w:kern w:val="0"/>
              </w:rPr>
              <w:t>2.光口速率：≥1个1000Mbps Base-SC；</w:t>
            </w:r>
            <w:r>
              <w:rPr>
                <w:rFonts w:hint="eastAsia" w:ascii="宋体" w:hAnsi="宋体" w:cs="宋体"/>
                <w:kern w:val="0"/>
              </w:rPr>
              <w:br w:type="textWrapping"/>
            </w:r>
            <w:r>
              <w:rPr>
                <w:rFonts w:hint="eastAsia" w:ascii="宋体" w:hAnsi="宋体" w:cs="宋体"/>
                <w:kern w:val="0"/>
              </w:rPr>
              <w:t>3.光接口类型：SC；</w:t>
            </w:r>
            <w:r>
              <w:rPr>
                <w:rFonts w:hint="eastAsia" w:ascii="宋体" w:hAnsi="宋体" w:cs="宋体"/>
                <w:kern w:val="0"/>
              </w:rPr>
              <w:br w:type="textWrapping"/>
            </w:r>
            <w:r>
              <w:rPr>
                <w:rFonts w:hint="eastAsia" w:ascii="宋体" w:hAnsi="宋体" w:cs="宋体"/>
                <w:kern w:val="0"/>
              </w:rPr>
              <w:t>4.形态：盒式；</w:t>
            </w:r>
            <w:r>
              <w:rPr>
                <w:rFonts w:hint="eastAsia" w:ascii="宋体" w:hAnsi="宋体" w:cs="宋体"/>
                <w:kern w:val="0"/>
              </w:rPr>
              <w:br w:type="textWrapping"/>
            </w:r>
            <w:r>
              <w:rPr>
                <w:rFonts w:hint="eastAsia" w:ascii="宋体" w:hAnsi="宋体" w:cs="宋体"/>
                <w:kern w:val="0"/>
              </w:rPr>
              <w:t>5.传输距离：≥20km；</w:t>
            </w:r>
            <w:r>
              <w:rPr>
                <w:rFonts w:hint="eastAsia" w:ascii="宋体" w:hAnsi="宋体" w:cs="宋体"/>
                <w:kern w:val="0"/>
              </w:rPr>
              <w:br w:type="textWrapping"/>
            </w:r>
            <w:r>
              <w:rPr>
                <w:rFonts w:hint="eastAsia" w:ascii="宋体" w:hAnsi="宋体" w:cs="宋体"/>
                <w:kern w:val="0"/>
              </w:rPr>
              <w:t>6.光纤类型：单模单纤；</w:t>
            </w:r>
            <w:r>
              <w:rPr>
                <w:rFonts w:hint="eastAsia" w:ascii="宋体" w:hAnsi="宋体" w:cs="宋体"/>
                <w:kern w:val="0"/>
              </w:rPr>
              <w:br w:type="textWrapping"/>
            </w:r>
            <w:r>
              <w:rPr>
                <w:rFonts w:hint="eastAsia" w:ascii="宋体" w:hAnsi="宋体" w:cs="宋体"/>
                <w:kern w:val="0"/>
              </w:rPr>
              <w:t>7.波长：1310nm 发送,1550nm 接收；</w:t>
            </w:r>
            <w:r>
              <w:rPr>
                <w:rFonts w:hint="eastAsia" w:ascii="宋体" w:hAnsi="宋体" w:cs="宋体"/>
                <w:kern w:val="0"/>
              </w:rPr>
              <w:br w:type="textWrapping"/>
            </w:r>
            <w:r>
              <w:rPr>
                <w:rFonts w:hint="eastAsia" w:ascii="宋体" w:hAnsi="宋体" w:cs="宋体"/>
                <w:kern w:val="0"/>
              </w:rPr>
              <w:t>8.安装方式：桌面</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18</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9</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监控专用硬盘</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1.存储容量、格式:≥6TB-256MB-7200RPM-3.5英寸-SATA接口-标准盘</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26</w:t>
            </w:r>
          </w:p>
        </w:tc>
      </w:tr>
      <w:tr>
        <w:tblPrEx>
          <w:tblCellMar>
            <w:top w:w="0" w:type="dxa"/>
            <w:left w:w="108" w:type="dxa"/>
            <w:bottom w:w="0" w:type="dxa"/>
            <w:right w:w="108" w:type="dxa"/>
          </w:tblCellMar>
        </w:tblPrEx>
        <w:trPr>
          <w:trHeight w:val="430"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10</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超五类网线</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材质：99.97%无氧铜线芯；</w:t>
            </w:r>
            <w:r>
              <w:rPr>
                <w:rFonts w:hint="eastAsia" w:ascii="宋体" w:hAnsi="宋体" w:cs="宋体"/>
                <w:kern w:val="0"/>
              </w:rPr>
              <w:br w:type="textWrapping"/>
            </w:r>
            <w:r>
              <w:rPr>
                <w:rFonts w:hint="eastAsia" w:ascii="宋体" w:hAnsi="宋体" w:cs="宋体"/>
                <w:kern w:val="0"/>
              </w:rPr>
              <w:t>2. 导体结构：4P*0.5±0.01mm；</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1000</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11</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电源线</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 xml:space="preserve">1.≥RVV2*1.0mm2，PVC材质，额定电压300/500V </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350</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12</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12芯铠装光缆</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1.室外单模铠装光缆；符合ITU-T标准，最少弯曲半径7.5mm；工作温度：-20～+60℃。</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650</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13</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光纤终端盒</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1.≥8口SC满配，桌面式，材质：加强冷轧板</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个</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9</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14</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光纤连接</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1.采用熔接法，现场熔接</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芯</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72</w:t>
            </w:r>
          </w:p>
        </w:tc>
      </w:tr>
      <w:tr>
        <w:tblPrEx>
          <w:tblCellMar>
            <w:top w:w="0" w:type="dxa"/>
            <w:left w:w="108" w:type="dxa"/>
            <w:bottom w:w="0" w:type="dxa"/>
            <w:right w:w="108" w:type="dxa"/>
          </w:tblCellMar>
        </w:tblPrEx>
        <w:trPr>
          <w:trHeight w:val="430"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15</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不锈钢防水配电箱</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1.不锈钢防水弱电箱</w:t>
            </w:r>
            <w:r>
              <w:rPr>
                <w:rFonts w:hint="eastAsia" w:ascii="宋体" w:hAnsi="宋体" w:cs="宋体"/>
                <w:kern w:val="0"/>
              </w:rPr>
              <w:br w:type="textWrapping"/>
            </w:r>
            <w:r>
              <w:rPr>
                <w:rFonts w:hint="eastAsia" w:ascii="宋体" w:hAnsi="宋体" w:cs="宋体"/>
                <w:kern w:val="0"/>
              </w:rPr>
              <w:t>2.不锈钢，≥长*宽*高(450mm*220mm*550mm)</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9</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16</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镀锌线管</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1.规格:JDG金属材质，≥Φ20</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380</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17</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软管</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1.规格:≥Φ20，材质塑料</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160</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（二）公安入楼人像抓拍监控设备</w:t>
            </w:r>
          </w:p>
        </w:tc>
      </w:tr>
      <w:tr>
        <w:tblPrEx>
          <w:tblCellMar>
            <w:top w:w="0" w:type="dxa"/>
            <w:left w:w="108" w:type="dxa"/>
            <w:bottom w:w="0" w:type="dxa"/>
            <w:right w:w="108" w:type="dxa"/>
          </w:tblCellMar>
        </w:tblPrEx>
        <w:trPr>
          <w:trHeight w:val="2034"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18</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400万枪型网络摄像机</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具有≥1/1.8英寸CMOS传感器；像素≥400万；</w:t>
            </w:r>
            <w:r>
              <w:rPr>
                <w:rFonts w:hint="eastAsia" w:ascii="宋体" w:hAnsi="宋体" w:cs="宋体"/>
                <w:kern w:val="0"/>
              </w:rPr>
              <w:br w:type="textWrapping"/>
            </w:r>
            <w:r>
              <w:rPr>
                <w:rFonts w:hint="eastAsia" w:ascii="宋体" w:hAnsi="宋体" w:cs="宋体"/>
                <w:kern w:val="0"/>
              </w:rPr>
              <w:t>2. 具有不少于1个内置麦克风、1个内置扬声器；内置暖光灯和红外补光灯；</w:t>
            </w:r>
            <w:r>
              <w:rPr>
                <w:rFonts w:hint="eastAsia" w:ascii="宋体" w:hAnsi="宋体" w:cs="宋体"/>
                <w:kern w:val="0"/>
              </w:rPr>
              <w:br w:type="textWrapping"/>
            </w:r>
            <w:r>
              <w:rPr>
                <w:rFonts w:hint="eastAsia" w:ascii="宋体" w:hAnsi="宋体" w:cs="宋体"/>
                <w:kern w:val="0"/>
              </w:rPr>
              <w:t>3. 支持声光报警联动，当报警产生时，可触发联动声音警报和灯光闪烁；</w:t>
            </w:r>
            <w:r>
              <w:rPr>
                <w:rFonts w:hint="eastAsia" w:ascii="宋体" w:hAnsi="宋体" w:cs="宋体"/>
                <w:kern w:val="0"/>
              </w:rPr>
              <w:br w:type="textWrapping"/>
            </w:r>
            <w:r>
              <w:rPr>
                <w:rFonts w:hint="eastAsia" w:ascii="宋体" w:hAnsi="宋体" w:cs="宋体"/>
                <w:kern w:val="0"/>
              </w:rPr>
              <w:t>4. 分辨率设置为2688×1520、帧率设置为25fps、码率设置为1Mbps, 不小于1500TVL；</w:t>
            </w:r>
            <w:r>
              <w:rPr>
                <w:rFonts w:hint="eastAsia" w:ascii="宋体" w:hAnsi="宋体" w:cs="宋体"/>
                <w:kern w:val="0"/>
              </w:rPr>
              <w:br w:type="textWrapping"/>
            </w:r>
            <w:r>
              <w:rPr>
                <w:rFonts w:hint="eastAsia" w:ascii="宋体" w:hAnsi="宋体" w:cs="宋体"/>
                <w:kern w:val="0"/>
              </w:rPr>
              <w:t>5. 设备可在白天、夜晚模式下自动切换滤光片, 并且联动切换设备的其它配置参数；</w:t>
            </w:r>
            <w:r>
              <w:rPr>
                <w:rFonts w:hint="eastAsia" w:ascii="宋体" w:hAnsi="宋体" w:cs="宋体"/>
                <w:kern w:val="0"/>
              </w:rPr>
              <w:br w:type="textWrapping"/>
            </w:r>
            <w:r>
              <w:rPr>
                <w:rFonts w:hint="eastAsia" w:ascii="宋体" w:hAnsi="宋体" w:cs="宋体"/>
                <w:kern w:val="0"/>
              </w:rPr>
              <w:t>6. 最低照度彩色：≤0.0002lx，黑白：≤0.0001 lx；</w:t>
            </w:r>
            <w:r>
              <w:rPr>
                <w:rFonts w:hint="eastAsia" w:ascii="宋体" w:hAnsi="宋体" w:cs="宋体"/>
                <w:kern w:val="0"/>
              </w:rPr>
              <w:br w:type="textWrapping"/>
            </w:r>
            <w:r>
              <w:rPr>
                <w:rFonts w:hint="eastAsia" w:ascii="宋体" w:hAnsi="宋体" w:cs="宋体"/>
                <w:kern w:val="0"/>
              </w:rPr>
              <w:t>7. 在IE浏览器下，具有H.265、H.264、MJIPEG设置选项:可将H.264和H.265格式设置为Baseline/Main/HighProfile；</w:t>
            </w:r>
            <w:r>
              <w:rPr>
                <w:rFonts w:hint="eastAsia" w:ascii="宋体" w:hAnsi="宋体" w:cs="宋体"/>
                <w:kern w:val="0"/>
              </w:rPr>
              <w:br w:type="textWrapping"/>
            </w:r>
            <w:r>
              <w:rPr>
                <w:rFonts w:hint="eastAsia" w:ascii="宋体" w:hAnsi="宋体" w:cs="宋体"/>
                <w:kern w:val="0"/>
              </w:rPr>
              <w:t>8. 可通过5个IE浏览器同时浏览主码流2688×1520（30fps）、子码流704×576（30fps）、第三码流1920×1080（30fps）、第四码流704×480（25fps）、第五码流1920×1080（30fps）的视频图像；</w:t>
            </w:r>
            <w:r>
              <w:rPr>
                <w:rFonts w:hint="eastAsia" w:ascii="宋体" w:hAnsi="宋体" w:cs="宋体"/>
                <w:kern w:val="0"/>
              </w:rPr>
              <w:br w:type="textWrapping"/>
            </w:r>
            <w:r>
              <w:rPr>
                <w:rFonts w:hint="eastAsia" w:ascii="宋体" w:hAnsi="宋体" w:cs="宋体"/>
                <w:kern w:val="0"/>
              </w:rPr>
              <w:t>9. 同一静止场景相同图像质量下，设备在H.265编码方式时，开启智能编码功能和不开启智能编码相比，码率节约90%；</w:t>
            </w:r>
            <w:r>
              <w:rPr>
                <w:rFonts w:hint="eastAsia" w:ascii="宋体" w:hAnsi="宋体" w:cs="宋体"/>
                <w:kern w:val="0"/>
              </w:rPr>
              <w:br w:type="textWrapping"/>
            </w:r>
            <w:r>
              <w:rPr>
                <w:rFonts w:hint="eastAsia" w:ascii="宋体" w:hAnsi="宋体" w:cs="宋体"/>
                <w:kern w:val="0"/>
              </w:rPr>
              <w:t>10. 具有宽动态自动切换功能，在环境亮度变化时，可自动进行关闭/开启切换</w:t>
            </w:r>
            <w:r>
              <w:rPr>
                <w:rFonts w:hint="eastAsia" w:ascii="宋体" w:hAnsi="宋体" w:cs="宋体"/>
                <w:kern w:val="0"/>
              </w:rPr>
              <w:br w:type="textWrapping"/>
            </w:r>
            <w:r>
              <w:rPr>
                <w:rFonts w:hint="eastAsia" w:ascii="宋体" w:hAnsi="宋体" w:cs="宋体"/>
                <w:kern w:val="0"/>
              </w:rPr>
              <w:t>11. 可通过IE浏览器开启/关闭补光灯或使补光灯在低照度下自动开启 红外灯和白光灯可独立双路控制，可设置为手动、自动及关闭</w:t>
            </w:r>
            <w:r>
              <w:rPr>
                <w:rFonts w:hint="eastAsia" w:ascii="宋体" w:hAnsi="宋体" w:cs="宋体"/>
                <w:kern w:val="0"/>
              </w:rPr>
              <w:br w:type="textWrapping"/>
            </w:r>
            <w:r>
              <w:rPr>
                <w:rFonts w:hint="eastAsia" w:ascii="宋体" w:hAnsi="宋体" w:cs="宋体"/>
                <w:kern w:val="0"/>
              </w:rPr>
              <w:t>12. 可通过IE浏览器开启/关闭人脸质量优先抓拍功能,开后该功能后,当检测到人脸质量达到设定质童阈值时,可自动进行人脸抓拍</w:t>
            </w:r>
            <w:r>
              <w:rPr>
                <w:rFonts w:hint="eastAsia" w:ascii="宋体" w:hAnsi="宋体" w:cs="宋体"/>
                <w:kern w:val="0"/>
              </w:rPr>
              <w:br w:type="textWrapping"/>
            </w:r>
            <w:r>
              <w:rPr>
                <w:rFonts w:hint="eastAsia" w:ascii="宋体" w:hAnsi="宋体" w:cs="宋体"/>
                <w:kern w:val="0"/>
              </w:rPr>
              <w:t>13. 当智能行为分析设置为绊线入侵或区域入侵时，可通过IE浏览器或客户端软件设置触发方向为单向（方向可设置）和双向</w:t>
            </w:r>
            <w:r>
              <w:rPr>
                <w:rFonts w:hint="eastAsia" w:ascii="宋体" w:hAnsi="宋体" w:cs="宋体"/>
                <w:kern w:val="0"/>
              </w:rPr>
              <w:br w:type="textWrapping"/>
            </w:r>
            <w:r>
              <w:rPr>
                <w:rFonts w:hint="eastAsia" w:ascii="宋体" w:hAnsi="宋体" w:cs="宋体"/>
                <w:kern w:val="0"/>
              </w:rPr>
              <w:t>14. 1支持内置语音播放，不同智能行为分析可设置联动不同的声音，播放次数可设置为1～10次，白光可设置常亮与闪烁模式，闪烁频率、时长、周期可设</w:t>
            </w:r>
            <w:r>
              <w:rPr>
                <w:rFonts w:hint="eastAsia" w:ascii="宋体" w:hAnsi="宋体" w:cs="宋体"/>
                <w:kern w:val="0"/>
              </w:rPr>
              <w:br w:type="textWrapping"/>
            </w:r>
            <w:r>
              <w:rPr>
                <w:rFonts w:hint="eastAsia" w:ascii="宋体" w:hAnsi="宋体" w:cs="宋体"/>
                <w:kern w:val="0"/>
              </w:rPr>
              <w:t>15. 支持人员、机动车、非机动车区分检验，备智能分析抗干扰功能，当小狗、树叶等非人或车辆目标经过检测区域时，不会触发报警</w:t>
            </w:r>
            <w:r>
              <w:rPr>
                <w:rFonts w:hint="eastAsia" w:ascii="宋体" w:hAnsi="宋体" w:cs="宋体"/>
                <w:kern w:val="0"/>
              </w:rPr>
              <w:br w:type="textWrapping"/>
            </w:r>
            <w:r>
              <w:rPr>
                <w:rFonts w:hint="eastAsia" w:ascii="宋体" w:hAnsi="宋体" w:cs="宋体"/>
                <w:kern w:val="0"/>
              </w:rPr>
              <w:t>16. 可通过客户端软件或LE浏览器对音频文件进行管理，支持音频文件预览播放，内置语音文件21种，支持通过设备自带mic、客户端软件或IE浏览器进行自定义音频文件录制，支持自定义音频文件上传及下载，自定义音频支持PCM/G711A/G711/AAC4种编码格式的WAV/PCM/MP3三种文件格式</w:t>
            </w:r>
            <w:r>
              <w:rPr>
                <w:rFonts w:hint="eastAsia" w:ascii="宋体" w:hAnsi="宋体" w:cs="宋体"/>
                <w:kern w:val="0"/>
              </w:rPr>
              <w:br w:type="textWrapping"/>
            </w:r>
            <w:r>
              <w:rPr>
                <w:rFonts w:hint="eastAsia" w:ascii="宋体" w:hAnsi="宋体" w:cs="宋体"/>
                <w:kern w:val="0"/>
              </w:rPr>
              <w:t>17. 当以下的智能分析行为达到设定的阈值时，可通过客户端软件或IE浏览器给出报警提示。 a）绊线入侵； b）区域入侵； c）物品遗留； d）物品消失； e）徘徊检测； f）非法停车； g）快速移动； h）人员聚集； I) 进入区域； J) 离开区域； 设备支持行为分析出发后联动抓图、录像、目标跟踪、报警上传、发送邮件、辅助输出等多种报警触发方式</w:t>
            </w:r>
            <w:r>
              <w:rPr>
                <w:rFonts w:hint="eastAsia" w:ascii="宋体" w:hAnsi="宋体" w:cs="宋体"/>
                <w:kern w:val="0"/>
              </w:rPr>
              <w:br w:type="textWrapping"/>
            </w:r>
            <w:r>
              <w:rPr>
                <w:rFonts w:hint="eastAsia" w:ascii="宋体" w:hAnsi="宋体" w:cs="宋体"/>
                <w:kern w:val="0"/>
              </w:rPr>
              <w:t>18. 宽动态120dB；透雾功能支持；支持走廊模式，宽动态，3D降噪，强光抑制，背光补偿，数字水印；支持ROI，SVC，SMART H.264/H.265，帧前滤波，灵活编码；</w:t>
            </w:r>
            <w:r>
              <w:rPr>
                <w:rFonts w:hint="eastAsia" w:ascii="宋体" w:hAnsi="宋体" w:cs="宋体"/>
                <w:kern w:val="0"/>
              </w:rPr>
              <w:br w:type="textWrapping"/>
            </w:r>
            <w:r>
              <w:rPr>
                <w:rFonts w:hint="eastAsia" w:ascii="宋体" w:hAnsi="宋体" w:cs="宋体"/>
                <w:kern w:val="0"/>
              </w:rPr>
              <w:t>19. 开启智能行为分析后，夜晚红外下检测到目标，设备可自动转换至彩色模式并开启白光补光，切换及点亮时间可设置</w:t>
            </w:r>
            <w:r>
              <w:rPr>
                <w:rFonts w:hint="eastAsia" w:ascii="宋体" w:hAnsi="宋体" w:cs="宋体"/>
                <w:kern w:val="0"/>
              </w:rPr>
              <w:br w:type="textWrapping"/>
            </w:r>
            <w:r>
              <w:rPr>
                <w:rFonts w:hint="eastAsia" w:ascii="宋体" w:hAnsi="宋体" w:cs="宋体"/>
                <w:kern w:val="0"/>
              </w:rPr>
              <w:t>20. 设备可在回放状态下,批量下载SD卡中存储的录像和图片,录像类型可选dav和MP4</w:t>
            </w:r>
            <w:r>
              <w:rPr>
                <w:rFonts w:hint="eastAsia" w:ascii="宋体" w:hAnsi="宋体" w:cs="宋体"/>
                <w:kern w:val="0"/>
              </w:rPr>
              <w:br w:type="textWrapping"/>
            </w:r>
            <w:r>
              <w:rPr>
                <w:rFonts w:hint="eastAsia" w:ascii="宋体" w:hAnsi="宋体" w:cs="宋体"/>
                <w:kern w:val="0"/>
              </w:rPr>
              <w:t>21. 可将视频图像存储至SD卡、FTP、NAS或客户端，支持SD卡热拔插，支持≥256GB SD卡</w:t>
            </w:r>
            <w:r>
              <w:rPr>
                <w:rFonts w:hint="eastAsia" w:ascii="宋体" w:hAnsi="宋体" w:cs="宋体"/>
                <w:kern w:val="0"/>
              </w:rPr>
              <w:br w:type="textWrapping"/>
            </w:r>
            <w:r>
              <w:rPr>
                <w:rFonts w:hint="eastAsia" w:ascii="宋体" w:hAnsi="宋体" w:cs="宋体"/>
                <w:kern w:val="0"/>
              </w:rPr>
              <w:t>22. 支持DC12V/POE供电方式</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18</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19</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电源适配器</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1.DC12V2A电源适配器，标准接口，金属线芯</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18</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20</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二维万向支架</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1.铝合金；白色；最大承重5.0kg；面装；</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18</w:t>
            </w:r>
          </w:p>
        </w:tc>
      </w:tr>
      <w:tr>
        <w:tblPrEx>
          <w:tblCellMar>
            <w:top w:w="0" w:type="dxa"/>
            <w:left w:w="108" w:type="dxa"/>
            <w:bottom w:w="0" w:type="dxa"/>
            <w:right w:w="108" w:type="dxa"/>
          </w:tblCellMar>
        </w:tblPrEx>
        <w:trPr>
          <w:trHeight w:val="2074"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21</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网络硬盘录像机(64路）</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嵌入式LINUX操作系统，支持WEB、本地GUI界面操作；</w:t>
            </w:r>
            <w:r>
              <w:rPr>
                <w:rFonts w:hint="eastAsia" w:ascii="宋体" w:hAnsi="宋体" w:cs="宋体"/>
                <w:kern w:val="0"/>
              </w:rPr>
              <w:br w:type="textWrapping"/>
            </w:r>
            <w:r>
              <w:rPr>
                <w:rFonts w:hint="eastAsia" w:ascii="宋体" w:hAnsi="宋体" w:cs="宋体"/>
                <w:kern w:val="0"/>
              </w:rPr>
              <w:t>2. 视频接入：≥64路IPC接入，总码流≥640Mbps,最大存储码流≥640Mbps,最大转发码流≥640Mbps,最大回放码流≥128Mbps。</w:t>
            </w:r>
            <w:r>
              <w:rPr>
                <w:rFonts w:hint="eastAsia" w:ascii="宋体" w:hAnsi="宋体" w:cs="宋体"/>
                <w:kern w:val="0"/>
              </w:rPr>
              <w:br w:type="textWrapping"/>
            </w:r>
            <w:r>
              <w:rPr>
                <w:rFonts w:hint="eastAsia" w:ascii="宋体" w:hAnsi="宋体" w:cs="宋体"/>
                <w:kern w:val="0"/>
              </w:rPr>
              <w:t>3. 可自适应接入H.265、H.264、MPEG4、MJPE、SmartH.264、SmartH.265、SVAC编码格式的网络视频并解码；</w:t>
            </w:r>
            <w:r>
              <w:rPr>
                <w:rFonts w:hint="eastAsia" w:ascii="宋体" w:hAnsi="宋体" w:cs="宋体"/>
                <w:kern w:val="0"/>
              </w:rPr>
              <w:br w:type="textWrapping"/>
            </w:r>
            <w:r>
              <w:rPr>
                <w:rFonts w:hint="eastAsia" w:ascii="宋体" w:hAnsi="宋体" w:cs="宋体"/>
                <w:kern w:val="0"/>
              </w:rPr>
              <w:t>4. 最大可接入16块接口为SATA的硬盘，每个SATA口可接入最大10TB容量的硬盘，可通过eSATA接口接入外置硬盘，设备可外置SSD固态硬盘，可配置8个IPSAN网盘，支持对加密硬盘的适应接入;</w:t>
            </w:r>
            <w:r>
              <w:rPr>
                <w:rFonts w:hint="eastAsia" w:ascii="宋体" w:hAnsi="宋体" w:cs="宋体"/>
                <w:kern w:val="0"/>
              </w:rPr>
              <w:br w:type="textWrapping"/>
            </w:r>
            <w:r>
              <w:rPr>
                <w:rFonts w:hint="eastAsia" w:ascii="宋体" w:hAnsi="宋体" w:cs="宋体"/>
                <w:kern w:val="0"/>
              </w:rPr>
              <w:t>5. 设备的登录过程，使用了Digest认证技术。具备防火墙能力，能够抗ICMP洪泛攻击、防半连接攻击；</w:t>
            </w:r>
            <w:r>
              <w:rPr>
                <w:rFonts w:hint="eastAsia" w:ascii="宋体" w:hAnsi="宋体" w:cs="宋体"/>
                <w:kern w:val="0"/>
              </w:rPr>
              <w:br w:type="textWrapping"/>
            </w:r>
            <w:r>
              <w:rPr>
                <w:rFonts w:hint="eastAsia" w:ascii="宋体" w:hAnsi="宋体" w:cs="宋体"/>
                <w:kern w:val="0"/>
              </w:rPr>
              <w:t>6. 支持热备盘功能，可指定某块硬盘为热备盘，当RAID内某一块硬盘发生故障，热备盘可自动替换故障盘，进行RAID重构，支持全局热备和局部热备; 支持RAID误操作恢复功能，当RAID组中某块工作正常的硬盘被误拔掉之后1分钟内再插上，该硬盘能恢复到原RAID组中;</w:t>
            </w:r>
            <w:r>
              <w:rPr>
                <w:rFonts w:hint="eastAsia" w:ascii="宋体" w:hAnsi="宋体" w:cs="宋体"/>
                <w:kern w:val="0"/>
              </w:rPr>
              <w:br w:type="textWrapping"/>
            </w:r>
            <w:r>
              <w:rPr>
                <w:rFonts w:hint="eastAsia" w:ascii="宋体" w:hAnsi="宋体" w:cs="宋体"/>
                <w:kern w:val="0"/>
              </w:rPr>
              <w:t>7. 具备安全异常分析能力，可自动监测到异常行为（如非法IP访问、密码暴破行为、Web路径暴破、网络连接资源异常、可信环境异常等），并通过邮件、手机推送、蜂鸣等方式产生告警；</w:t>
            </w:r>
            <w:r>
              <w:rPr>
                <w:rFonts w:hint="eastAsia" w:ascii="宋体" w:hAnsi="宋体" w:cs="宋体"/>
                <w:kern w:val="0"/>
              </w:rPr>
              <w:br w:type="textWrapping"/>
            </w:r>
            <w:r>
              <w:rPr>
                <w:rFonts w:hint="eastAsia" w:ascii="宋体" w:hAnsi="宋体" w:cs="宋体"/>
                <w:kern w:val="0"/>
              </w:rPr>
              <w:t>8. 支持数据备份功能，支持不同事件类型的录像文件或者图片进行USB、移动硬盘本地备份、USB和DVD刻录机备份、Web端网络下载备份，备份格式MP4和AVI 可选支持esata接口，设备中的普通、动检、报警录像，可以下载到esata外接硬盘中用于备份;</w:t>
            </w:r>
            <w:r>
              <w:rPr>
                <w:rFonts w:hint="eastAsia" w:ascii="宋体" w:hAnsi="宋体" w:cs="宋体"/>
                <w:kern w:val="0"/>
              </w:rPr>
              <w:br w:type="textWrapping"/>
            </w:r>
            <w:r>
              <w:rPr>
                <w:rFonts w:hint="eastAsia" w:ascii="宋体" w:hAnsi="宋体" w:cs="宋体"/>
                <w:kern w:val="0"/>
              </w:rPr>
              <w:t>9. 支持音频播放功能，可接入音频编码格式为G.711u、G.711a、G.726、G.722.1、G.729、AAC及PCM的前端设备，且可导入MP3格式的音频文件并播放，可对音频文件重命名并删除,支持多个时间段音频播放设置,可设置不同间隔、次数播放音频文件;</w:t>
            </w:r>
            <w:r>
              <w:rPr>
                <w:rFonts w:hint="eastAsia" w:ascii="宋体" w:hAnsi="宋体" w:cs="宋体"/>
                <w:kern w:val="0"/>
              </w:rPr>
              <w:br w:type="textWrapping"/>
            </w:r>
            <w:r>
              <w:rPr>
                <w:rFonts w:hint="eastAsia" w:ascii="宋体" w:hAnsi="宋体" w:cs="宋体"/>
                <w:kern w:val="0"/>
              </w:rPr>
              <w:t>10. 为保证设备能够稳定运行，需要支持故障报警功能，设备接入具有故障报警功能的摄像机，当有前端设备断线、存储即将满、存储满、Raid异常、非法访问、无硬盘、硬盘错误、网络断开、IP冲突、Mac冲突事件发生时，设备可给出报警提示并触发蜂鸣器报警，发送邮件、语音提示、指示灯亮、启动联动日志记录、输出联动报警信号，日志中可记录冲突的Mac地址以及登陆错误的IP地址和帐号信息，支持报警输入输出一键撤防功能;</w:t>
            </w:r>
            <w:r>
              <w:rPr>
                <w:rFonts w:hint="eastAsia" w:ascii="宋体" w:hAnsi="宋体" w:cs="宋体"/>
                <w:kern w:val="0"/>
              </w:rPr>
              <w:br w:type="textWrapping"/>
            </w:r>
            <w:r>
              <w:rPr>
                <w:rFonts w:hint="eastAsia" w:ascii="宋体" w:hAnsi="宋体" w:cs="宋体"/>
                <w:kern w:val="0"/>
              </w:rPr>
              <w:t>11. 支持画中画预览功能，可通过客户端软件在2路视频图像中分别叠加1路其他通道的视频图像并同时显示，可对画中画视频进行录像，并可在64画面预览模式下同时预览2路画中画视频; 支持视频画面拖动功能，最大画面分屏显示模式下，设备可拖动改变各通道视频画面的位置;</w:t>
            </w:r>
            <w:r>
              <w:rPr>
                <w:rFonts w:hint="eastAsia" w:ascii="宋体" w:hAnsi="宋体" w:cs="宋体"/>
                <w:kern w:val="0"/>
              </w:rPr>
              <w:br w:type="textWrapping"/>
            </w:r>
            <w:r>
              <w:rPr>
                <w:rFonts w:hint="eastAsia" w:ascii="宋体" w:hAnsi="宋体" w:cs="宋体"/>
                <w:kern w:val="0"/>
              </w:rPr>
              <w:t>12. 支持校时功能，可通过客户端软件对设备设置NTP校时服务器或手动校时，可通过客户端软件设置校时白名单，只有在白名单中的设备才能校时，在网络安排权限中增加IP校时白名单，IP校时白名单配置与IP权限黑白名单配置独立；</w:t>
            </w:r>
            <w:r>
              <w:rPr>
                <w:rFonts w:hint="eastAsia" w:ascii="宋体" w:hAnsi="宋体" w:cs="宋体"/>
                <w:kern w:val="0"/>
              </w:rPr>
              <w:br w:type="textWrapping"/>
            </w:r>
            <w:r>
              <w:rPr>
                <w:rFonts w:hint="eastAsia" w:ascii="宋体" w:hAnsi="宋体" w:cs="宋体"/>
                <w:kern w:val="0"/>
              </w:rPr>
              <w:t>13. 为方便实施调试，需要支持IP添加/修改功能，设备可批量添加、修改前端摄像机的IP地址，并可对已添加的前端摄像机IP进行过滤;</w:t>
            </w:r>
            <w:r>
              <w:rPr>
                <w:rFonts w:hint="eastAsia" w:ascii="宋体" w:hAnsi="宋体" w:cs="宋体"/>
                <w:kern w:val="0"/>
              </w:rPr>
              <w:br w:type="textWrapping"/>
            </w:r>
            <w:r>
              <w:rPr>
                <w:rFonts w:hint="eastAsia" w:ascii="宋体" w:hAnsi="宋体" w:cs="宋体"/>
                <w:kern w:val="0"/>
              </w:rPr>
              <w:t>14. 支持实时识别和检测将被加载运行的可执行程序、ko模块的数字签名，未通过签名验证的非法可执行程序、ko模块将被拒绝加载运行。</w:t>
            </w:r>
            <w:r>
              <w:rPr>
                <w:rFonts w:hint="eastAsia" w:ascii="宋体" w:hAnsi="宋体" w:cs="宋体"/>
                <w:kern w:val="0"/>
              </w:rPr>
              <w:br w:type="textWrapping"/>
            </w:r>
            <w:r>
              <w:rPr>
                <w:rFonts w:hint="eastAsia" w:ascii="宋体" w:hAnsi="宋体" w:cs="宋体"/>
                <w:kern w:val="0"/>
              </w:rPr>
              <w:t>15. 不少于2个10/100/1000M以太网口、2个HDMI接口、2个VGA输出接口、1路音频输入接口、2路音频输出接口，16路报警输入接口，6路报警输出接口;</w:t>
            </w:r>
            <w:r>
              <w:rPr>
                <w:rFonts w:hint="eastAsia" w:ascii="宋体" w:hAnsi="宋体" w:cs="宋体"/>
                <w:kern w:val="0"/>
              </w:rPr>
              <w:br w:type="textWrapping"/>
            </w:r>
            <w:r>
              <w:rPr>
                <w:rFonts w:hint="eastAsia" w:ascii="宋体" w:hAnsi="宋体" w:cs="宋体"/>
                <w:kern w:val="0"/>
              </w:rPr>
              <w:t>16. 具备1个eSATA接口、1个RS232接口、4个USB接口(后面板2个USB3.0,前面板2个USB2.0);</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2363"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22</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24口核心交换机</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千兆SFP光口≥24个，千兆Combo口≥4个，万兆SFP+光口≥4个；</w:t>
            </w:r>
            <w:r>
              <w:rPr>
                <w:rFonts w:hint="eastAsia" w:ascii="宋体" w:hAnsi="宋体" w:cs="宋体"/>
                <w:kern w:val="0"/>
              </w:rPr>
              <w:br w:type="textWrapping"/>
            </w:r>
            <w:r>
              <w:rPr>
                <w:rFonts w:hint="eastAsia" w:ascii="宋体" w:hAnsi="宋体" w:cs="宋体"/>
                <w:kern w:val="0"/>
              </w:rPr>
              <w:t>2. 交换容量≥4.32Tbps，包转发率≥168Mpps；</w:t>
            </w:r>
            <w:r>
              <w:rPr>
                <w:rFonts w:hint="eastAsia" w:ascii="宋体" w:hAnsi="宋体" w:cs="宋体"/>
                <w:kern w:val="0"/>
              </w:rPr>
              <w:br w:type="textWrapping"/>
            </w:r>
            <w:r>
              <w:rPr>
                <w:rFonts w:hint="eastAsia" w:ascii="宋体" w:hAnsi="宋体" w:cs="宋体"/>
                <w:kern w:val="0"/>
              </w:rPr>
              <w:t>3. 支持搭配控制器管理平台，实现对交换机进行胖瘦两种工作模式的切换管理，可以根据不同的组网需要，随时灵活的进行切换；</w:t>
            </w:r>
            <w:r>
              <w:rPr>
                <w:rFonts w:hint="eastAsia" w:ascii="宋体" w:hAnsi="宋体" w:cs="宋体"/>
                <w:kern w:val="0"/>
              </w:rPr>
              <w:br w:type="textWrapping"/>
            </w:r>
            <w:r>
              <w:rPr>
                <w:rFonts w:hint="eastAsia" w:ascii="宋体" w:hAnsi="宋体" w:cs="宋体"/>
                <w:kern w:val="0"/>
              </w:rPr>
              <w:t>4. 支持通过静态IP地址、DHCP Option43、DNS域名等多种方式发现控制器管理平台；</w:t>
            </w:r>
            <w:r>
              <w:rPr>
                <w:rFonts w:hint="eastAsia" w:ascii="宋体" w:hAnsi="宋体" w:cs="宋体"/>
                <w:kern w:val="0"/>
              </w:rPr>
              <w:br w:type="textWrapping"/>
            </w:r>
            <w:r>
              <w:rPr>
                <w:rFonts w:hint="eastAsia" w:ascii="宋体" w:hAnsi="宋体" w:cs="宋体"/>
                <w:kern w:val="0"/>
              </w:rPr>
              <w:t>5. 支持搭配控制器管理平台，实现 “一键替换”按钮即可完成故障设备替换；</w:t>
            </w:r>
            <w:r>
              <w:rPr>
                <w:rFonts w:hint="eastAsia" w:ascii="宋体" w:hAnsi="宋体" w:cs="宋体"/>
                <w:kern w:val="0"/>
              </w:rPr>
              <w:br w:type="textWrapping"/>
            </w:r>
            <w:r>
              <w:rPr>
                <w:rFonts w:hint="eastAsia" w:ascii="宋体" w:hAnsi="宋体" w:cs="宋体"/>
                <w:kern w:val="0"/>
              </w:rPr>
              <w:t>6. 支持IEEE 802.3az 标准的 EEE节能技术：当EEE使能时，从而大幅度的减小端口在该阶段的功耗，达到了节能的目的；</w:t>
            </w:r>
            <w:r>
              <w:rPr>
                <w:rFonts w:hint="eastAsia" w:ascii="宋体" w:hAnsi="宋体" w:cs="宋体"/>
                <w:kern w:val="0"/>
              </w:rPr>
              <w:br w:type="textWrapping"/>
            </w:r>
            <w:r>
              <w:rPr>
                <w:rFonts w:hint="eastAsia" w:ascii="宋体" w:hAnsi="宋体" w:cs="宋体"/>
                <w:kern w:val="0"/>
              </w:rPr>
              <w:t>7. 支持M-LAG技术实现跨设备链路聚合（非堆叠技术实现），要求配对的设备有独立的控制平面；</w:t>
            </w:r>
            <w:r>
              <w:rPr>
                <w:rFonts w:hint="eastAsia" w:ascii="宋体" w:hAnsi="宋体" w:cs="宋体"/>
                <w:kern w:val="0"/>
              </w:rPr>
              <w:br w:type="textWrapping"/>
            </w:r>
            <w:r>
              <w:rPr>
                <w:rFonts w:hint="eastAsia" w:ascii="宋体" w:hAnsi="宋体" w:cs="宋体"/>
                <w:kern w:val="0"/>
              </w:rPr>
              <w:t>8. 支持搭配控制器管理平台，实现通过移动APP远程查看端口状态，查看交换机供电情况，远程重启交换机端口等；</w:t>
            </w:r>
            <w:r>
              <w:rPr>
                <w:rFonts w:hint="eastAsia" w:ascii="宋体" w:hAnsi="宋体" w:cs="宋体"/>
                <w:kern w:val="0"/>
              </w:rPr>
              <w:br w:type="textWrapping"/>
            </w:r>
            <w:r>
              <w:rPr>
                <w:rFonts w:hint="eastAsia" w:ascii="宋体" w:hAnsi="宋体" w:cs="宋体"/>
                <w:kern w:val="0"/>
              </w:rPr>
              <w:t>9. 支持搭配控制器管理平台，实现通过查看日志可查看各个终端之间互访的记录，并可查看到可视化的互访图显示，可查看到观察区域和保护区域的数量、安全访问、风险访问次数、拦截次数、攻击终端数量等；</w:t>
            </w:r>
            <w:r>
              <w:rPr>
                <w:rFonts w:hint="eastAsia" w:ascii="宋体" w:hAnsi="宋体" w:cs="宋体"/>
                <w:kern w:val="0"/>
              </w:rPr>
              <w:br w:type="textWrapping"/>
            </w:r>
            <w:r>
              <w:rPr>
                <w:rFonts w:hint="eastAsia" w:ascii="宋体" w:hAnsi="宋体" w:cs="宋体"/>
                <w:kern w:val="0"/>
              </w:rPr>
              <w:t>10. 支持搭配控制器管理平台，自动生成拓扑，拓扑图显示堆叠、M-LAG，并支持点击拓扑中进入交换机编辑页面，可以显示普通链路、peer-link链路等；</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1074"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23</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8口接入POE交换机</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千兆POE电口≥8个，2个千兆SFP光口</w:t>
            </w:r>
            <w:r>
              <w:rPr>
                <w:rFonts w:hint="eastAsia" w:ascii="宋体" w:hAnsi="宋体" w:cs="宋体"/>
                <w:kern w:val="0"/>
              </w:rPr>
              <w:br w:type="textWrapping"/>
            </w:r>
            <w:r>
              <w:rPr>
                <w:rFonts w:hint="eastAsia" w:ascii="宋体" w:hAnsi="宋体" w:cs="宋体"/>
                <w:kern w:val="0"/>
              </w:rPr>
              <w:t>2. 交换性能≥56Gbps，包转发率≥14.88Mpps；</w:t>
            </w:r>
            <w:r>
              <w:rPr>
                <w:rFonts w:hint="eastAsia" w:ascii="宋体" w:hAnsi="宋体" w:cs="宋体"/>
                <w:kern w:val="0"/>
              </w:rPr>
              <w:br w:type="textWrapping"/>
            </w:r>
            <w:r>
              <w:rPr>
                <w:rFonts w:hint="eastAsia" w:ascii="宋体" w:hAnsi="宋体" w:cs="宋体"/>
                <w:kern w:val="0"/>
              </w:rPr>
              <w:t>3. 工作温度：0°C～45°C，存储温度：-40°C～70°C；</w:t>
            </w:r>
            <w:r>
              <w:rPr>
                <w:rFonts w:hint="eastAsia" w:ascii="宋体" w:hAnsi="宋体" w:cs="宋体"/>
                <w:kern w:val="0"/>
              </w:rPr>
              <w:br w:type="textWrapping"/>
            </w:r>
            <w:r>
              <w:rPr>
                <w:rFonts w:hint="eastAsia" w:ascii="宋体" w:hAnsi="宋体" w:cs="宋体"/>
                <w:kern w:val="0"/>
              </w:rPr>
              <w:t>4. 相对湿度：10%～95% RH 无凝结；</w:t>
            </w:r>
            <w:r>
              <w:rPr>
                <w:rFonts w:hint="eastAsia" w:ascii="宋体" w:hAnsi="宋体" w:cs="宋体"/>
                <w:kern w:val="0"/>
              </w:rPr>
              <w:br w:type="textWrapping"/>
            </w:r>
            <w:r>
              <w:rPr>
                <w:rFonts w:hint="eastAsia" w:ascii="宋体" w:hAnsi="宋体" w:cs="宋体"/>
                <w:kern w:val="0"/>
              </w:rPr>
              <w:t>5. 支持IEEE 802.3af/at供电标准，整机最大输出功率≥120W；</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18</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24</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千兆光模块</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1.SFP 千兆单模光模块，单模，1310nm，最大传输距离 10km，接头类型：LC。</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个</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24</w:t>
            </w:r>
          </w:p>
        </w:tc>
      </w:tr>
      <w:tr>
        <w:tblPrEx>
          <w:tblCellMar>
            <w:top w:w="0" w:type="dxa"/>
            <w:left w:w="108" w:type="dxa"/>
            <w:bottom w:w="0" w:type="dxa"/>
            <w:right w:w="108" w:type="dxa"/>
          </w:tblCellMar>
        </w:tblPrEx>
        <w:trPr>
          <w:trHeight w:val="859"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25</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光收发器</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电口速率：1个10/100/1000Mbps Base-T；</w:t>
            </w:r>
            <w:r>
              <w:rPr>
                <w:rFonts w:hint="eastAsia" w:ascii="宋体" w:hAnsi="宋体" w:cs="宋体"/>
                <w:kern w:val="0"/>
              </w:rPr>
              <w:br w:type="textWrapping"/>
            </w:r>
            <w:r>
              <w:rPr>
                <w:rFonts w:hint="eastAsia" w:ascii="宋体" w:hAnsi="宋体" w:cs="宋体"/>
                <w:kern w:val="0"/>
              </w:rPr>
              <w:t>2. 光口速率：1个1000BASE-SC接口；</w:t>
            </w:r>
            <w:r>
              <w:rPr>
                <w:rFonts w:hint="eastAsia" w:ascii="宋体" w:hAnsi="宋体" w:cs="宋体"/>
                <w:kern w:val="0"/>
              </w:rPr>
              <w:br w:type="textWrapping"/>
            </w:r>
            <w:r>
              <w:rPr>
                <w:rFonts w:hint="eastAsia" w:ascii="宋体" w:hAnsi="宋体" w:cs="宋体"/>
                <w:kern w:val="0"/>
              </w:rPr>
              <w:t>3. 光接口类型：SC；</w:t>
            </w:r>
            <w:r>
              <w:rPr>
                <w:rFonts w:hint="eastAsia" w:ascii="宋体" w:hAnsi="宋体" w:cs="宋体"/>
                <w:kern w:val="0"/>
              </w:rPr>
              <w:br w:type="textWrapping"/>
            </w:r>
            <w:r>
              <w:rPr>
                <w:rFonts w:hint="eastAsia" w:ascii="宋体" w:hAnsi="宋体" w:cs="宋体"/>
                <w:kern w:val="0"/>
              </w:rPr>
              <w:t>4. 传输距离：20km；</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18</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26</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监控专用硬盘</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1.存储容量、格式:≥6TB-256MB-7200RPM-3.5英寸-SATA接口-标准盘</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6</w:t>
            </w:r>
          </w:p>
        </w:tc>
      </w:tr>
      <w:tr>
        <w:tblPrEx>
          <w:tblCellMar>
            <w:top w:w="0" w:type="dxa"/>
            <w:left w:w="108" w:type="dxa"/>
            <w:bottom w:w="0" w:type="dxa"/>
            <w:right w:w="108" w:type="dxa"/>
          </w:tblCellMar>
        </w:tblPrEx>
        <w:trPr>
          <w:trHeight w:val="430"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27</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超五类网线</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1.材质：99.97%无氧铜线芯；</w:t>
            </w:r>
            <w:r>
              <w:rPr>
                <w:rFonts w:hint="eastAsia" w:ascii="宋体" w:hAnsi="宋体" w:cs="宋体"/>
                <w:kern w:val="0"/>
              </w:rPr>
              <w:br w:type="textWrapping"/>
            </w:r>
            <w:r>
              <w:rPr>
                <w:rFonts w:hint="eastAsia" w:ascii="宋体" w:hAnsi="宋体" w:cs="宋体"/>
                <w:kern w:val="0"/>
              </w:rPr>
              <w:t>2. 导体结构：4P*0.5±0.01mm；</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1000</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28</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电源线</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 xml:space="preserve">1.≥RVV2*1.0mm2，PVC材质，额定电压300/500V </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1000</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29</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12芯铠装光缆</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1.室外单模铠装光缆；符合ITU-T标准，最少弯曲半径7.5mm；工作温度：-20～+60℃。</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1300</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30</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光纤终端盒</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1.≥8口SC满配，桌面式，材质：加强冷轧板</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个</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18</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31</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光纤连接 (熔接法 单模)</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1.采用熔接法，现场熔接</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芯</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144</w:t>
            </w:r>
          </w:p>
        </w:tc>
      </w:tr>
      <w:tr>
        <w:tblPrEx>
          <w:tblCellMar>
            <w:top w:w="0" w:type="dxa"/>
            <w:left w:w="108" w:type="dxa"/>
            <w:bottom w:w="0" w:type="dxa"/>
            <w:right w:w="108" w:type="dxa"/>
          </w:tblCellMar>
        </w:tblPrEx>
        <w:trPr>
          <w:trHeight w:val="430"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32</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不锈钢防水配电箱</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1.不锈钢防水弱电箱</w:t>
            </w:r>
            <w:r>
              <w:rPr>
                <w:rFonts w:hint="eastAsia" w:ascii="宋体" w:hAnsi="宋体" w:cs="宋体"/>
                <w:kern w:val="0"/>
              </w:rPr>
              <w:br w:type="textWrapping"/>
            </w:r>
            <w:r>
              <w:rPr>
                <w:rFonts w:hint="eastAsia" w:ascii="宋体" w:hAnsi="宋体" w:cs="宋体"/>
                <w:kern w:val="0"/>
              </w:rPr>
              <w:t>2.国标202不锈钢，长*宽*高(450mm*220mm*550mm)</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18</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（三）网络传输</w:t>
            </w:r>
          </w:p>
        </w:tc>
      </w:tr>
      <w:tr>
        <w:tblPrEx>
          <w:tblCellMar>
            <w:top w:w="0" w:type="dxa"/>
            <w:left w:w="108" w:type="dxa"/>
            <w:bottom w:w="0" w:type="dxa"/>
            <w:right w:w="108" w:type="dxa"/>
          </w:tblCellMar>
        </w:tblPrEx>
        <w:trPr>
          <w:trHeight w:val="430"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33</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网络</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1.网络下行带宽≥50M/条</w:t>
            </w:r>
            <w:r>
              <w:rPr>
                <w:rFonts w:hint="eastAsia" w:ascii="宋体" w:hAnsi="宋体" w:cs="宋体"/>
                <w:kern w:val="0"/>
              </w:rPr>
              <w:br w:type="textWrapping"/>
            </w:r>
            <w:r>
              <w:rPr>
                <w:rFonts w:hint="eastAsia" w:ascii="宋体" w:hAnsi="宋体" w:cs="宋体"/>
                <w:kern w:val="0"/>
              </w:rPr>
              <w:t>2.网络租赁期≥60个月</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条</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18</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（四）公安智慧小区专用平台</w:t>
            </w:r>
          </w:p>
        </w:tc>
      </w:tr>
      <w:tr>
        <w:tblPrEx>
          <w:tblCellMar>
            <w:top w:w="0" w:type="dxa"/>
            <w:left w:w="108" w:type="dxa"/>
            <w:bottom w:w="0" w:type="dxa"/>
            <w:right w:w="108" w:type="dxa"/>
          </w:tblCellMar>
        </w:tblPrEx>
        <w:trPr>
          <w:trHeight w:val="859"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34</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智慧社区平台（智慧小区专用）</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1、实现一标三实数据采集</w:t>
            </w:r>
            <w:r>
              <w:rPr>
                <w:rFonts w:hint="eastAsia" w:ascii="宋体" w:hAnsi="宋体" w:cs="宋体"/>
                <w:kern w:val="0"/>
              </w:rPr>
              <w:br w:type="textWrapping"/>
            </w:r>
            <w:r>
              <w:rPr>
                <w:rFonts w:hint="eastAsia" w:ascii="宋体" w:hAnsi="宋体" w:cs="宋体"/>
                <w:kern w:val="0"/>
              </w:rPr>
              <w:t>2、数据概览</w:t>
            </w:r>
            <w:r>
              <w:rPr>
                <w:rFonts w:hint="eastAsia" w:ascii="宋体" w:hAnsi="宋体" w:cs="宋体"/>
                <w:kern w:val="0"/>
              </w:rPr>
              <w:br w:type="textWrapping"/>
            </w:r>
            <w:r>
              <w:rPr>
                <w:rFonts w:hint="eastAsia" w:ascii="宋体" w:hAnsi="宋体" w:cs="宋体"/>
                <w:kern w:val="0"/>
              </w:rPr>
              <w:t>3、人脸识别墙看版----陌生人、居住人统计等信息查看</w:t>
            </w:r>
            <w:r>
              <w:rPr>
                <w:rFonts w:hint="eastAsia" w:ascii="宋体" w:hAnsi="宋体" w:cs="宋体"/>
                <w:kern w:val="0"/>
              </w:rPr>
              <w:br w:type="textWrapping"/>
            </w:r>
            <w:r>
              <w:rPr>
                <w:rFonts w:hint="eastAsia" w:ascii="宋体" w:hAnsi="宋体" w:cs="宋体"/>
                <w:kern w:val="0"/>
              </w:rPr>
              <w:t>4、房屋、人口、单位、车辆的登记、录入</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网络</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1.专用网络，下行带宽≥50M，5年月租</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条</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rPr>
            </w:pPr>
            <w:r>
              <w:rPr>
                <w:rFonts w:hint="eastAsia" w:ascii="宋体" w:hAnsi="宋体" w:cs="宋体"/>
                <w:b/>
                <w:bCs/>
                <w:kern w:val="0"/>
              </w:rPr>
              <w:t>五、机房工程</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机柜</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1.600*600*2000，≥42U</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光纤配线架</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1.≥144芯ODF光纤配线架，材质：冷轧板，抽拉式，标准19英寸机架式</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架</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3</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理线架</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1.≥12档24口，SPCC冷轧钢板，19英寸标准机柜</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架</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6</w:t>
            </w:r>
          </w:p>
        </w:tc>
      </w:tr>
      <w:tr>
        <w:tblPrEx>
          <w:tblCellMar>
            <w:top w:w="0" w:type="dxa"/>
            <w:left w:w="108" w:type="dxa"/>
            <w:bottom w:w="0" w:type="dxa"/>
            <w:right w:w="108" w:type="dxa"/>
          </w:tblCellMar>
        </w:tblPrEx>
        <w:trPr>
          <w:trHeight w:val="430"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4</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三联操作台</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1.三联操作台</w:t>
            </w:r>
            <w:r>
              <w:rPr>
                <w:rFonts w:hint="eastAsia" w:ascii="宋体" w:hAnsi="宋体" w:cs="宋体"/>
                <w:kern w:val="0"/>
              </w:rPr>
              <w:br w:type="textWrapping"/>
            </w:r>
            <w:r>
              <w:rPr>
                <w:rFonts w:hint="eastAsia" w:ascii="宋体" w:hAnsi="宋体" w:cs="宋体"/>
                <w:kern w:val="0"/>
              </w:rPr>
              <w:t>2.宽1740mm深900mm高750mm柜体深640mm，材质为冷轧钢，表面喷塑，桌面25mm防火面板</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1757"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5</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电视墙</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屏幕尺寸55寸，LED光源</w:t>
            </w:r>
            <w:r>
              <w:rPr>
                <w:rFonts w:hint="eastAsia" w:ascii="宋体" w:hAnsi="宋体" w:cs="宋体"/>
                <w:kern w:val="0"/>
              </w:rPr>
              <w:br w:type="textWrapping"/>
            </w:r>
            <w:r>
              <w:rPr>
                <w:rFonts w:hint="eastAsia" w:ascii="宋体" w:hAnsi="宋体" w:cs="宋体"/>
                <w:kern w:val="0"/>
              </w:rPr>
              <w:t>1. 屏幕尺寸55寸，LED光源；</w:t>
            </w:r>
            <w:r>
              <w:rPr>
                <w:rFonts w:hint="eastAsia" w:ascii="宋体" w:hAnsi="宋体" w:cs="宋体"/>
                <w:kern w:val="0"/>
              </w:rPr>
              <w:br w:type="textWrapping"/>
            </w:r>
            <w:r>
              <w:rPr>
                <w:rFonts w:hint="eastAsia" w:ascii="宋体" w:hAnsi="宋体" w:cs="宋体"/>
                <w:kern w:val="0"/>
              </w:rPr>
              <w:t>2. 分辨率：1920×1080；</w:t>
            </w:r>
            <w:r>
              <w:rPr>
                <w:rFonts w:hint="eastAsia" w:ascii="宋体" w:hAnsi="宋体" w:cs="宋体"/>
                <w:kern w:val="0"/>
              </w:rPr>
              <w:br w:type="textWrapping"/>
            </w:r>
            <w:r>
              <w:rPr>
                <w:rFonts w:hint="eastAsia" w:ascii="宋体" w:hAnsi="宋体" w:cs="宋体"/>
                <w:kern w:val="0"/>
              </w:rPr>
              <w:t>3. 双边拼缝≦3.5mm；</w:t>
            </w:r>
            <w:r>
              <w:rPr>
                <w:rFonts w:hint="eastAsia" w:ascii="宋体" w:hAnsi="宋体" w:cs="宋体"/>
                <w:kern w:val="0"/>
              </w:rPr>
              <w:br w:type="textWrapping"/>
            </w:r>
            <w:r>
              <w:rPr>
                <w:rFonts w:hint="eastAsia" w:ascii="宋体" w:hAnsi="宋体" w:cs="宋体"/>
                <w:kern w:val="0"/>
              </w:rPr>
              <w:t>4. 亮度不低于500cd/m2，对比度不低于4000:1；图像显示清晰度≥950TVL，亮度鉴别等级≥11级；</w:t>
            </w:r>
            <w:r>
              <w:rPr>
                <w:rFonts w:hint="eastAsia" w:ascii="宋体" w:hAnsi="宋体" w:cs="宋体"/>
                <w:kern w:val="0"/>
              </w:rPr>
              <w:br w:type="textWrapping"/>
            </w:r>
            <w:r>
              <w:rPr>
                <w:rFonts w:hint="eastAsia" w:ascii="宋体" w:hAnsi="宋体" w:cs="宋体"/>
                <w:kern w:val="0"/>
              </w:rPr>
              <w:t>5. 输入接口可支持：USBx1，HDMI×1，VGA×1，DVI-D×1，BNC×2，RS232×1，输出接口可支持：RJ45×1,BNC×2</w:t>
            </w:r>
            <w:r>
              <w:rPr>
                <w:rFonts w:hint="eastAsia" w:ascii="宋体" w:hAnsi="宋体" w:cs="宋体"/>
                <w:kern w:val="0"/>
              </w:rPr>
              <w:br w:type="textWrapping"/>
            </w:r>
            <w:r>
              <w:rPr>
                <w:rFonts w:hint="eastAsia" w:ascii="宋体" w:hAnsi="宋体" w:cs="宋体"/>
                <w:kern w:val="0"/>
              </w:rPr>
              <w:t>▲6. 液晶拼接单元光学拼缝符合SJ/T11710-2018液晶拼接系统验收规范标准工程检查要求；</w:t>
            </w:r>
            <w:r>
              <w:rPr>
                <w:rFonts w:hint="eastAsia" w:ascii="宋体" w:hAnsi="宋体" w:cs="宋体"/>
                <w:b/>
                <w:bCs/>
                <w:kern w:val="0"/>
              </w:rPr>
              <w:t>（须提供由第三方检测机构出具的有效检验检测报告复印件予以佐证，检测报告上须体现“CMA”标志）</w:t>
            </w:r>
            <w:r>
              <w:rPr>
                <w:rFonts w:hint="eastAsia" w:ascii="宋体" w:hAnsi="宋体" w:cs="宋体"/>
                <w:kern w:val="0"/>
              </w:rPr>
              <w:br w:type="textWrapping"/>
            </w:r>
            <w:r>
              <w:rPr>
                <w:rFonts w:hint="eastAsia" w:ascii="宋体" w:hAnsi="宋体" w:cs="宋体"/>
                <w:kern w:val="0"/>
              </w:rPr>
              <w:t>7. 液晶拼接单元拼接后整墙亮度色彩一致性矫正后，色坐标误差≤±0.001，亮度误差≤±10nit，0-255灰阶中32灰阶以上，每阶之间色温误差≤±500K；</w:t>
            </w:r>
            <w:r>
              <w:rPr>
                <w:rFonts w:hint="eastAsia" w:ascii="宋体" w:hAnsi="宋体" w:cs="宋体"/>
                <w:kern w:val="0"/>
              </w:rPr>
              <w:br w:type="textWrapping"/>
            </w:r>
            <w:r>
              <w:rPr>
                <w:rFonts w:hint="eastAsia" w:ascii="宋体" w:hAnsi="宋体" w:cs="宋体"/>
                <w:kern w:val="0"/>
              </w:rPr>
              <w:t>8. 液晶显示单元像素缺陷符合SJ/T11343-2006液晶显示器通用规范，液晶显示单元像素缺陷≤3像素点；</w:t>
            </w:r>
            <w:r>
              <w:rPr>
                <w:rFonts w:hint="eastAsia" w:ascii="宋体" w:hAnsi="宋体" w:cs="宋体"/>
                <w:kern w:val="0"/>
              </w:rPr>
              <w:br w:type="textWrapping"/>
            </w:r>
            <w:r>
              <w:rPr>
                <w:rFonts w:hint="eastAsia" w:ascii="宋体" w:hAnsi="宋体" w:cs="宋体"/>
                <w:kern w:val="0"/>
              </w:rPr>
              <w:t>▲9. 液晶拼接单元光学性能（偏振度、透过率、色调）符合GB/T25275-2010规范要求；</w:t>
            </w:r>
            <w:r>
              <w:rPr>
                <w:rFonts w:hint="eastAsia" w:ascii="宋体" w:hAnsi="宋体" w:cs="宋体"/>
                <w:b/>
                <w:bCs/>
                <w:kern w:val="0"/>
              </w:rPr>
              <w:t>（须提供由第三方检测机构出具的有效检验检测报告复印件予以佐证，检测报告上须体现“CMA”标志）</w:t>
            </w:r>
            <w:r>
              <w:rPr>
                <w:rFonts w:hint="eastAsia" w:ascii="宋体" w:hAnsi="宋体" w:cs="宋体"/>
                <w:kern w:val="0"/>
              </w:rPr>
              <w:br w:type="textWrapping"/>
            </w:r>
            <w:r>
              <w:rPr>
                <w:rFonts w:hint="eastAsia" w:ascii="宋体" w:hAnsi="宋体" w:cs="宋体"/>
                <w:kern w:val="0"/>
              </w:rPr>
              <w:t>10. 显示单元的色彩还原准确性指标ΔE≤0.9；</w:t>
            </w:r>
            <w:r>
              <w:rPr>
                <w:rFonts w:hint="eastAsia" w:ascii="宋体" w:hAnsi="宋体" w:cs="宋体"/>
                <w:kern w:val="0"/>
              </w:rPr>
              <w:br w:type="textWrapping"/>
            </w:r>
            <w:r>
              <w:rPr>
                <w:rFonts w:hint="eastAsia" w:ascii="宋体" w:hAnsi="宋体" w:cs="宋体"/>
                <w:kern w:val="0"/>
              </w:rPr>
              <w:t>11. 显示单元具备3C认证证书；</w:t>
            </w:r>
            <w:r>
              <w:rPr>
                <w:rFonts w:hint="eastAsia" w:ascii="宋体" w:hAnsi="宋体" w:cs="宋体"/>
                <w:kern w:val="0"/>
              </w:rPr>
              <w:br w:type="textWrapping"/>
            </w:r>
            <w:r>
              <w:rPr>
                <w:rFonts w:hint="eastAsia" w:ascii="宋体" w:hAnsi="宋体" w:cs="宋体"/>
                <w:kern w:val="0"/>
              </w:rPr>
              <w:t>12. 拼接单元具有便捷的拼接及调整装置，利于装拆和售后维护；</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6</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电视支架</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1.前维护支架，金属材质</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7</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高清线</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1.标准HDMI接口，2.线长≥1米</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2415"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8</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解码矩阵</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高性能嵌入式处理器；嵌入式 LINUX</w:t>
            </w:r>
            <w:r>
              <w:rPr>
                <w:rFonts w:hint="eastAsia" w:ascii="宋体" w:hAnsi="宋体" w:cs="宋体"/>
                <w:kern w:val="0"/>
              </w:rPr>
              <w:br w:type="textWrapping"/>
            </w:r>
            <w:r>
              <w:rPr>
                <w:rFonts w:hint="eastAsia" w:ascii="宋体" w:hAnsi="宋体" w:cs="宋体"/>
                <w:kern w:val="0"/>
              </w:rPr>
              <w:t>2. 支持4 个 HDMI 输出口可支持同时输出分辨率为 3840×2160，60Hz 的视频图像。</w:t>
            </w:r>
            <w:r>
              <w:rPr>
                <w:rFonts w:hint="eastAsia" w:ascii="宋体" w:hAnsi="宋体" w:cs="宋体"/>
                <w:kern w:val="0"/>
              </w:rPr>
              <w:br w:type="textWrapping"/>
            </w:r>
            <w:r>
              <w:rPr>
                <w:rFonts w:hint="eastAsia" w:ascii="宋体" w:hAnsi="宋体" w:cs="宋体"/>
                <w:kern w:val="0"/>
              </w:rPr>
              <w:t>3. 支持视频图像跨屏同步显示功能，所有跨屏信号源可以同时发送至各个屏幕显示， 时差≤50ｕs。</w:t>
            </w:r>
            <w:r>
              <w:rPr>
                <w:rFonts w:hint="eastAsia" w:ascii="宋体" w:hAnsi="宋体" w:cs="宋体"/>
                <w:kern w:val="0"/>
              </w:rPr>
              <w:br w:type="textWrapping"/>
            </w:r>
            <w:r>
              <w:rPr>
                <w:rFonts w:hint="eastAsia" w:ascii="宋体" w:hAnsi="宋体" w:cs="宋体"/>
                <w:kern w:val="0"/>
              </w:rPr>
              <w:t>4. HDMI 输出口支持 1024×768,1280×720,1280×1024,1920×1080,3840×2160五种分辨率设置，奇数口支持 3840×2160 分辨率设置；支持 HDMI 和 DVI 输出选择设置；支持自定义输出分辨率设置，分辨率不超过 4096×2160。</w:t>
            </w:r>
            <w:r>
              <w:rPr>
                <w:rFonts w:hint="eastAsia" w:ascii="宋体" w:hAnsi="宋体" w:cs="宋体"/>
                <w:kern w:val="0"/>
              </w:rPr>
              <w:br w:type="textWrapping"/>
            </w:r>
            <w:r>
              <w:rPr>
                <w:rFonts w:hint="eastAsia" w:ascii="宋体" w:hAnsi="宋体" w:cs="宋体"/>
                <w:kern w:val="0"/>
              </w:rPr>
              <w:t>5. 单屏支持1/4/6/8/9/16/25/36固定分割支持M*N自定义分割，M*N&lt;=36</w:t>
            </w:r>
            <w:r>
              <w:rPr>
                <w:rFonts w:hint="eastAsia" w:ascii="宋体" w:hAnsi="宋体" w:cs="宋体"/>
                <w:kern w:val="0"/>
              </w:rPr>
              <w:br w:type="textWrapping"/>
            </w:r>
            <w:r>
              <w:rPr>
                <w:rFonts w:hint="eastAsia" w:ascii="宋体" w:hAnsi="宋体" w:cs="宋体"/>
                <w:kern w:val="0"/>
              </w:rPr>
              <w:t>6. 最大支持2路3200W@25fps / 7路1200W@25fps / 10路800W@25fps / 14路600W@25fps / 18路500W @25fps / 28路300W @25fps / 36路1080P @30fps /144路D1@30fps同时解码</w:t>
            </w:r>
            <w:r>
              <w:rPr>
                <w:rFonts w:hint="eastAsia" w:ascii="宋体" w:hAnsi="宋体" w:cs="宋体"/>
                <w:kern w:val="0"/>
              </w:rPr>
              <w:br w:type="textWrapping"/>
            </w:r>
            <w:r>
              <w:rPr>
                <w:rFonts w:hint="eastAsia" w:ascii="宋体" w:hAnsi="宋体" w:cs="宋体"/>
                <w:kern w:val="0"/>
              </w:rPr>
              <w:t>▲7. 支持视频图像跨屏同步显示功能，所有跨屏信号源可以同时发送至各个屏幕显示， 时差≤50ｕs。</w:t>
            </w:r>
            <w:r>
              <w:rPr>
                <w:rFonts w:hint="eastAsia" w:ascii="宋体" w:hAnsi="宋体" w:cs="宋体"/>
                <w:b/>
                <w:bCs/>
                <w:kern w:val="0"/>
              </w:rPr>
              <w:t>（须提供由第三方检测机构出具的有效检验检测报告复印件予以佐证，检测报告上须体现“CMA”标志）</w:t>
            </w:r>
            <w:r>
              <w:rPr>
                <w:rFonts w:hint="eastAsia" w:ascii="宋体" w:hAnsi="宋体" w:cs="宋体"/>
                <w:kern w:val="0"/>
              </w:rPr>
              <w:br w:type="textWrapping"/>
            </w:r>
            <w:r>
              <w:rPr>
                <w:rFonts w:hint="eastAsia" w:ascii="宋体" w:hAnsi="宋体" w:cs="宋体"/>
                <w:kern w:val="0"/>
              </w:rPr>
              <w:t>▲8. 支持通过 WEB 端对已添加的网络前端设备进行实时画面预览：支持通过双击、拖放方式对视频通道进行预览；支持 1/4/9/16/25/36 多分屏画面显示；支持对预览画面进行局部放大，录像和抓图。</w:t>
            </w:r>
            <w:r>
              <w:rPr>
                <w:rFonts w:hint="eastAsia" w:ascii="宋体" w:hAnsi="宋体" w:cs="宋体"/>
                <w:b/>
                <w:bCs/>
                <w:kern w:val="0"/>
              </w:rPr>
              <w:t>（须提供由第三方检测机构出具的有效检验检测报告复印件予以佐证，检测报告上须体现“CMA”标志）</w:t>
            </w:r>
            <w:r>
              <w:rPr>
                <w:rFonts w:hint="eastAsia" w:ascii="宋体" w:hAnsi="宋体" w:cs="宋体"/>
                <w:kern w:val="0"/>
              </w:rPr>
              <w:br w:type="textWrapping"/>
            </w:r>
            <w:r>
              <w:rPr>
                <w:rFonts w:hint="eastAsia" w:ascii="宋体" w:hAnsi="宋体" w:cs="宋体"/>
                <w:kern w:val="0"/>
              </w:rPr>
              <w:t>9. 支持 MPEG4、H.264、MJPEG、H.265、MPEG2 视频解码；支持 PCM 、G.722、G.711A、G.726、G.729、G.711U、MPEG2-L2、AAC 音频格式解码；支持音视频复合流解码。支持 Web端解码信息显示，包含每个通道的通道状态、分辨率、帧率、数据流量和解码流量。</w:t>
            </w:r>
            <w:r>
              <w:rPr>
                <w:rFonts w:hint="eastAsia" w:ascii="宋体" w:hAnsi="宋体" w:cs="宋体"/>
                <w:kern w:val="0"/>
              </w:rPr>
              <w:br w:type="textWrapping"/>
            </w:r>
            <w:r>
              <w:rPr>
                <w:rFonts w:hint="eastAsia" w:ascii="宋体" w:hAnsi="宋体" w:cs="宋体"/>
                <w:kern w:val="0"/>
              </w:rPr>
              <w:t>10. 通过网络抓屏软件，可将远程电脑桌面实时解码上墙显示；可对桌面整屏、单窗口、自定义区域抓屏上墙；可同时支持多个抓屏任务。</w:t>
            </w:r>
            <w:r>
              <w:rPr>
                <w:rFonts w:hint="eastAsia" w:ascii="宋体" w:hAnsi="宋体" w:cs="宋体"/>
                <w:kern w:val="0"/>
              </w:rPr>
              <w:br w:type="textWrapping"/>
            </w:r>
            <w:r>
              <w:rPr>
                <w:rFonts w:hint="eastAsia" w:ascii="宋体" w:hAnsi="宋体" w:cs="宋体"/>
                <w:kern w:val="0"/>
              </w:rPr>
              <w:t>11. 支持在单屏或拼接屏上显示文字，支持以静止或者滚动方式显示。可自定义编辑文字内容，可设置文字大小、颜色、字体、位置、背景色、滚动速度及方向。</w:t>
            </w:r>
            <w:r>
              <w:rPr>
                <w:rFonts w:hint="eastAsia" w:ascii="宋体" w:hAnsi="宋体" w:cs="宋体"/>
                <w:kern w:val="0"/>
              </w:rPr>
              <w:br w:type="textWrapping"/>
            </w:r>
            <w:r>
              <w:rPr>
                <w:rFonts w:hint="eastAsia" w:ascii="宋体" w:hAnsi="宋体" w:cs="宋体"/>
                <w:kern w:val="0"/>
              </w:rPr>
              <w:t>12. 支持黑白名单功能：当设置白名单时，只允许白名单内 IP 访问设备；当设置黑名单时，黑名单内 IP 无法访问设备。</w:t>
            </w:r>
            <w:r>
              <w:rPr>
                <w:rFonts w:hint="eastAsia" w:ascii="宋体" w:hAnsi="宋体" w:cs="宋体"/>
                <w:kern w:val="0"/>
              </w:rPr>
              <w:br w:type="textWrapping"/>
            </w:r>
            <w:r>
              <w:rPr>
                <w:rFonts w:hint="eastAsia" w:ascii="宋体" w:hAnsi="宋体" w:cs="宋体"/>
                <w:kern w:val="0"/>
              </w:rPr>
              <w:t>13. 支持将电视墙布局保存为预案，支持预案轮巡功能，轮巡间隔可以任意设置，支持预案的定时切换。</w:t>
            </w:r>
            <w:r>
              <w:rPr>
                <w:rFonts w:hint="eastAsia" w:ascii="宋体" w:hAnsi="宋体" w:cs="宋体"/>
                <w:kern w:val="0"/>
              </w:rPr>
              <w:br w:type="textWrapping"/>
            </w:r>
            <w:r>
              <w:rPr>
                <w:rFonts w:hint="eastAsia" w:ascii="宋体" w:hAnsi="宋体" w:cs="宋体"/>
                <w:kern w:val="0"/>
              </w:rPr>
              <w:t>14. 支持 Web 端解码信息显示，包含每个通道的通道状态、分辨率、帧率、数据流量和解码流量。</w:t>
            </w:r>
            <w:r>
              <w:rPr>
                <w:rFonts w:hint="eastAsia" w:ascii="宋体" w:hAnsi="宋体" w:cs="宋体"/>
                <w:kern w:val="0"/>
              </w:rPr>
              <w:br w:type="textWrapping"/>
            </w:r>
            <w:r>
              <w:rPr>
                <w:rFonts w:hint="eastAsia" w:ascii="宋体" w:hAnsi="宋体" w:cs="宋体"/>
                <w:kern w:val="0"/>
              </w:rPr>
              <w:t>15. 接口不少于：视频输出：4路HDMI；音频输出：4路HDMI；报警输入：8路；报警输出：8路；网络接口：1个RJ-45 10M/100M/1000M自适应以太网口；RS-232接口：2个（1个DB9接口，1个RJ-45接口）；USB接口：3个USB 接口(前面板1个，后面板2个)；RS-485接口：1个；</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9</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室内配电箱(含空开)</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1.≥600*800*250mm，竖箱，材质：镀锌冷轧钢，门1.2mm箱1.0mm</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rPr>
            </w:pPr>
            <w:r>
              <w:rPr>
                <w:rFonts w:hint="eastAsia" w:ascii="宋体" w:hAnsi="宋体" w:cs="宋体"/>
                <w:b/>
                <w:bCs/>
                <w:kern w:val="0"/>
              </w:rPr>
              <w:t>六、出入口道闸管理系统</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（一）岗亭收费管理中心设备</w:t>
            </w:r>
          </w:p>
        </w:tc>
      </w:tr>
      <w:tr>
        <w:tblPrEx>
          <w:tblCellMar>
            <w:top w:w="0" w:type="dxa"/>
            <w:left w:w="108" w:type="dxa"/>
            <w:bottom w:w="0" w:type="dxa"/>
            <w:right w:w="108" w:type="dxa"/>
          </w:tblCellMar>
        </w:tblPrEx>
        <w:trPr>
          <w:trHeight w:val="430"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电脑</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硬件参数不低于：</w:t>
            </w:r>
            <w:r>
              <w:rPr>
                <w:rFonts w:hint="eastAsia" w:ascii="宋体" w:hAnsi="宋体" w:cs="宋体"/>
                <w:kern w:val="0"/>
              </w:rPr>
              <w:br w:type="textWrapping"/>
            </w:r>
            <w:r>
              <w:rPr>
                <w:rFonts w:hint="eastAsia" w:ascii="宋体" w:hAnsi="宋体" w:cs="宋体"/>
                <w:kern w:val="0"/>
              </w:rPr>
              <w:t>1.I5-12400/8G/512G固态/集成WIFI/19.5英寸显示器</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2148"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停车场管理软件</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1.设备性能：单台4车道（1进3出、2进2出、3进1出），支持5台级联；</w:t>
            </w:r>
            <w:r>
              <w:rPr>
                <w:rFonts w:hint="eastAsia" w:ascii="宋体" w:hAnsi="宋体" w:cs="宋体"/>
                <w:kern w:val="0"/>
              </w:rPr>
              <w:br w:type="textWrapping"/>
            </w:r>
            <w:r>
              <w:rPr>
                <w:rFonts w:hint="eastAsia" w:ascii="宋体" w:hAnsi="宋体" w:cs="宋体"/>
                <w:kern w:val="0"/>
              </w:rPr>
              <w:t>2.车场管理：支持1个主车场+1个子车场；</w:t>
            </w:r>
            <w:r>
              <w:rPr>
                <w:rFonts w:hint="eastAsia" w:ascii="宋体" w:hAnsi="宋体" w:cs="宋体"/>
                <w:kern w:val="0"/>
              </w:rPr>
              <w:br w:type="textWrapping"/>
            </w:r>
            <w:r>
              <w:rPr>
                <w:rFonts w:hint="eastAsia" w:ascii="宋体" w:hAnsi="宋体" w:cs="宋体"/>
                <w:kern w:val="0"/>
              </w:rPr>
              <w:t>3.车类管理：支持5类车类：免费车、月租车、储值车、临时车和VIP车；</w:t>
            </w:r>
            <w:r>
              <w:rPr>
                <w:rFonts w:hint="eastAsia" w:ascii="宋体" w:hAnsi="宋体" w:cs="宋体"/>
                <w:kern w:val="0"/>
              </w:rPr>
              <w:br w:type="textWrapping"/>
            </w:r>
            <w:r>
              <w:rPr>
                <w:rFonts w:hint="eastAsia" w:ascii="宋体" w:hAnsi="宋体" w:cs="宋体"/>
                <w:kern w:val="0"/>
              </w:rPr>
              <w:t>4.车型管理：支持3种车型：黄牌、蓝牌和绿牌；</w:t>
            </w:r>
            <w:r>
              <w:rPr>
                <w:rFonts w:hint="eastAsia" w:ascii="宋体" w:hAnsi="宋体" w:cs="宋体"/>
                <w:kern w:val="0"/>
              </w:rPr>
              <w:br w:type="textWrapping"/>
            </w:r>
            <w:r>
              <w:rPr>
                <w:rFonts w:hint="eastAsia" w:ascii="宋体" w:hAnsi="宋体" w:cs="宋体"/>
                <w:kern w:val="0"/>
              </w:rPr>
              <w:t>5.白名单：支持添加2万条白名单，支持同步下发相机；</w:t>
            </w:r>
            <w:r>
              <w:rPr>
                <w:rFonts w:hint="eastAsia" w:ascii="宋体" w:hAnsi="宋体" w:cs="宋体"/>
                <w:kern w:val="0"/>
              </w:rPr>
              <w:br w:type="textWrapping"/>
            </w:r>
            <w:r>
              <w:rPr>
                <w:rFonts w:hint="eastAsia" w:ascii="宋体" w:hAnsi="宋体" w:cs="宋体"/>
                <w:kern w:val="0"/>
              </w:rPr>
              <w:t>6.收费规则：支持按次收费、按时收费、按时段收费、按日夜收费、分时收费。；</w:t>
            </w:r>
            <w:r>
              <w:rPr>
                <w:rFonts w:hint="eastAsia" w:ascii="宋体" w:hAnsi="宋体" w:cs="宋体"/>
                <w:kern w:val="0"/>
              </w:rPr>
              <w:br w:type="textWrapping"/>
            </w:r>
            <w:r>
              <w:rPr>
                <w:rFonts w:hint="eastAsia" w:ascii="宋体" w:hAnsi="宋体" w:cs="宋体"/>
                <w:kern w:val="0"/>
              </w:rPr>
              <w:t>7.云平台接入：支持接入云平台实现电子支付；</w:t>
            </w:r>
            <w:r>
              <w:rPr>
                <w:rFonts w:hint="eastAsia" w:ascii="宋体" w:hAnsi="宋体" w:cs="宋体"/>
                <w:kern w:val="0"/>
              </w:rPr>
              <w:br w:type="textWrapping"/>
            </w:r>
            <w:r>
              <w:rPr>
                <w:rFonts w:hint="eastAsia" w:ascii="宋体" w:hAnsi="宋体" w:cs="宋体"/>
                <w:kern w:val="0"/>
              </w:rPr>
              <w:t>8.记录中心：进出记录、在场车辆、充值记录查询；</w:t>
            </w:r>
            <w:r>
              <w:rPr>
                <w:rFonts w:hint="eastAsia" w:ascii="宋体" w:hAnsi="宋体" w:cs="宋体"/>
                <w:kern w:val="0"/>
              </w:rPr>
              <w:br w:type="textWrapping"/>
            </w:r>
            <w:r>
              <w:rPr>
                <w:rFonts w:hint="eastAsia" w:ascii="宋体" w:hAnsi="宋体" w:cs="宋体"/>
                <w:kern w:val="0"/>
              </w:rPr>
              <w:t>9.中心值守：支持车道对讲接入、车牌号纠正、手动匹配在场记录、远程开闸、车辆费用信息展示等；</w:t>
            </w:r>
            <w:r>
              <w:rPr>
                <w:rFonts w:hint="eastAsia" w:ascii="宋体" w:hAnsi="宋体" w:cs="宋体"/>
                <w:kern w:val="0"/>
              </w:rPr>
              <w:br w:type="textWrapping"/>
            </w:r>
            <w:r>
              <w:rPr>
                <w:rFonts w:hint="eastAsia" w:ascii="宋体" w:hAnsi="宋体" w:cs="宋体"/>
                <w:kern w:val="0"/>
              </w:rPr>
              <w:t>10.异常处理：手动放行、手动抓拍、手动匹配、手动修改车牌</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1718"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3</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千兆光收发器</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1.电口速率：1个1000Mbps Base-T；</w:t>
            </w:r>
            <w:r>
              <w:rPr>
                <w:rFonts w:hint="eastAsia" w:ascii="宋体" w:hAnsi="宋体" w:cs="宋体"/>
                <w:kern w:val="0"/>
              </w:rPr>
              <w:br w:type="textWrapping"/>
            </w:r>
            <w:r>
              <w:rPr>
                <w:rFonts w:hint="eastAsia" w:ascii="宋体" w:hAnsi="宋体" w:cs="宋体"/>
                <w:kern w:val="0"/>
              </w:rPr>
              <w:t>2.光口速率：1个1000Mbps Base-SC；</w:t>
            </w:r>
            <w:r>
              <w:rPr>
                <w:rFonts w:hint="eastAsia" w:ascii="宋体" w:hAnsi="宋体" w:cs="宋体"/>
                <w:kern w:val="0"/>
              </w:rPr>
              <w:br w:type="textWrapping"/>
            </w:r>
            <w:r>
              <w:rPr>
                <w:rFonts w:hint="eastAsia" w:ascii="宋体" w:hAnsi="宋体" w:cs="宋体"/>
                <w:kern w:val="0"/>
              </w:rPr>
              <w:t>3.光接口类型：SC；</w:t>
            </w:r>
            <w:r>
              <w:rPr>
                <w:rFonts w:hint="eastAsia" w:ascii="宋体" w:hAnsi="宋体" w:cs="宋体"/>
                <w:kern w:val="0"/>
              </w:rPr>
              <w:br w:type="textWrapping"/>
            </w:r>
            <w:r>
              <w:rPr>
                <w:rFonts w:hint="eastAsia" w:ascii="宋体" w:hAnsi="宋体" w:cs="宋体"/>
                <w:kern w:val="0"/>
              </w:rPr>
              <w:t>4.形态：盒式；</w:t>
            </w:r>
            <w:r>
              <w:rPr>
                <w:rFonts w:hint="eastAsia" w:ascii="宋体" w:hAnsi="宋体" w:cs="宋体"/>
                <w:kern w:val="0"/>
              </w:rPr>
              <w:br w:type="textWrapping"/>
            </w:r>
            <w:r>
              <w:rPr>
                <w:rFonts w:hint="eastAsia" w:ascii="宋体" w:hAnsi="宋体" w:cs="宋体"/>
                <w:kern w:val="0"/>
              </w:rPr>
              <w:t>5.传输距离：20km；</w:t>
            </w:r>
            <w:r>
              <w:rPr>
                <w:rFonts w:hint="eastAsia" w:ascii="宋体" w:hAnsi="宋体" w:cs="宋体"/>
                <w:kern w:val="0"/>
              </w:rPr>
              <w:br w:type="textWrapping"/>
            </w:r>
            <w:r>
              <w:rPr>
                <w:rFonts w:hint="eastAsia" w:ascii="宋体" w:hAnsi="宋体" w:cs="宋体"/>
                <w:kern w:val="0"/>
              </w:rPr>
              <w:t>6.光纤类型：单模单纤；</w:t>
            </w:r>
            <w:r>
              <w:rPr>
                <w:rFonts w:hint="eastAsia" w:ascii="宋体" w:hAnsi="宋体" w:cs="宋体"/>
                <w:kern w:val="0"/>
              </w:rPr>
              <w:br w:type="textWrapping"/>
            </w:r>
            <w:r>
              <w:rPr>
                <w:rFonts w:hint="eastAsia" w:ascii="宋体" w:hAnsi="宋体" w:cs="宋体"/>
                <w:kern w:val="0"/>
              </w:rPr>
              <w:t>7.波长：1310nm 发送,1550nm 接收；</w:t>
            </w:r>
            <w:r>
              <w:rPr>
                <w:rFonts w:hint="eastAsia" w:ascii="宋体" w:hAnsi="宋体" w:cs="宋体"/>
                <w:kern w:val="0"/>
              </w:rPr>
              <w:br w:type="textWrapping"/>
            </w:r>
            <w:r>
              <w:rPr>
                <w:rFonts w:hint="eastAsia" w:ascii="宋体" w:hAnsi="宋体" w:cs="宋体"/>
                <w:kern w:val="0"/>
              </w:rPr>
              <w:t>8.安装方式：桌面</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4</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8口千兆管理交换机</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1.≥8口千兆非网管交换机，8个10/100/1000M自适应电口</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286" w:hRule="atLeast"/>
          <w:jc w:val="center"/>
        </w:trPr>
        <w:tc>
          <w:tcPr>
            <w:tcW w:w="9739" w:type="dxa"/>
            <w:gridSpan w:val="5"/>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b/>
                <w:bCs/>
                <w:kern w:val="0"/>
                <w:sz w:val="18"/>
                <w:szCs w:val="18"/>
              </w:rPr>
              <w:t>七、智能充电管理</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智能充电桩全网通</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10路智能充电桩，专用于电动自行车的充电，安装于室内，可连接10路充电插座；外接扩展箱可再扩展10路充电插座；</w:t>
            </w:r>
            <w:r>
              <w:rPr>
                <w:rFonts w:hint="eastAsia" w:ascii="宋体" w:hAnsi="宋体" w:cs="宋体"/>
                <w:kern w:val="0"/>
              </w:rPr>
              <w:br w:type="textWrapping"/>
            </w:r>
            <w:r>
              <w:rPr>
                <w:rFonts w:hint="eastAsia" w:ascii="宋体" w:hAnsi="宋体" w:cs="宋体"/>
                <w:kern w:val="0"/>
              </w:rPr>
              <w:t>2. 具备过充保护，充满自停，具有断电记忆功能；</w:t>
            </w:r>
            <w:r>
              <w:rPr>
                <w:rFonts w:hint="eastAsia" w:ascii="宋体" w:hAnsi="宋体" w:cs="宋体"/>
                <w:kern w:val="0"/>
              </w:rPr>
              <w:br w:type="textWrapping"/>
            </w:r>
            <w:r>
              <w:rPr>
                <w:rFonts w:hint="eastAsia" w:ascii="宋体" w:hAnsi="宋体" w:cs="宋体"/>
                <w:kern w:val="0"/>
              </w:rPr>
              <w:t>3. 具备过载及短路保护功能，1路故障不影响整机其它路使用；</w:t>
            </w:r>
            <w:r>
              <w:rPr>
                <w:rFonts w:hint="eastAsia" w:ascii="宋体" w:hAnsi="宋体" w:cs="宋体"/>
                <w:kern w:val="0"/>
              </w:rPr>
              <w:br w:type="textWrapping"/>
            </w:r>
            <w:r>
              <w:rPr>
                <w:rFonts w:hint="eastAsia" w:ascii="宋体" w:hAnsi="宋体" w:cs="宋体"/>
                <w:kern w:val="0"/>
              </w:rPr>
              <w:t>4. 带温度检测、电流检测和剩余电流检测功能；</w:t>
            </w:r>
            <w:r>
              <w:rPr>
                <w:rFonts w:hint="eastAsia" w:ascii="宋体" w:hAnsi="宋体" w:cs="宋体"/>
                <w:kern w:val="0"/>
              </w:rPr>
              <w:br w:type="textWrapping"/>
            </w:r>
            <w:r>
              <w:rPr>
                <w:rFonts w:hint="eastAsia" w:ascii="宋体" w:hAnsi="宋体" w:cs="宋体"/>
                <w:kern w:val="0"/>
              </w:rPr>
              <w:t>5. 可外接烟感、水浸等探测器，出现异常平台报警，自动关断故障线路或者整机；</w:t>
            </w:r>
            <w:r>
              <w:rPr>
                <w:rFonts w:hint="eastAsia" w:ascii="宋体" w:hAnsi="宋体" w:cs="宋体"/>
                <w:kern w:val="0"/>
              </w:rPr>
              <w:br w:type="textWrapping"/>
            </w:r>
            <w:r>
              <w:rPr>
                <w:rFonts w:hint="eastAsia" w:ascii="宋体" w:hAnsi="宋体" w:cs="宋体"/>
                <w:kern w:val="0"/>
              </w:rPr>
              <w:t>6. 可联动警笛、喷淋等设施；</w:t>
            </w:r>
            <w:r>
              <w:rPr>
                <w:rFonts w:hint="eastAsia" w:ascii="宋体" w:hAnsi="宋体" w:cs="宋体"/>
                <w:kern w:val="0"/>
              </w:rPr>
              <w:br w:type="textWrapping"/>
            </w:r>
            <w:r>
              <w:rPr>
                <w:rFonts w:hint="eastAsia" w:ascii="宋体" w:hAnsi="宋体" w:cs="宋体"/>
                <w:kern w:val="0"/>
              </w:rPr>
              <w:t>7. 芯片级用电计量，准确统计每路能耗；</w:t>
            </w:r>
            <w:r>
              <w:rPr>
                <w:rFonts w:hint="eastAsia" w:ascii="宋体" w:hAnsi="宋体" w:cs="宋体"/>
                <w:kern w:val="0"/>
              </w:rPr>
              <w:br w:type="textWrapping"/>
            </w:r>
            <w:r>
              <w:rPr>
                <w:rFonts w:hint="eastAsia" w:ascii="宋体" w:hAnsi="宋体" w:cs="宋体"/>
                <w:kern w:val="0"/>
              </w:rPr>
              <w:t>8. 支持云平台管理，支持微信扫码支付，IC卡刷卡支付进行充电功能。支持接入专用投币箱实现投币支付充电功能；</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充电桩扩展箱</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1.10路充电桩产品可外接此扩展箱，再扩展出10路插座。总共20路。每台充电桩只能外接一台扩展箱；</w:t>
            </w:r>
            <w:r>
              <w:rPr>
                <w:rFonts w:hint="eastAsia" w:ascii="宋体" w:hAnsi="宋体" w:cs="宋体"/>
                <w:kern w:val="0"/>
              </w:rPr>
              <w:br w:type="textWrapping"/>
            </w:r>
            <w:r>
              <w:rPr>
                <w:rFonts w:hint="eastAsia" w:ascii="宋体" w:hAnsi="宋体" w:cs="宋体"/>
                <w:kern w:val="0"/>
              </w:rPr>
              <w:t>2.信号线（RVV4*0.5)与充电桩相连实现通讯，和充电桩之间信号线不得超过100米；</w:t>
            </w:r>
            <w:r>
              <w:rPr>
                <w:rFonts w:hint="eastAsia" w:ascii="宋体" w:hAnsi="宋体" w:cs="宋体"/>
                <w:kern w:val="0"/>
              </w:rPr>
              <w:br w:type="textWrapping"/>
            </w:r>
            <w:r>
              <w:rPr>
                <w:rFonts w:hint="eastAsia" w:ascii="宋体" w:hAnsi="宋体" w:cs="宋体"/>
                <w:kern w:val="0"/>
              </w:rPr>
              <w:t>3.充电插座接线方式和充电桩接线方式一致；</w:t>
            </w:r>
            <w:r>
              <w:rPr>
                <w:rFonts w:hint="eastAsia" w:ascii="宋体" w:hAnsi="宋体" w:cs="宋体"/>
                <w:kern w:val="0"/>
              </w:rPr>
              <w:br w:type="textWrapping"/>
            </w:r>
            <w:r>
              <w:rPr>
                <w:rFonts w:hint="eastAsia" w:ascii="宋体" w:hAnsi="宋体" w:cs="宋体"/>
                <w:kern w:val="0"/>
              </w:rPr>
              <w:t>4.产品尺寸：360*312*48.6mm（包含上下安装孔）；</w:t>
            </w:r>
            <w:r>
              <w:rPr>
                <w:rFonts w:hint="eastAsia" w:ascii="宋体" w:hAnsi="宋体" w:cs="宋体"/>
                <w:kern w:val="0"/>
              </w:rPr>
              <w:br w:type="textWrapping"/>
            </w:r>
            <w:r>
              <w:rPr>
                <w:rFonts w:hint="eastAsia" w:ascii="宋体" w:hAnsi="宋体" w:cs="宋体"/>
                <w:kern w:val="0"/>
              </w:rPr>
              <w:t>5.通讯方式：4G物联网卡；</w:t>
            </w:r>
            <w:r>
              <w:rPr>
                <w:rFonts w:hint="eastAsia" w:ascii="宋体" w:hAnsi="宋体" w:cs="宋体"/>
                <w:kern w:val="0"/>
              </w:rPr>
              <w:br w:type="textWrapping"/>
            </w:r>
            <w:r>
              <w:rPr>
                <w:rFonts w:hint="eastAsia" w:ascii="宋体" w:hAnsi="宋体" w:cs="宋体"/>
                <w:kern w:val="0"/>
              </w:rPr>
              <w:t>6.供电模式：信号线与充电桩相连实现通讯，不超过100米；</w:t>
            </w:r>
            <w:r>
              <w:rPr>
                <w:rFonts w:hint="eastAsia" w:ascii="宋体" w:hAnsi="宋体" w:cs="宋体"/>
                <w:kern w:val="0"/>
              </w:rPr>
              <w:br w:type="textWrapping"/>
            </w:r>
            <w:r>
              <w:rPr>
                <w:rFonts w:hint="eastAsia" w:ascii="宋体" w:hAnsi="宋体" w:cs="宋体"/>
                <w:kern w:val="0"/>
              </w:rPr>
              <w:t>7.单通道输出电流：额定电流10A(AC)，最大支持5A（AC)，电瓶车充电器最大功率不超过1100W；</w:t>
            </w:r>
            <w:r>
              <w:rPr>
                <w:rFonts w:hint="eastAsia" w:ascii="宋体" w:hAnsi="宋体" w:cs="宋体"/>
                <w:kern w:val="0"/>
              </w:rPr>
              <w:br w:type="textWrapping"/>
            </w:r>
            <w:r>
              <w:rPr>
                <w:rFonts w:hint="eastAsia" w:ascii="宋体" w:hAnsi="宋体" w:cs="宋体"/>
                <w:kern w:val="0"/>
              </w:rPr>
              <w:t>8.整机输出功率：最大不超过10kW；</w:t>
            </w:r>
            <w:r>
              <w:rPr>
                <w:rFonts w:hint="eastAsia" w:ascii="宋体" w:hAnsi="宋体" w:cs="宋体"/>
                <w:kern w:val="0"/>
              </w:rPr>
              <w:br w:type="textWrapping"/>
            </w:r>
            <w:r>
              <w:rPr>
                <w:rFonts w:hint="eastAsia" w:ascii="宋体" w:hAnsi="宋体" w:cs="宋体"/>
                <w:kern w:val="0"/>
              </w:rPr>
              <w:t>9.待机功耗：约3W；</w:t>
            </w:r>
            <w:r>
              <w:rPr>
                <w:rFonts w:hint="eastAsia" w:ascii="宋体" w:hAnsi="宋体" w:cs="宋体"/>
                <w:kern w:val="0"/>
              </w:rPr>
              <w:br w:type="textWrapping"/>
            </w:r>
            <w:r>
              <w:rPr>
                <w:rFonts w:hint="eastAsia" w:ascii="宋体" w:hAnsi="宋体" w:cs="宋体"/>
                <w:kern w:val="0"/>
              </w:rPr>
              <w:t>10.工作温度：-20℃~60℃；</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智能发卡器</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1.信号线与电脑相连，通过电脑软件进行发卡操作；</w:t>
            </w:r>
            <w:r>
              <w:rPr>
                <w:rFonts w:hint="eastAsia" w:ascii="宋体" w:hAnsi="宋体" w:cs="宋体"/>
                <w:kern w:val="0"/>
              </w:rPr>
              <w:br w:type="textWrapping"/>
            </w:r>
            <w:r>
              <w:rPr>
                <w:rFonts w:hint="eastAsia" w:ascii="宋体" w:hAnsi="宋体" w:cs="宋体"/>
                <w:kern w:val="0"/>
              </w:rPr>
              <w:t>2.可实现卡片发卡，读卡，删除卡片等卡片数据管理；</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智能家居系统软件</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云平台软件，普通电脑安装即可。</w:t>
            </w:r>
            <w:r>
              <w:rPr>
                <w:rFonts w:hint="eastAsia" w:ascii="宋体" w:hAnsi="宋体" w:cs="宋体"/>
                <w:kern w:val="0"/>
              </w:rPr>
              <w:br w:type="textWrapping"/>
            </w:r>
            <w:r>
              <w:rPr>
                <w:rFonts w:hint="eastAsia" w:ascii="宋体" w:hAnsi="宋体" w:cs="宋体"/>
                <w:kern w:val="0"/>
              </w:rPr>
              <w:t>2. 通过一个平台实现对所有充电桩产品进行统一管理。</w:t>
            </w:r>
            <w:r>
              <w:rPr>
                <w:rFonts w:hint="eastAsia" w:ascii="宋体" w:hAnsi="宋体" w:cs="宋体"/>
                <w:kern w:val="0"/>
              </w:rPr>
              <w:br w:type="textWrapping"/>
            </w:r>
            <w:r>
              <w:rPr>
                <w:rFonts w:hint="eastAsia" w:ascii="宋体" w:hAnsi="宋体" w:cs="宋体"/>
                <w:kern w:val="0"/>
              </w:rPr>
              <w:t>3. 具备充电运营，值班查看，电子地图，报表导出，发卡，信息查询等等功能。</w:t>
            </w:r>
            <w:r>
              <w:rPr>
                <w:rFonts w:hint="eastAsia" w:ascii="宋体" w:hAnsi="宋体" w:cs="宋体"/>
                <w:kern w:val="0"/>
              </w:rPr>
              <w:br w:type="textWrapping"/>
            </w:r>
            <w:r>
              <w:rPr>
                <w:rFonts w:hint="eastAsia" w:ascii="宋体" w:hAnsi="宋体" w:cs="宋体"/>
                <w:kern w:val="0"/>
              </w:rPr>
              <w:t>4. 同时可添加多个子账号，区分多级权限，实现人员权限分配管理。</w:t>
            </w:r>
            <w:r>
              <w:rPr>
                <w:rFonts w:hint="eastAsia" w:ascii="宋体" w:hAnsi="宋体" w:cs="宋体"/>
                <w:kern w:val="0"/>
              </w:rPr>
              <w:br w:type="textWrapping"/>
            </w:r>
            <w:r>
              <w:rPr>
                <w:rFonts w:hint="eastAsia" w:ascii="宋体" w:hAnsi="宋体" w:cs="宋体"/>
                <w:kern w:val="0"/>
              </w:rPr>
              <w:t>5. 可自行添加设备调试，可查看详细的收入情况；</w:t>
            </w:r>
            <w:r>
              <w:rPr>
                <w:rFonts w:hint="eastAsia" w:ascii="宋体" w:hAnsi="宋体" w:cs="宋体"/>
                <w:kern w:val="0"/>
              </w:rPr>
              <w:br w:type="textWrapping"/>
            </w:r>
            <w:r>
              <w:rPr>
                <w:rFonts w:hint="eastAsia" w:ascii="宋体" w:hAnsi="宋体" w:cs="宋体"/>
                <w:kern w:val="0"/>
              </w:rPr>
              <w:t>6. 可自行推送报警信息；</w:t>
            </w:r>
            <w:r>
              <w:rPr>
                <w:rFonts w:hint="eastAsia" w:ascii="宋体" w:hAnsi="宋体" w:cs="宋体"/>
                <w:kern w:val="0"/>
              </w:rPr>
              <w:br w:type="textWrapping"/>
            </w:r>
            <w:r>
              <w:rPr>
                <w:rFonts w:hint="eastAsia" w:ascii="宋体" w:hAnsi="宋体" w:cs="宋体"/>
                <w:kern w:val="0"/>
              </w:rPr>
              <w:t>7. 可查询订单数据，包括充电时间、结束时间、充电方式等；</w:t>
            </w:r>
            <w:r>
              <w:rPr>
                <w:rFonts w:hint="eastAsia" w:ascii="宋体" w:hAnsi="宋体" w:cs="宋体"/>
                <w:kern w:val="0"/>
              </w:rPr>
              <w:br w:type="textWrapping"/>
            </w:r>
            <w:r>
              <w:rPr>
                <w:rFonts w:hint="eastAsia" w:ascii="宋体" w:hAnsi="宋体" w:cs="宋体"/>
                <w:kern w:val="0"/>
              </w:rPr>
              <w:t>8. 可查看异常订单，包括空载订单、过载订单等；</w:t>
            </w:r>
            <w:r>
              <w:rPr>
                <w:rFonts w:hint="eastAsia" w:ascii="宋体" w:hAnsi="宋体" w:cs="宋体"/>
                <w:kern w:val="0"/>
              </w:rPr>
              <w:br w:type="textWrapping"/>
            </w:r>
            <w:r>
              <w:rPr>
                <w:rFonts w:hint="eastAsia" w:ascii="宋体" w:hAnsi="宋体" w:cs="宋体"/>
                <w:kern w:val="0"/>
              </w:rPr>
              <w:t>9. 可在电子地图中远程发起充电，并对远程充电订单进行断电操作；</w:t>
            </w:r>
            <w:r>
              <w:rPr>
                <w:rFonts w:hint="eastAsia" w:ascii="宋体" w:hAnsi="宋体" w:cs="宋体"/>
                <w:kern w:val="0"/>
              </w:rPr>
              <w:br w:type="textWrapping"/>
            </w:r>
            <w:r>
              <w:rPr>
                <w:rFonts w:hint="eastAsia" w:ascii="宋体" w:hAnsi="宋体" w:cs="宋体"/>
                <w:kern w:val="0"/>
              </w:rPr>
              <w:t>10.可导出报表数据，平台收入、盈利、充电明细、异常统计等等，一目了然；</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充电桩滴胶卡</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1.充电桩专用卡片，具有数据加密功能，安全可靠；</w:t>
            </w:r>
            <w:r>
              <w:rPr>
                <w:rFonts w:hint="eastAsia" w:ascii="宋体" w:hAnsi="宋体" w:cs="宋体"/>
                <w:kern w:val="0"/>
              </w:rPr>
              <w:br w:type="textWrapping"/>
            </w:r>
            <w:r>
              <w:rPr>
                <w:rFonts w:hint="eastAsia" w:ascii="宋体" w:hAnsi="宋体" w:cs="宋体"/>
                <w:kern w:val="0"/>
              </w:rPr>
              <w:t>2.高硬度材质，滴胶处理，手感温润，不易划伤；</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充电桩排插</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1.孔数≥5孔，国标</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rPr>
            </w:pPr>
            <w:r>
              <w:rPr>
                <w:rFonts w:hint="eastAsia" w:ascii="宋体" w:hAnsi="宋体" w:cs="宋体"/>
                <w:b/>
                <w:bCs/>
                <w:kern w:val="0"/>
              </w:rPr>
              <w:t>八、物业人员考勤系统</w:t>
            </w:r>
          </w:p>
        </w:tc>
      </w:tr>
      <w:tr>
        <w:tblPrEx>
          <w:tblCellMar>
            <w:top w:w="0" w:type="dxa"/>
            <w:left w:w="108" w:type="dxa"/>
            <w:bottom w:w="0" w:type="dxa"/>
            <w:right w:w="108" w:type="dxa"/>
          </w:tblCellMar>
        </w:tblPrEx>
        <w:trPr>
          <w:trHeight w:val="429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人脸考勤一体机</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采用≥7英寸LCD屏，分辨率≥1024*600</w:t>
            </w:r>
            <w:r>
              <w:rPr>
                <w:rFonts w:hint="eastAsia" w:ascii="宋体" w:hAnsi="宋体" w:cs="宋体"/>
                <w:kern w:val="0"/>
              </w:rPr>
              <w:br w:type="textWrapping"/>
            </w:r>
            <w:r>
              <w:rPr>
                <w:rFonts w:hint="eastAsia" w:ascii="宋体" w:hAnsi="宋体" w:cs="宋体"/>
                <w:kern w:val="0"/>
              </w:rPr>
              <w:t>2. 支持人脸、IC卡、密码、二维码等多种识别认证方式，支持分时段开门</w:t>
            </w:r>
            <w:r>
              <w:rPr>
                <w:rFonts w:hint="eastAsia" w:ascii="宋体" w:hAnsi="宋体" w:cs="宋体"/>
                <w:kern w:val="0"/>
              </w:rPr>
              <w:br w:type="textWrapping"/>
            </w:r>
            <w:r>
              <w:rPr>
                <w:rFonts w:hint="eastAsia" w:ascii="宋体" w:hAnsi="宋体" w:cs="宋体"/>
                <w:kern w:val="0"/>
              </w:rPr>
              <w:t>3. 支持显示人脸框，并实时检测最大人脸，支持识别区域及人脸目标大小设置</w:t>
            </w:r>
            <w:r>
              <w:rPr>
                <w:rFonts w:hint="eastAsia" w:ascii="宋体" w:hAnsi="宋体" w:cs="宋体"/>
                <w:kern w:val="0"/>
              </w:rPr>
              <w:br w:type="textWrapping"/>
            </w:r>
            <w:r>
              <w:rPr>
                <w:rFonts w:hint="eastAsia" w:ascii="宋体" w:hAnsi="宋体" w:cs="宋体"/>
                <w:kern w:val="0"/>
              </w:rPr>
              <w:t>4. 采用≥200万广角宽动态双目摄像头，支持自动开启补光灯以及手动调节补光灯亮度</w:t>
            </w:r>
            <w:r>
              <w:rPr>
                <w:rFonts w:hint="eastAsia" w:ascii="宋体" w:hAnsi="宋体" w:cs="宋体"/>
                <w:kern w:val="0"/>
              </w:rPr>
              <w:br w:type="textWrapping"/>
            </w:r>
            <w:r>
              <w:rPr>
                <w:rFonts w:hint="eastAsia" w:ascii="宋体" w:hAnsi="宋体" w:cs="宋体"/>
                <w:kern w:val="0"/>
              </w:rPr>
              <w:t>5. 支持面部识别距离0.3m-2.0m，适应0.9m～2.4m身高范围</w:t>
            </w:r>
            <w:r>
              <w:rPr>
                <w:rFonts w:hint="eastAsia" w:ascii="宋体" w:hAnsi="宋体" w:cs="宋体"/>
                <w:kern w:val="0"/>
              </w:rPr>
              <w:br w:type="textWrapping"/>
            </w:r>
            <w:r>
              <w:rPr>
                <w:rFonts w:hint="eastAsia" w:ascii="宋体" w:hAnsi="宋体" w:cs="宋体"/>
                <w:kern w:val="0"/>
              </w:rPr>
              <w:t>6. 基于深度人脸识别算法，精准定位目标人脸360个以上关键点位置</w:t>
            </w:r>
            <w:r>
              <w:rPr>
                <w:rFonts w:hint="eastAsia" w:ascii="宋体" w:hAnsi="宋体" w:cs="宋体"/>
                <w:kern w:val="0"/>
              </w:rPr>
              <w:br w:type="textWrapping"/>
            </w:r>
            <w:r>
              <w:rPr>
                <w:rFonts w:hint="eastAsia" w:ascii="宋体" w:hAnsi="宋体" w:cs="宋体"/>
                <w:kern w:val="0"/>
              </w:rPr>
              <w:t>7. 人脸验证准确率≥99.5%，1：N比对时间≤0.35秒/人，识别速度快，准确率高</w:t>
            </w:r>
            <w:r>
              <w:rPr>
                <w:rFonts w:hint="eastAsia" w:ascii="宋体" w:hAnsi="宋体" w:cs="宋体"/>
                <w:kern w:val="0"/>
              </w:rPr>
              <w:br w:type="textWrapping"/>
            </w:r>
            <w:r>
              <w:rPr>
                <w:rFonts w:hint="eastAsia" w:ascii="宋体" w:hAnsi="宋体" w:cs="宋体"/>
                <w:kern w:val="0"/>
              </w:rPr>
              <w:t>8. 适应侧脸，支持人脸识别角度0~90°设置</w:t>
            </w:r>
            <w:r>
              <w:rPr>
                <w:rFonts w:hint="eastAsia" w:ascii="宋体" w:hAnsi="宋体" w:cs="宋体"/>
                <w:kern w:val="0"/>
              </w:rPr>
              <w:br w:type="textWrapping"/>
            </w:r>
            <w:r>
              <w:rPr>
                <w:rFonts w:hint="eastAsia" w:ascii="宋体" w:hAnsi="宋体" w:cs="宋体"/>
                <w:kern w:val="0"/>
              </w:rPr>
              <w:t>9. 设备支持≥50000个用户，≥50000张卡，≥50000个密码，≥50000个人脸，≥50个管理员</w:t>
            </w:r>
            <w:r>
              <w:rPr>
                <w:rFonts w:hint="eastAsia" w:ascii="宋体" w:hAnsi="宋体" w:cs="宋体"/>
                <w:kern w:val="0"/>
              </w:rPr>
              <w:br w:type="textWrapping"/>
            </w:r>
            <w:r>
              <w:rPr>
                <w:rFonts w:hint="eastAsia" w:ascii="宋体" w:hAnsi="宋体" w:cs="宋体"/>
                <w:kern w:val="0"/>
              </w:rPr>
              <w:t>10. 应具有防假体攻击功能，对视频、电子照片、打印照片中的人脸、3D人脸面具应不能进行人脸识别；</w:t>
            </w:r>
            <w:r>
              <w:rPr>
                <w:rFonts w:hint="eastAsia" w:ascii="宋体" w:hAnsi="宋体" w:cs="宋体"/>
                <w:kern w:val="0"/>
              </w:rPr>
              <w:br w:type="textWrapping"/>
            </w:r>
            <w:r>
              <w:rPr>
                <w:rFonts w:hint="eastAsia" w:ascii="宋体" w:hAnsi="宋体" w:cs="宋体"/>
                <w:kern w:val="0"/>
              </w:rPr>
              <w:t>11. 支持胁迫报警、 防拆报警、 闯入报警、 门超时报警、非法卡超次报警</w:t>
            </w:r>
            <w:r>
              <w:rPr>
                <w:rFonts w:hint="eastAsia" w:ascii="宋体" w:hAnsi="宋体" w:cs="宋体"/>
                <w:kern w:val="0"/>
              </w:rPr>
              <w:br w:type="textWrapping"/>
            </w:r>
            <w:r>
              <w:rPr>
                <w:rFonts w:hint="eastAsia" w:ascii="宋体" w:hAnsi="宋体" w:cs="宋体"/>
                <w:kern w:val="0"/>
              </w:rPr>
              <w:t>12.设备应支持管理平台、设备WEB端视频预览功能；设备应支持接入NVR设备，实现视频监控录像；设备应支持H.265视频编码设置功能。</w:t>
            </w:r>
            <w:r>
              <w:rPr>
                <w:rFonts w:hint="eastAsia" w:ascii="宋体" w:hAnsi="宋体" w:cs="宋体"/>
                <w:kern w:val="0"/>
              </w:rPr>
              <w:br w:type="textWrapping"/>
            </w:r>
            <w:r>
              <w:rPr>
                <w:rFonts w:hint="eastAsia" w:ascii="宋体" w:hAnsi="宋体" w:cs="宋体"/>
                <w:kern w:val="0"/>
              </w:rPr>
              <w:t>13. 支持来宾用户下发、巡逻用户下发、黑名单用户下发、VIP用户下发、普通用户下发、特殊用户</w:t>
            </w:r>
            <w:r>
              <w:rPr>
                <w:rFonts w:hint="eastAsia" w:ascii="宋体" w:hAnsi="宋体" w:cs="宋体"/>
                <w:kern w:val="0"/>
              </w:rPr>
              <w:br w:type="textWrapping"/>
            </w:r>
            <w:r>
              <w:rPr>
                <w:rFonts w:hint="eastAsia" w:ascii="宋体" w:hAnsi="宋体" w:cs="宋体"/>
                <w:kern w:val="0"/>
              </w:rPr>
              <w:t>14. 支持1路机身防拆报警功能和1路离墙报警功能；</w:t>
            </w:r>
            <w:r>
              <w:rPr>
                <w:rFonts w:hint="eastAsia" w:ascii="宋体" w:hAnsi="宋体" w:cs="宋体"/>
                <w:kern w:val="0"/>
              </w:rPr>
              <w:br w:type="textWrapping"/>
            </w:r>
            <w:r>
              <w:rPr>
                <w:rFonts w:hint="eastAsia" w:ascii="宋体" w:hAnsi="宋体" w:cs="宋体"/>
                <w:kern w:val="0"/>
              </w:rPr>
              <w:t>15. 支持≥4种识别提示模式及多种语音提示信息</w:t>
            </w:r>
            <w:r>
              <w:rPr>
                <w:rFonts w:hint="eastAsia" w:ascii="宋体" w:hAnsi="宋体" w:cs="宋体"/>
                <w:kern w:val="0"/>
              </w:rPr>
              <w:br w:type="textWrapping"/>
            </w:r>
            <w:r>
              <w:rPr>
                <w:rFonts w:hint="eastAsia" w:ascii="宋体" w:hAnsi="宋体" w:cs="宋体"/>
                <w:kern w:val="0"/>
              </w:rPr>
              <w:t>16. 设备支持扩展SD卡存储视频和图片功能；</w:t>
            </w:r>
            <w:r>
              <w:rPr>
                <w:rFonts w:hint="eastAsia" w:ascii="宋体" w:hAnsi="宋体" w:cs="宋体"/>
                <w:kern w:val="0"/>
              </w:rPr>
              <w:br w:type="textWrapping"/>
            </w:r>
            <w:r>
              <w:rPr>
                <w:rFonts w:hint="eastAsia" w:ascii="宋体" w:hAnsi="宋体" w:cs="宋体"/>
                <w:kern w:val="0"/>
              </w:rPr>
              <w:t>17. 接口不少于：RS-485接口1个；RS-232接口1个；韦根接口1路输入/输出；USB接口1个USB2.0接口；网络接口1个10Mbps/100Mbps以太网口；报警输入2路（开关量）；报警输出2路（继电器）；报警联动支持；开门按钮1路；门状态检测1路；门锁控制1路；</w:t>
            </w:r>
            <w:r>
              <w:rPr>
                <w:rFonts w:hint="eastAsia" w:ascii="宋体" w:hAnsi="宋体" w:cs="宋体"/>
                <w:kern w:val="0"/>
              </w:rPr>
              <w:br w:type="textWrapping"/>
            </w:r>
            <w:r>
              <w:rPr>
                <w:rFonts w:hint="eastAsia" w:ascii="宋体" w:hAnsi="宋体" w:cs="宋体"/>
                <w:kern w:val="0"/>
              </w:rPr>
              <w:t>18. 支持防反潜；防拆报警；胁迫报警；门超时报警；非法闯入报警；非法卡超次报警；</w:t>
            </w:r>
            <w:r>
              <w:rPr>
                <w:rFonts w:hint="eastAsia" w:ascii="宋体" w:hAnsi="宋体" w:cs="宋体"/>
                <w:kern w:val="0"/>
              </w:rPr>
              <w:br w:type="textWrapping"/>
            </w:r>
            <w:r>
              <w:rPr>
                <w:rFonts w:hint="eastAsia" w:ascii="宋体" w:hAnsi="宋体" w:cs="宋体"/>
                <w:kern w:val="0"/>
              </w:rPr>
              <w:t>19. 供电方式支持DC 12V 2A；</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1074"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支架</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1.使用环境：室内室外；</w:t>
            </w:r>
            <w:r>
              <w:rPr>
                <w:rFonts w:hint="eastAsia" w:ascii="宋体" w:hAnsi="宋体" w:cs="宋体"/>
                <w:kern w:val="0"/>
              </w:rPr>
              <w:br w:type="textWrapping"/>
            </w:r>
            <w:r>
              <w:rPr>
                <w:rFonts w:hint="eastAsia" w:ascii="宋体" w:hAnsi="宋体" w:cs="宋体"/>
                <w:kern w:val="0"/>
              </w:rPr>
              <w:t>2.外壳材料：铝合金材质；</w:t>
            </w:r>
            <w:r>
              <w:rPr>
                <w:rFonts w:hint="eastAsia" w:ascii="宋体" w:hAnsi="宋体" w:cs="宋体"/>
                <w:kern w:val="0"/>
              </w:rPr>
              <w:br w:type="textWrapping"/>
            </w:r>
            <w:r>
              <w:rPr>
                <w:rFonts w:hint="eastAsia" w:ascii="宋体" w:hAnsi="宋体" w:cs="宋体"/>
                <w:kern w:val="0"/>
              </w:rPr>
              <w:t>3.产品尺寸：≥363.4mm×106.6mm×104.9mm（高×宽×厚）；</w:t>
            </w:r>
            <w:r>
              <w:rPr>
                <w:rFonts w:hint="eastAsia" w:ascii="宋体" w:hAnsi="宋体" w:cs="宋体"/>
                <w:kern w:val="0"/>
              </w:rPr>
              <w:br w:type="textWrapping"/>
            </w:r>
            <w:r>
              <w:rPr>
                <w:rFonts w:hint="eastAsia" w:ascii="宋体" w:hAnsi="宋体" w:cs="宋体"/>
                <w:kern w:val="0"/>
              </w:rPr>
              <w:t>4.工作温度：-30℃~+70℃；</w:t>
            </w:r>
            <w:r>
              <w:rPr>
                <w:rFonts w:hint="eastAsia" w:ascii="宋体" w:hAnsi="宋体" w:cs="宋体"/>
                <w:kern w:val="0"/>
              </w:rPr>
              <w:br w:type="textWrapping"/>
            </w:r>
            <w:r>
              <w:rPr>
                <w:rFonts w:hint="eastAsia" w:ascii="宋体" w:hAnsi="宋体" w:cs="宋体"/>
                <w:kern w:val="0"/>
              </w:rPr>
              <w:t>5.安装方式：桌面（闸机）安装</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rPr>
            </w:pPr>
            <w:r>
              <w:rPr>
                <w:rFonts w:hint="eastAsia" w:ascii="宋体" w:hAnsi="宋体" w:cs="宋体"/>
                <w:b/>
                <w:bCs/>
                <w:kern w:val="0"/>
              </w:rPr>
              <w:t>九、后端总平台</w:t>
            </w:r>
          </w:p>
        </w:tc>
      </w:tr>
      <w:tr>
        <w:tblPrEx>
          <w:tblCellMar>
            <w:top w:w="0" w:type="dxa"/>
            <w:left w:w="108" w:type="dxa"/>
            <w:bottom w:w="0" w:type="dxa"/>
            <w:right w:w="108" w:type="dxa"/>
          </w:tblCellMar>
        </w:tblPrEx>
        <w:trPr>
          <w:trHeight w:val="429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中心平台系统</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支持基础资源（组织、设备、人、卡、车等信息）管理，提供事件中心、数据存储、电子地图、日志记录等基础功能；</w:t>
            </w:r>
            <w:r>
              <w:rPr>
                <w:rFonts w:hint="eastAsia" w:ascii="宋体" w:hAnsi="宋体" w:cs="宋体"/>
                <w:kern w:val="0"/>
              </w:rPr>
              <w:br w:type="textWrapping"/>
            </w:r>
            <w:r>
              <w:rPr>
                <w:rFonts w:hint="eastAsia" w:ascii="宋体" w:hAnsi="宋体" w:cs="宋体"/>
                <w:kern w:val="0"/>
              </w:rPr>
              <w:t>2. 运维中心提供服务部署维护功能支持模块化升级部署、系统资源使用情况监控等运维相关功能；</w:t>
            </w:r>
            <w:r>
              <w:rPr>
                <w:rFonts w:hint="eastAsia" w:ascii="宋体" w:hAnsi="宋体" w:cs="宋体"/>
                <w:kern w:val="0"/>
              </w:rPr>
              <w:br w:type="textWrapping"/>
            </w:r>
            <w:r>
              <w:rPr>
                <w:rFonts w:hint="eastAsia" w:ascii="宋体" w:hAnsi="宋体" w:cs="宋体"/>
                <w:kern w:val="0"/>
              </w:rPr>
              <w:t>3. 支持视频业务功能应用，包视频设备接入（编码器、解码器、报警柱、报警盒等），频预览，录像回放及存储，视频上墙，雷球联动；</w:t>
            </w:r>
            <w:r>
              <w:rPr>
                <w:rFonts w:hint="eastAsia" w:ascii="宋体" w:hAnsi="宋体" w:cs="宋体"/>
                <w:kern w:val="0"/>
              </w:rPr>
              <w:br w:type="textWrapping"/>
            </w:r>
            <w:r>
              <w:rPr>
                <w:rFonts w:hint="eastAsia" w:ascii="宋体" w:hAnsi="宋体" w:cs="宋体"/>
                <w:kern w:val="0"/>
              </w:rPr>
              <w:t>4. 支持主动注册设备的统一接入和管理；</w:t>
            </w:r>
            <w:r>
              <w:rPr>
                <w:rFonts w:hint="eastAsia" w:ascii="宋体" w:hAnsi="宋体" w:cs="宋体"/>
                <w:kern w:val="0"/>
              </w:rPr>
              <w:br w:type="textWrapping"/>
            </w:r>
            <w:r>
              <w:rPr>
                <w:rFonts w:hint="eastAsia" w:ascii="宋体" w:hAnsi="宋体" w:cs="宋体"/>
                <w:kern w:val="0"/>
              </w:rPr>
              <w:t>5. 支持手机移动客户端进行实时视频监控，音频播放，本地截图，本地录像，云台控制，远程视频回放；</w:t>
            </w:r>
            <w:r>
              <w:rPr>
                <w:rFonts w:hint="eastAsia" w:ascii="宋体" w:hAnsi="宋体" w:cs="宋体"/>
                <w:kern w:val="0"/>
              </w:rPr>
              <w:br w:type="textWrapping"/>
            </w:r>
            <w:r>
              <w:rPr>
                <w:rFonts w:hint="eastAsia" w:ascii="宋体" w:hAnsi="宋体" w:cs="宋体"/>
                <w:kern w:val="0"/>
              </w:rPr>
              <w:t>6. 支持查看平台运行数据，数据包括：人数统计、车辆统计、访客统计、人脸识别、机动车识别、非机动车识别、昨日消费、园区考勤统计、设备报警、设备运维等信息；</w:t>
            </w:r>
            <w:r>
              <w:rPr>
                <w:rFonts w:hint="eastAsia" w:ascii="宋体" w:hAnsi="宋体" w:cs="宋体"/>
                <w:kern w:val="0"/>
              </w:rPr>
              <w:br w:type="textWrapping"/>
            </w:r>
            <w:r>
              <w:rPr>
                <w:rFonts w:hint="eastAsia" w:ascii="宋体" w:hAnsi="宋体" w:cs="宋体"/>
                <w:kern w:val="0"/>
              </w:rPr>
              <w:t>7. 支持人员字段自定义配置；</w:t>
            </w:r>
            <w:r>
              <w:rPr>
                <w:rFonts w:hint="eastAsia" w:ascii="宋体" w:hAnsi="宋体" w:cs="宋体"/>
                <w:kern w:val="0"/>
              </w:rPr>
              <w:br w:type="textWrapping"/>
            </w:r>
            <w:r>
              <w:rPr>
                <w:rFonts w:hint="eastAsia" w:ascii="宋体" w:hAnsi="宋体" w:cs="宋体"/>
                <w:kern w:val="0"/>
              </w:rPr>
              <w:t>8. 支持设备管理，可按设备名称、通道进行模糊搜索；</w:t>
            </w:r>
            <w:r>
              <w:rPr>
                <w:rFonts w:hint="eastAsia" w:ascii="宋体" w:hAnsi="宋体" w:cs="宋体"/>
                <w:kern w:val="0"/>
              </w:rPr>
              <w:br w:type="textWrapping"/>
            </w:r>
            <w:r>
              <w:rPr>
                <w:rFonts w:hint="eastAsia" w:ascii="宋体" w:hAnsi="宋体" w:cs="宋体"/>
                <w:kern w:val="0"/>
              </w:rPr>
              <w:t>9. 支持批量设置报警风暴间隔、报警等级、报警记录是否保存、报警类型是否启用；支持自定义新增报警类型，包括报警类型名称、报警等级、报警归属设备，是否保存的信息配置；</w:t>
            </w:r>
            <w:r>
              <w:rPr>
                <w:rFonts w:hint="eastAsia" w:ascii="宋体" w:hAnsi="宋体" w:cs="宋体"/>
                <w:kern w:val="0"/>
              </w:rPr>
              <w:br w:type="textWrapping"/>
            </w:r>
            <w:r>
              <w:rPr>
                <w:rFonts w:hint="eastAsia" w:ascii="宋体" w:hAnsi="宋体" w:cs="宋体"/>
                <w:kern w:val="0"/>
              </w:rPr>
              <w:t>10. 支持为组织树上的组织配置地图，可在地图上添加设备点位，可根据设备点位切换地图；</w:t>
            </w:r>
            <w:r>
              <w:rPr>
                <w:rFonts w:hint="eastAsia" w:ascii="宋体" w:hAnsi="宋体" w:cs="宋体"/>
                <w:kern w:val="0"/>
              </w:rPr>
              <w:br w:type="textWrapping"/>
            </w:r>
            <w:r>
              <w:rPr>
                <w:rFonts w:hint="eastAsia" w:ascii="宋体" w:hAnsi="宋体" w:cs="宋体"/>
                <w:kern w:val="0"/>
              </w:rPr>
              <w:t>11. 支持为指定的点位绑定视频、门禁、可视对讲、道闸、报警主机及新增业务组件的资源类型,绑定的资滁类型包括设备、通道；</w:t>
            </w:r>
            <w:r>
              <w:rPr>
                <w:rFonts w:hint="eastAsia" w:ascii="宋体" w:hAnsi="宋体" w:cs="宋体"/>
                <w:kern w:val="0"/>
              </w:rPr>
              <w:br w:type="textWrapping"/>
            </w:r>
            <w:r>
              <w:rPr>
                <w:rFonts w:hint="eastAsia" w:ascii="宋体" w:hAnsi="宋体" w:cs="宋体"/>
                <w:kern w:val="0"/>
              </w:rPr>
              <w:t>12. 支持平台上下级联，可查看下级平台的状态和级联网络拓扑结构，可进行数据推送控制；</w:t>
            </w:r>
            <w:r>
              <w:rPr>
                <w:rFonts w:hint="eastAsia" w:ascii="宋体" w:hAnsi="宋体" w:cs="宋体"/>
                <w:kern w:val="0"/>
              </w:rPr>
              <w:br w:type="textWrapping"/>
            </w:r>
            <w:r>
              <w:rPr>
                <w:rFonts w:hint="eastAsia" w:ascii="宋体" w:hAnsi="宋体" w:cs="宋体"/>
                <w:kern w:val="0"/>
              </w:rPr>
              <w:t>13. 支持电子地图上视频预览、录像回放、报警闪烁提醒和设备在线状态；</w:t>
            </w:r>
            <w:r>
              <w:rPr>
                <w:rFonts w:hint="eastAsia" w:ascii="宋体" w:hAnsi="宋体" w:cs="宋体"/>
                <w:kern w:val="0"/>
              </w:rPr>
              <w:br w:type="textWrapping"/>
            </w:r>
            <w:r>
              <w:rPr>
                <w:rFonts w:hint="eastAsia" w:ascii="宋体" w:hAnsi="宋体" w:cs="宋体"/>
                <w:kern w:val="0"/>
              </w:rPr>
              <w:t>14. 支持为组织树上的组织配置地图，可在地图上添加设备点位，可根据设备点位切换地图；</w:t>
            </w:r>
          </w:p>
          <w:p>
            <w:pPr>
              <w:widowControl/>
              <w:jc w:val="left"/>
              <w:rPr>
                <w:rFonts w:ascii="宋体" w:hAnsi="宋体" w:cs="宋体"/>
                <w:kern w:val="0"/>
              </w:rPr>
            </w:pPr>
            <w:r>
              <w:rPr>
                <w:rFonts w:hint="eastAsia" w:ascii="宋体" w:hAnsi="宋体" w:cs="宋体"/>
                <w:kern w:val="0"/>
              </w:rPr>
              <w:t>15. 支持查看实时报警信息，可在地图上对报警事件进行处理；</w:t>
            </w:r>
            <w:r>
              <w:rPr>
                <w:rFonts w:hint="eastAsia" w:ascii="宋体" w:hAnsi="宋体" w:cs="宋体"/>
                <w:kern w:val="0"/>
              </w:rPr>
              <w:br w:type="textWrapping"/>
            </w:r>
            <w:r>
              <w:rPr>
                <w:rFonts w:hint="eastAsia" w:ascii="宋体" w:hAnsi="宋体" w:cs="宋体"/>
                <w:kern w:val="0"/>
              </w:rPr>
              <w:t>16. 支持设备接入服务的分布式集群组件、拆除、单节点拆除，分布式管理包括视频设备接入服务、可视对讲服务、门禁设备接入服务、停车场设备接入服务等；</w:t>
            </w:r>
            <w:r>
              <w:rPr>
                <w:rFonts w:hint="eastAsia" w:ascii="宋体" w:hAnsi="宋体" w:cs="宋体"/>
                <w:kern w:val="0"/>
              </w:rPr>
              <w:br w:type="textWrapping"/>
            </w:r>
            <w:r>
              <w:rPr>
                <w:rFonts w:hint="eastAsia" w:ascii="宋体" w:hAnsi="宋体" w:cs="宋体"/>
                <w:kern w:val="0"/>
              </w:rPr>
              <w:t>17. 支持人脸注册库的添加、删除、修改，人脸库包括内部人员、访客、白名单、黑名单几种类型，人脸库可绑定下发新增、删除、修改到人脸设备中；</w:t>
            </w:r>
            <w:r>
              <w:rPr>
                <w:rFonts w:hint="eastAsia" w:ascii="宋体" w:hAnsi="宋体" w:cs="宋体"/>
                <w:kern w:val="0"/>
              </w:rPr>
              <w:br w:type="textWrapping"/>
            </w:r>
            <w:r>
              <w:rPr>
                <w:rFonts w:hint="eastAsia" w:ascii="宋体" w:hAnsi="宋体" w:cs="宋体"/>
                <w:kern w:val="0"/>
              </w:rPr>
              <w:t>18. 支持人员考勤统计报表展示，可根据人员姓名，班组，时间进行查询筛选，支持迟到早退旷工加班情况统计，支持考勤率统计，支持月报，年报统计导出；</w:t>
            </w:r>
            <w:r>
              <w:rPr>
                <w:rFonts w:hint="eastAsia" w:ascii="宋体" w:hAnsi="宋体" w:cs="宋体"/>
                <w:kern w:val="0"/>
              </w:rPr>
              <w:br w:type="textWrapping"/>
            </w:r>
            <w:r>
              <w:rPr>
                <w:rFonts w:hint="eastAsia" w:ascii="宋体" w:hAnsi="宋体" w:cs="宋体"/>
                <w:kern w:val="0"/>
              </w:rPr>
              <w:t>19. 支持手动开启系统SSH访问，重启后自动关闭SSH访问；</w:t>
            </w:r>
            <w:r>
              <w:rPr>
                <w:rFonts w:hint="eastAsia" w:ascii="宋体" w:hAnsi="宋体" w:cs="宋体"/>
                <w:kern w:val="0"/>
              </w:rPr>
              <w:br w:type="textWrapping"/>
            </w:r>
            <w:r>
              <w:rPr>
                <w:rFonts w:hint="eastAsia" w:ascii="宋体" w:hAnsi="宋体" w:cs="宋体"/>
                <w:kern w:val="0"/>
              </w:rPr>
              <w:t>20. 支持B/S、C/S客户端，支持iphone、ipad、android客户端；支持谷歌、火狐、搜狗等浏览器访问；</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系统</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1289"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中心服务器</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硬件配置不低于：</w:t>
            </w:r>
            <w:r>
              <w:rPr>
                <w:rFonts w:hint="eastAsia" w:ascii="宋体" w:hAnsi="宋体" w:cs="宋体"/>
                <w:kern w:val="0"/>
              </w:rPr>
              <w:br w:type="textWrapping"/>
            </w:r>
            <w:r>
              <w:rPr>
                <w:rFonts w:hint="eastAsia" w:ascii="宋体" w:hAnsi="宋体" w:cs="宋体"/>
                <w:kern w:val="0"/>
              </w:rPr>
              <w:t>1.处理器：2*Intel Xeon 4210 2.2G 9.6UPI 13.75M 10C 85W</w:t>
            </w:r>
            <w:r>
              <w:rPr>
                <w:rFonts w:hint="eastAsia" w:ascii="宋体" w:hAnsi="宋体" w:cs="宋体"/>
                <w:kern w:val="0"/>
              </w:rPr>
              <w:br w:type="textWrapping"/>
            </w:r>
            <w:r>
              <w:rPr>
                <w:rFonts w:hint="eastAsia" w:ascii="宋体" w:hAnsi="宋体" w:cs="宋体"/>
                <w:kern w:val="0"/>
              </w:rPr>
              <w:t>2.内存：16GB 2666*4 最多支持24根DDR4内存条 支持的单根DIMM容量：8GB、16GB和32GB</w:t>
            </w:r>
            <w:r>
              <w:rPr>
                <w:rFonts w:hint="eastAsia" w:ascii="宋体" w:hAnsi="宋体" w:cs="宋体"/>
                <w:kern w:val="0"/>
              </w:rPr>
              <w:br w:type="textWrapping"/>
            </w:r>
            <w:r>
              <w:rPr>
                <w:rFonts w:hint="eastAsia" w:ascii="宋体" w:hAnsi="宋体" w:cs="宋体"/>
                <w:kern w:val="0"/>
              </w:rPr>
              <w:t>3.硬盘：2*2TB 3.5寸硬盘 8LFF 硬盘机型：最多支持前部8LFF 硬盘</w:t>
            </w:r>
            <w:r>
              <w:rPr>
                <w:rFonts w:hint="eastAsia" w:ascii="宋体" w:hAnsi="宋体" w:cs="宋体"/>
                <w:kern w:val="0"/>
              </w:rPr>
              <w:br w:type="textWrapping"/>
            </w:r>
            <w:r>
              <w:rPr>
                <w:rFonts w:hint="eastAsia" w:ascii="宋体" w:hAnsi="宋体" w:cs="宋体"/>
                <w:kern w:val="0"/>
              </w:rPr>
              <w:t>4.机械盘(转速、接口、传输速率)：7200转，SATA接口，6Gb/s</w:t>
            </w:r>
            <w:r>
              <w:rPr>
                <w:rFonts w:hint="eastAsia" w:ascii="宋体" w:hAnsi="宋体" w:cs="宋体"/>
                <w:kern w:val="0"/>
              </w:rPr>
              <w:br w:type="textWrapping"/>
            </w:r>
            <w:r>
              <w:rPr>
                <w:rFonts w:hint="eastAsia" w:ascii="宋体" w:hAnsi="宋体" w:cs="宋体"/>
                <w:kern w:val="0"/>
              </w:rPr>
              <w:t>5.RAID控制器：LSI SAS3008 SAS卡/无缓存</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430"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3</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云网络</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1.每条网络带宽下行≥500M，上行≥100M</w:t>
            </w:r>
            <w:r>
              <w:rPr>
                <w:rFonts w:hint="eastAsia" w:ascii="宋体" w:hAnsi="宋体" w:cs="宋体"/>
                <w:kern w:val="0"/>
              </w:rPr>
              <w:br w:type="textWrapping"/>
            </w:r>
            <w:r>
              <w:rPr>
                <w:rFonts w:hint="eastAsia" w:ascii="宋体" w:hAnsi="宋体" w:cs="宋体"/>
                <w:kern w:val="0"/>
              </w:rPr>
              <w:t>2.网络租赁期≥60个月</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条</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430"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4</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云网络</w:t>
            </w:r>
          </w:p>
        </w:tc>
        <w:tc>
          <w:tcPr>
            <w:tcW w:w="6752" w:type="dxa"/>
            <w:tcBorders>
              <w:top w:val="nil"/>
              <w:left w:val="nil"/>
              <w:bottom w:val="single" w:color="auto" w:sz="4" w:space="0"/>
              <w:right w:val="single" w:color="auto" w:sz="4" w:space="0"/>
            </w:tcBorders>
            <w:shd w:val="clear" w:color="000000" w:fill="FFFFFF"/>
            <w:vAlign w:val="center"/>
          </w:tcPr>
          <w:p>
            <w:pPr>
              <w:widowControl/>
              <w:numPr>
                <w:ilvl w:val="0"/>
                <w:numId w:val="4"/>
              </w:numPr>
              <w:jc w:val="left"/>
            </w:pPr>
            <w:r>
              <w:rPr>
                <w:rFonts w:hint="eastAsia"/>
              </w:rPr>
              <w:t>每条网络带宽≥50M</w:t>
            </w:r>
            <w:r>
              <w:rPr>
                <w:rFonts w:hint="eastAsia"/>
              </w:rPr>
              <w:br w:type="textWrapping"/>
            </w:r>
            <w:r>
              <w:rPr>
                <w:rFonts w:hint="eastAsia"/>
              </w:rPr>
              <w:t>2.网络租赁期≥60个月</w:t>
            </w:r>
          </w:p>
          <w:p>
            <w:pPr>
              <w:pStyle w:val="2"/>
              <w:numPr>
                <w:ilvl w:val="255"/>
                <w:numId w:val="0"/>
              </w:numPr>
            </w:pPr>
            <w:r>
              <w:rPr>
                <w:rFonts w:hint="eastAsia"/>
              </w:rPr>
              <w:t>3、3条</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highlight w:val="cyan"/>
              </w:rPr>
              <w:t>1</w:t>
            </w:r>
          </w:p>
        </w:tc>
      </w:tr>
      <w:tr>
        <w:tblPrEx>
          <w:tblCellMar>
            <w:top w:w="0" w:type="dxa"/>
            <w:left w:w="108" w:type="dxa"/>
            <w:bottom w:w="0" w:type="dxa"/>
            <w:right w:w="108" w:type="dxa"/>
          </w:tblCellMar>
        </w:tblPrEx>
        <w:trPr>
          <w:trHeight w:val="1074"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5</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云智能视频系统</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1.视频数据通过GB28181等标准协议获取第三方厂家平台的视频数据，可进行数据级联汇聚；</w:t>
            </w:r>
            <w:r>
              <w:rPr>
                <w:rFonts w:hint="eastAsia" w:ascii="宋体" w:hAnsi="宋体" w:cs="宋体"/>
                <w:kern w:val="0"/>
              </w:rPr>
              <w:br w:type="textWrapping"/>
            </w:r>
            <w:r>
              <w:rPr>
                <w:rFonts w:hint="eastAsia" w:ascii="宋体" w:hAnsi="宋体" w:cs="宋体"/>
                <w:kern w:val="0"/>
              </w:rPr>
              <w:t>2.支持Web方式访问、配置、管理网关设备。</w:t>
            </w:r>
            <w:r>
              <w:rPr>
                <w:rFonts w:hint="eastAsia" w:ascii="宋体" w:hAnsi="宋体" w:cs="宋体"/>
                <w:kern w:val="0"/>
              </w:rPr>
              <w:br w:type="textWrapping"/>
            </w:r>
            <w:r>
              <w:rPr>
                <w:rFonts w:hint="eastAsia" w:ascii="宋体" w:hAnsi="宋体" w:cs="宋体"/>
                <w:kern w:val="0"/>
              </w:rPr>
              <w:t>3.支持多平台多层次级联，跨域互联互通与资源共享。</w:t>
            </w:r>
            <w:r>
              <w:rPr>
                <w:rFonts w:hint="eastAsia" w:ascii="宋体" w:hAnsi="宋体" w:cs="宋体"/>
                <w:kern w:val="0"/>
              </w:rPr>
              <w:br w:type="textWrapping"/>
            </w:r>
            <w:r>
              <w:rPr>
                <w:rFonts w:hint="eastAsia" w:ascii="宋体" w:hAnsi="宋体" w:cs="宋体"/>
                <w:kern w:val="0"/>
              </w:rPr>
              <w:t>4.支持联网标准协议GB/T 28181，具备符合上述协议的快速接入能力。</w:t>
            </w:r>
            <w:r>
              <w:rPr>
                <w:rFonts w:hint="eastAsia" w:ascii="宋体" w:hAnsi="宋体" w:cs="宋体"/>
                <w:kern w:val="0"/>
              </w:rPr>
              <w:br w:type="textWrapping"/>
            </w:r>
            <w:r>
              <w:rPr>
                <w:rFonts w:hint="eastAsia" w:ascii="宋体" w:hAnsi="宋体" w:cs="宋体"/>
                <w:kern w:val="0"/>
              </w:rPr>
              <w:t>5.支持平台联网管理基本功能，资源共享与同步、实时预览、云台控制、录像检索/回放/下载、设备控制、报警处理等。</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rPr>
            </w:pPr>
            <w:r>
              <w:rPr>
                <w:rFonts w:hint="eastAsia" w:ascii="宋体" w:hAnsi="宋体" w:cs="宋体"/>
                <w:b/>
                <w:bCs/>
                <w:kern w:val="0"/>
              </w:rPr>
              <w:t>十、巡更系统</w:t>
            </w:r>
          </w:p>
        </w:tc>
      </w:tr>
      <w:tr>
        <w:tblPrEx>
          <w:tblCellMar>
            <w:top w:w="0" w:type="dxa"/>
            <w:left w:w="108" w:type="dxa"/>
            <w:bottom w:w="0" w:type="dxa"/>
            <w:right w:w="108" w:type="dxa"/>
          </w:tblCellMar>
        </w:tblPrEx>
        <w:trPr>
          <w:trHeight w:val="634"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4G移动手持移动终端</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操作系统：Android 9.0, 64bit；</w:t>
            </w:r>
            <w:r>
              <w:rPr>
                <w:rFonts w:hint="eastAsia" w:ascii="宋体" w:hAnsi="宋体" w:cs="宋体"/>
                <w:kern w:val="0"/>
              </w:rPr>
              <w:br w:type="textWrapping"/>
            </w:r>
            <w:r>
              <w:rPr>
                <w:rFonts w:hint="eastAsia" w:ascii="宋体" w:hAnsi="宋体" w:cs="宋体"/>
                <w:kern w:val="0"/>
              </w:rPr>
              <w:t>2. CPU：8核1.8G/4GB LPDDR3+64GB eMMC；</w:t>
            </w:r>
            <w:r>
              <w:rPr>
                <w:rFonts w:hint="eastAsia" w:ascii="宋体" w:hAnsi="宋体" w:cs="宋体"/>
                <w:kern w:val="0"/>
              </w:rPr>
              <w:br w:type="textWrapping"/>
            </w:r>
            <w:r>
              <w:rPr>
                <w:rFonts w:hint="eastAsia" w:ascii="宋体" w:hAnsi="宋体" w:cs="宋体"/>
                <w:kern w:val="0"/>
              </w:rPr>
              <w:t>3. SD卡：支持一个TF卡扩展,最大支持256GB；</w:t>
            </w:r>
            <w:r>
              <w:rPr>
                <w:rFonts w:hint="eastAsia" w:ascii="宋体" w:hAnsi="宋体" w:cs="宋体"/>
                <w:kern w:val="0"/>
              </w:rPr>
              <w:br w:type="textWrapping"/>
            </w:r>
            <w:r>
              <w:rPr>
                <w:rFonts w:hint="eastAsia" w:ascii="宋体" w:hAnsi="宋体" w:cs="宋体"/>
                <w:kern w:val="0"/>
              </w:rPr>
              <w:t>4. 网络：4G全网通，双卡, nano SIM卡, DSDS，支持双4G；</w:t>
            </w:r>
            <w:r>
              <w:rPr>
                <w:rFonts w:hint="eastAsia" w:ascii="宋体" w:hAnsi="宋体" w:cs="宋体"/>
                <w:kern w:val="0"/>
              </w:rPr>
              <w:br w:type="textWrapping"/>
            </w:r>
            <w:r>
              <w:rPr>
                <w:rFonts w:hint="eastAsia" w:ascii="宋体" w:hAnsi="宋体" w:cs="宋体"/>
                <w:kern w:val="0"/>
              </w:rPr>
              <w:t>5. 屏幕尺寸/分辨率：5.7英寸/FHD+ (2160*1080) （18：9）；</w:t>
            </w:r>
            <w:r>
              <w:rPr>
                <w:rFonts w:hint="eastAsia" w:ascii="宋体" w:hAnsi="宋体" w:cs="宋体"/>
                <w:kern w:val="0"/>
              </w:rPr>
              <w:br w:type="textWrapping"/>
            </w:r>
            <w:r>
              <w:rPr>
                <w:rFonts w:hint="eastAsia" w:ascii="宋体" w:hAnsi="宋体" w:cs="宋体"/>
                <w:kern w:val="0"/>
              </w:rPr>
              <w:t>6. 主摄像头/副摄像头：1600万像素/800万像素；</w:t>
            </w:r>
            <w:r>
              <w:rPr>
                <w:rFonts w:hint="eastAsia" w:ascii="宋体" w:hAnsi="宋体" w:cs="宋体"/>
                <w:kern w:val="0"/>
              </w:rPr>
              <w:br w:type="textWrapping"/>
            </w:r>
            <w:r>
              <w:rPr>
                <w:rFonts w:hint="eastAsia" w:ascii="宋体" w:hAnsi="宋体" w:cs="宋体"/>
                <w:kern w:val="0"/>
              </w:rPr>
              <w:t>7. 电池容量：4600mAh, 4.35V，充电时间小于4小时；</w:t>
            </w:r>
            <w:r>
              <w:rPr>
                <w:rFonts w:hint="eastAsia" w:ascii="宋体" w:hAnsi="宋体" w:cs="宋体"/>
                <w:kern w:val="0"/>
              </w:rPr>
              <w:br w:type="textWrapping"/>
            </w:r>
            <w:r>
              <w:rPr>
                <w:rFonts w:hint="eastAsia" w:ascii="宋体" w:hAnsi="宋体" w:cs="宋体"/>
                <w:kern w:val="0"/>
              </w:rPr>
              <w:t>8. 指纹识别：带指纹识别前置式，具备HOME键（触摸式）功能；</w:t>
            </w:r>
            <w:r>
              <w:rPr>
                <w:rFonts w:hint="eastAsia" w:ascii="宋体" w:hAnsi="宋体" w:cs="宋体"/>
                <w:kern w:val="0"/>
              </w:rPr>
              <w:br w:type="textWrapping"/>
            </w:r>
            <w:r>
              <w:rPr>
                <w:rFonts w:hint="eastAsia" w:ascii="宋体" w:hAnsi="宋体" w:cs="宋体"/>
                <w:kern w:val="0"/>
              </w:rPr>
              <w:t>9. Wi-Fi：802.11 a/b/g/n/ac，2.4GHz；</w:t>
            </w:r>
            <w:r>
              <w:rPr>
                <w:rFonts w:hint="eastAsia" w:ascii="宋体" w:hAnsi="宋体" w:cs="宋体"/>
                <w:kern w:val="0"/>
              </w:rPr>
              <w:br w:type="textWrapping"/>
            </w:r>
            <w:r>
              <w:rPr>
                <w:rFonts w:hint="eastAsia" w:ascii="宋体" w:hAnsi="宋体" w:cs="宋体"/>
                <w:kern w:val="0"/>
              </w:rPr>
              <w:t>10. 蓝牙：BT4.2；</w:t>
            </w:r>
            <w:r>
              <w:rPr>
                <w:rFonts w:hint="eastAsia" w:ascii="宋体" w:hAnsi="宋体" w:cs="宋体"/>
                <w:kern w:val="0"/>
              </w:rPr>
              <w:br w:type="textWrapping"/>
            </w:r>
            <w:r>
              <w:rPr>
                <w:rFonts w:hint="eastAsia" w:ascii="宋体" w:hAnsi="宋体" w:cs="宋体"/>
                <w:kern w:val="0"/>
              </w:rPr>
              <w:t>11. NFC：NFC13.56MHz；</w:t>
            </w:r>
            <w:r>
              <w:rPr>
                <w:rFonts w:hint="eastAsia" w:ascii="宋体" w:hAnsi="宋体" w:cs="宋体"/>
                <w:kern w:val="0"/>
              </w:rPr>
              <w:br w:type="textWrapping"/>
            </w:r>
            <w:r>
              <w:rPr>
                <w:rFonts w:hint="eastAsia" w:ascii="宋体" w:hAnsi="宋体" w:cs="宋体"/>
                <w:kern w:val="0"/>
              </w:rPr>
              <w:t>12. 感应器：光敏/距离/指南针/陀螺仪/重力G-Sensor；</w:t>
            </w:r>
            <w:r>
              <w:rPr>
                <w:rFonts w:hint="eastAsia" w:ascii="宋体" w:hAnsi="宋体" w:cs="宋体"/>
                <w:kern w:val="0"/>
              </w:rPr>
              <w:br w:type="textWrapping"/>
            </w:r>
            <w:r>
              <w:rPr>
                <w:rFonts w:hint="eastAsia" w:ascii="宋体" w:hAnsi="宋体" w:cs="宋体"/>
                <w:kern w:val="0"/>
              </w:rPr>
              <w:t>13. GPS：支持GPS/北斗，精度3米以内；</w:t>
            </w:r>
            <w:r>
              <w:rPr>
                <w:rFonts w:hint="eastAsia" w:ascii="宋体" w:hAnsi="宋体" w:cs="宋体"/>
                <w:kern w:val="0"/>
              </w:rPr>
              <w:br w:type="textWrapping"/>
            </w:r>
            <w:r>
              <w:rPr>
                <w:rFonts w:hint="eastAsia" w:ascii="宋体" w:hAnsi="宋体" w:cs="宋体"/>
                <w:kern w:val="0"/>
              </w:rPr>
              <w:t>14. 喇叭：1个，单体防水，功能2W；</w:t>
            </w:r>
            <w:r>
              <w:rPr>
                <w:rFonts w:hint="eastAsia" w:ascii="宋体" w:hAnsi="宋体" w:cs="宋体"/>
                <w:kern w:val="0"/>
              </w:rPr>
              <w:br w:type="textWrapping"/>
            </w:r>
            <w:r>
              <w:rPr>
                <w:rFonts w:hint="eastAsia" w:ascii="宋体" w:hAnsi="宋体" w:cs="宋体"/>
                <w:kern w:val="0"/>
              </w:rPr>
              <w:t>15. 视频压缩格式：兼容H.265、H.264；</w:t>
            </w:r>
            <w:r>
              <w:rPr>
                <w:rFonts w:hint="eastAsia" w:ascii="宋体" w:hAnsi="宋体" w:cs="宋体"/>
                <w:kern w:val="0"/>
              </w:rPr>
              <w:br w:type="textWrapping"/>
            </w:r>
            <w:r>
              <w:rPr>
                <w:rFonts w:hint="eastAsia" w:ascii="宋体" w:hAnsi="宋体" w:cs="宋体"/>
                <w:kern w:val="0"/>
              </w:rPr>
              <w:t>16. 侧键：实体按键：音量+、音量-、开关机、自定义Fn2、自定义Fn1、PTT、SOS；</w:t>
            </w:r>
            <w:r>
              <w:rPr>
                <w:rFonts w:hint="eastAsia" w:ascii="宋体" w:hAnsi="宋体" w:cs="宋体"/>
                <w:kern w:val="0"/>
              </w:rPr>
              <w:br w:type="textWrapping"/>
            </w:r>
            <w:r>
              <w:rPr>
                <w:rFonts w:hint="eastAsia" w:ascii="宋体" w:hAnsi="宋体" w:cs="宋体"/>
                <w:kern w:val="0"/>
              </w:rPr>
              <w:t>17. 尺寸/重量：166.7mm*78mm*15.2mm（高*宽*厚）/&lt;320g(含电池）；</w:t>
            </w:r>
            <w:r>
              <w:rPr>
                <w:rFonts w:hint="eastAsia" w:ascii="宋体" w:hAnsi="宋体" w:cs="宋体"/>
                <w:kern w:val="0"/>
              </w:rPr>
              <w:br w:type="textWrapping"/>
            </w:r>
            <w:r>
              <w:rPr>
                <w:rFonts w:hint="eastAsia" w:ascii="宋体" w:hAnsi="宋体" w:cs="宋体"/>
                <w:kern w:val="0"/>
              </w:rPr>
              <w:t>18. 防护等级：IP68，跌落1.5米；</w:t>
            </w:r>
            <w:r>
              <w:rPr>
                <w:rFonts w:hint="eastAsia" w:ascii="宋体" w:hAnsi="宋体" w:cs="宋体"/>
                <w:kern w:val="0"/>
              </w:rPr>
              <w:br w:type="textWrapping"/>
            </w:r>
            <w:r>
              <w:rPr>
                <w:rFonts w:hint="eastAsia" w:ascii="宋体" w:hAnsi="宋体" w:cs="宋体"/>
                <w:kern w:val="0"/>
              </w:rPr>
              <w:t>19. 外部扩展接口：</w:t>
            </w:r>
            <w:r>
              <w:rPr>
                <w:rFonts w:hint="eastAsia" w:ascii="宋体" w:hAnsi="宋体" w:cs="宋体"/>
                <w:kern w:val="0"/>
              </w:rPr>
              <w:br w:type="textWrapping"/>
            </w:r>
            <w:r>
              <w:rPr>
                <w:rFonts w:hint="eastAsia" w:ascii="宋体" w:hAnsi="宋体" w:cs="宋体"/>
                <w:kern w:val="0"/>
              </w:rPr>
              <w:t>20. 顶部接口：可锁定Type-C，连接头戴式摄像头、肩夹式摄像头；</w:t>
            </w:r>
            <w:r>
              <w:rPr>
                <w:rFonts w:hint="eastAsia" w:ascii="宋体" w:hAnsi="宋体" w:cs="宋体"/>
                <w:kern w:val="0"/>
              </w:rPr>
              <w:br w:type="textWrapping"/>
            </w:r>
            <w:r>
              <w:rPr>
                <w:rFonts w:hint="eastAsia" w:ascii="宋体" w:hAnsi="宋体" w:cs="宋体"/>
                <w:kern w:val="0"/>
              </w:rPr>
              <w:t>21. 背部pogpin接口：8pin，可以连接充电底座，3.5mm耳机接口；</w:t>
            </w:r>
            <w:r>
              <w:rPr>
                <w:rFonts w:hint="eastAsia" w:ascii="宋体" w:hAnsi="宋体" w:cs="宋体"/>
                <w:kern w:val="0"/>
              </w:rPr>
              <w:br w:type="textWrapping"/>
            </w:r>
            <w:r>
              <w:rPr>
                <w:rFonts w:hint="eastAsia" w:ascii="宋体" w:hAnsi="宋体" w:cs="宋体"/>
                <w:kern w:val="0"/>
              </w:rPr>
              <w:t>22. 工作/存储温度：-20℃~+60℃/-30℃~+70℃</w:t>
            </w:r>
            <w:r>
              <w:rPr>
                <w:rFonts w:hint="eastAsia" w:ascii="宋体" w:hAnsi="宋体" w:cs="宋体"/>
                <w:kern w:val="0"/>
              </w:rPr>
              <w:br w:type="textWrapping"/>
            </w:r>
            <w:r>
              <w:rPr>
                <w:rFonts w:hint="eastAsia" w:ascii="宋体" w:hAnsi="宋体" w:cs="宋体"/>
                <w:kern w:val="0"/>
              </w:rPr>
              <w:t>23. 标配配件：电池、充电器、数据线各一个；</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859"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RFID标签</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1.支持国际标准IEC/ISO14443A</w:t>
            </w:r>
            <w:r>
              <w:rPr>
                <w:rFonts w:hint="eastAsia" w:ascii="宋体" w:hAnsi="宋体" w:cs="宋体"/>
                <w:kern w:val="0"/>
              </w:rPr>
              <w:br w:type="textWrapping"/>
            </w:r>
            <w:r>
              <w:rPr>
                <w:rFonts w:hint="eastAsia" w:ascii="宋体" w:hAnsi="宋体" w:cs="宋体"/>
                <w:kern w:val="0"/>
              </w:rPr>
              <w:t>2.13.56MHz工作频段；</w:t>
            </w:r>
            <w:r>
              <w:rPr>
                <w:rFonts w:hint="eastAsia" w:ascii="宋体" w:hAnsi="宋体" w:cs="宋体"/>
                <w:kern w:val="0"/>
              </w:rPr>
              <w:br w:type="textWrapping"/>
            </w:r>
            <w:r>
              <w:rPr>
                <w:rFonts w:hint="eastAsia" w:ascii="宋体" w:hAnsi="宋体" w:cs="宋体"/>
                <w:kern w:val="0"/>
              </w:rPr>
              <w:t>3.读取距离0～3m（与信息采集设备有关）</w:t>
            </w:r>
            <w:r>
              <w:rPr>
                <w:rFonts w:hint="eastAsia" w:ascii="宋体" w:hAnsi="宋体" w:cs="宋体"/>
                <w:kern w:val="0"/>
              </w:rPr>
              <w:br w:type="textWrapping"/>
            </w:r>
            <w:r>
              <w:rPr>
                <w:rFonts w:hint="eastAsia" w:ascii="宋体" w:hAnsi="宋体" w:cs="宋体"/>
                <w:kern w:val="0"/>
              </w:rPr>
              <w:t>4.数据存储时间长达10年</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25</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rPr>
            </w:pPr>
            <w:r>
              <w:rPr>
                <w:rFonts w:hint="eastAsia" w:ascii="宋体" w:hAnsi="宋体" w:cs="宋体"/>
                <w:b/>
                <w:bCs/>
                <w:kern w:val="0"/>
              </w:rPr>
              <w:t>十一、出入口道闸管理系统</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（一）车牌识别系统</w:t>
            </w:r>
          </w:p>
        </w:tc>
      </w:tr>
      <w:tr>
        <w:tblPrEx>
          <w:tblCellMar>
            <w:top w:w="0" w:type="dxa"/>
            <w:left w:w="108" w:type="dxa"/>
            <w:bottom w:w="0" w:type="dxa"/>
            <w:right w:w="108" w:type="dxa"/>
          </w:tblCellMar>
        </w:tblPrEx>
        <w:trPr>
          <w:trHeight w:val="90"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出入口杆式抓拍一体机</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一体化设备，整个设备对外只有1个IP地址；通过客户端自动搜索IP，直接连入以太网络；</w:t>
            </w:r>
            <w:r>
              <w:rPr>
                <w:rFonts w:hint="eastAsia" w:ascii="宋体" w:hAnsi="宋体" w:cs="宋体"/>
                <w:kern w:val="0"/>
              </w:rPr>
              <w:br w:type="textWrapping"/>
            </w:r>
            <w:r>
              <w:rPr>
                <w:rFonts w:hint="eastAsia" w:ascii="宋体" w:hAnsi="宋体" w:cs="宋体"/>
                <w:kern w:val="0"/>
              </w:rPr>
              <w:t>2. 最低照度彩色≤0.001lx，黑白≤0.001lx；最大亮度鉴别等级≥13级；</w:t>
            </w:r>
            <w:r>
              <w:rPr>
                <w:rFonts w:hint="eastAsia" w:ascii="宋体" w:hAnsi="宋体" w:cs="宋体"/>
                <w:kern w:val="0"/>
              </w:rPr>
              <w:br w:type="textWrapping"/>
            </w:r>
            <w:r>
              <w:rPr>
                <w:rFonts w:hint="eastAsia" w:ascii="宋体" w:hAnsi="宋体" w:cs="宋体"/>
                <w:kern w:val="0"/>
              </w:rPr>
              <w:t>3. 内置暖光、红外双光补光灯，支持根据环境亮度自动控制开关或调节补光亮度，降低光污染和功耗；</w:t>
            </w:r>
            <w:r>
              <w:rPr>
                <w:rFonts w:hint="eastAsia" w:ascii="宋体" w:hAnsi="宋体" w:cs="宋体"/>
                <w:kern w:val="0"/>
              </w:rPr>
              <w:br w:type="textWrapping"/>
            </w:r>
            <w:r>
              <w:rPr>
                <w:rFonts w:hint="eastAsia" w:ascii="宋体" w:hAnsi="宋体" w:cs="宋体"/>
                <w:kern w:val="0"/>
              </w:rPr>
              <w:t>4. 支持红、绿、黄三色四行四字高亮显示屏，显示内容支持滚动、截取两种状态，滚动速度界面可设置；LED屏亮度支持根据环境亮度进行自适应调节，并可设置亮度增强值。支持2个屏蔽区域，屏蔽区内车牌和车辆不识别;</w:t>
            </w:r>
            <w:r>
              <w:rPr>
                <w:rFonts w:hint="eastAsia" w:ascii="宋体" w:hAnsi="宋体" w:cs="宋体"/>
                <w:kern w:val="0"/>
              </w:rPr>
              <w:br w:type="textWrapping"/>
            </w:r>
            <w:r>
              <w:rPr>
                <w:rFonts w:hint="eastAsia" w:ascii="宋体" w:hAnsi="宋体" w:cs="宋体"/>
                <w:kern w:val="0"/>
              </w:rPr>
              <w:t>5. LED屏点间距≤ 4mm；支持二维码显示信息功能。</w:t>
            </w:r>
            <w:r>
              <w:rPr>
                <w:rFonts w:hint="eastAsia" w:ascii="宋体" w:hAnsi="宋体" w:cs="宋体"/>
                <w:kern w:val="0"/>
              </w:rPr>
              <w:br w:type="textWrapping"/>
            </w:r>
            <w:r>
              <w:rPr>
                <w:rFonts w:hint="eastAsia" w:ascii="宋体" w:hAnsi="宋体" w:cs="宋体"/>
                <w:kern w:val="0"/>
              </w:rPr>
              <w:t>6. 视频压缩标准支持H.265，H.264，MJPEG; 视频压缩码率32kbps~32Mbps可调;</w:t>
            </w:r>
            <w:r>
              <w:rPr>
                <w:rFonts w:hint="eastAsia" w:ascii="宋体" w:hAnsi="宋体" w:cs="宋体"/>
                <w:kern w:val="0"/>
              </w:rPr>
              <w:br w:type="textWrapping"/>
            </w:r>
            <w:r>
              <w:rPr>
                <w:rFonts w:hint="eastAsia" w:ascii="宋体" w:hAnsi="宋体" w:cs="宋体"/>
                <w:kern w:val="0"/>
              </w:rPr>
              <w:t>7. 支持设置白名单车牌数据库，抓拍的同时输出告警信号，并可联动道闸；支持设置黑名单，抓拍时输出告警。各共支持不小于10000条黑/白名单。;</w:t>
            </w:r>
            <w:r>
              <w:rPr>
                <w:rFonts w:hint="eastAsia" w:ascii="宋体" w:hAnsi="宋体" w:cs="宋体"/>
                <w:kern w:val="0"/>
              </w:rPr>
              <w:br w:type="textWrapping"/>
            </w:r>
            <w:r>
              <w:rPr>
                <w:rFonts w:hint="eastAsia" w:ascii="宋体" w:hAnsi="宋体" w:cs="宋体"/>
                <w:kern w:val="0"/>
              </w:rPr>
              <w:t>8. 支持倾斜车牌识别，水平60度，倾斜30度;支持污损车牌、遮挡车牌识别;</w:t>
            </w:r>
            <w:r>
              <w:rPr>
                <w:rFonts w:hint="eastAsia" w:ascii="宋体" w:hAnsi="宋体" w:cs="宋体"/>
                <w:kern w:val="0"/>
              </w:rPr>
              <w:br w:type="textWrapping"/>
            </w:r>
            <w:r>
              <w:rPr>
                <w:rFonts w:hint="eastAsia" w:ascii="宋体" w:hAnsi="宋体" w:cs="宋体"/>
                <w:kern w:val="0"/>
              </w:rPr>
              <w:t>9. 支持车标识别、车型识别功能，在天气晴朗无雾，车牌无遮挡，无污损，车身无大面积遮挡的条件下进项测试，白天测试时的环境光照度应不低于200lx，晚上测试时的辅助设备照明度应不高于100lx。车标识别率≥99%，车型识别率≥99%；</w:t>
            </w:r>
            <w:r>
              <w:rPr>
                <w:rFonts w:hint="eastAsia" w:ascii="宋体" w:hAnsi="宋体" w:cs="宋体"/>
                <w:kern w:val="0"/>
              </w:rPr>
              <w:br w:type="textWrapping"/>
            </w:r>
            <w:r>
              <w:rPr>
                <w:rFonts w:hint="eastAsia" w:ascii="宋体" w:hAnsi="宋体" w:cs="宋体"/>
                <w:kern w:val="0"/>
              </w:rPr>
              <w:t>10. 支持根据相机内部温度及设定阈值，自动开启玻璃加热；支持获取道闸运行状态、工作状态、道闸运行次数、设备型号和故障代码；</w:t>
            </w:r>
            <w:r>
              <w:rPr>
                <w:rFonts w:hint="eastAsia" w:ascii="宋体" w:hAnsi="宋体" w:cs="宋体"/>
                <w:kern w:val="0"/>
              </w:rPr>
              <w:br w:type="textWrapping"/>
            </w:r>
            <w:r>
              <w:rPr>
                <w:rFonts w:hint="eastAsia" w:ascii="宋体" w:hAnsi="宋体" w:cs="宋体"/>
                <w:kern w:val="0"/>
              </w:rPr>
              <w:t>11. 支持日志查询，支持时间日期参数设置，支持用户管理功能，可添加、修改、删除用户参数，设置用户权限，支持恢复设备出厂设置功能，支持设备自动维护功能，用户可设置自动维护的时间，支持网络升级功能，可通过网络直接升级设备，升级过程遇到异常掉电，上电后系统可自动恢复，支持用户远程重启设备功能，用户可远程软重启设备;</w:t>
            </w:r>
            <w:r>
              <w:rPr>
                <w:rFonts w:hint="eastAsia" w:ascii="宋体" w:hAnsi="宋体" w:cs="宋体"/>
                <w:kern w:val="0"/>
              </w:rPr>
              <w:br w:type="textWrapping"/>
            </w:r>
            <w:r>
              <w:rPr>
                <w:rFonts w:hint="eastAsia" w:ascii="宋体" w:hAnsi="宋体" w:cs="宋体"/>
                <w:kern w:val="0"/>
              </w:rPr>
              <w:t>12. 内置喇叭，输出音量可调节0~100级可调，语速0~100级可调，发音人员男女音可配;</w:t>
            </w:r>
            <w:r>
              <w:rPr>
                <w:rFonts w:hint="eastAsia" w:ascii="宋体" w:hAnsi="宋体" w:cs="宋体"/>
                <w:kern w:val="0"/>
              </w:rPr>
              <w:br w:type="textWrapping"/>
            </w:r>
            <w:r>
              <w:rPr>
                <w:rFonts w:hint="eastAsia" w:ascii="宋体" w:hAnsi="宋体" w:cs="宋体"/>
                <w:kern w:val="0"/>
              </w:rPr>
              <w:t>13. 支持登陆web客户端即可完成相机、LED显示屏显示、补光、语音播报等功能调试配置；</w:t>
            </w:r>
            <w:r>
              <w:rPr>
                <w:rFonts w:hint="eastAsia" w:ascii="宋体" w:hAnsi="宋体" w:cs="宋体"/>
                <w:kern w:val="0"/>
              </w:rPr>
              <w:br w:type="textWrapping"/>
            </w:r>
            <w:r>
              <w:rPr>
                <w:rFonts w:hint="eastAsia" w:ascii="宋体" w:hAnsi="宋体" w:cs="宋体"/>
                <w:kern w:val="0"/>
              </w:rPr>
              <w:t>14. 具有1路100M网络接口，1路RS485接口， 1路TF卡接口，1路报警输入，2路报警输出，2路IO输入</w:t>
            </w:r>
            <w:r>
              <w:rPr>
                <w:rFonts w:hint="eastAsia" w:ascii="宋体" w:hAnsi="宋体" w:cs="宋体"/>
                <w:kern w:val="0"/>
              </w:rPr>
              <w:br w:type="textWrapping"/>
            </w:r>
            <w:r>
              <w:rPr>
                <w:rFonts w:hint="eastAsia" w:ascii="宋体" w:hAnsi="宋体" w:cs="宋体"/>
                <w:kern w:val="0"/>
              </w:rPr>
              <w:t>15. 防护等级≥IP54。</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2577"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直臂道闸</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1.适用于日均车流量≤2000辆场景</w:t>
            </w:r>
            <w:r>
              <w:rPr>
                <w:rFonts w:hint="eastAsia" w:ascii="宋体" w:hAnsi="宋体" w:cs="宋体"/>
                <w:kern w:val="0"/>
              </w:rPr>
              <w:br w:type="textWrapping"/>
            </w:r>
            <w:r>
              <w:rPr>
                <w:rFonts w:hint="eastAsia" w:ascii="宋体" w:hAnsi="宋体" w:cs="宋体"/>
                <w:kern w:val="0"/>
              </w:rPr>
              <w:t>2.左机右向直杆道闸，箱体采用钣金设计；</w:t>
            </w:r>
            <w:r>
              <w:rPr>
                <w:rFonts w:hint="eastAsia" w:ascii="宋体" w:hAnsi="宋体" w:cs="宋体"/>
                <w:kern w:val="0"/>
              </w:rPr>
              <w:br w:type="textWrapping"/>
            </w:r>
            <w:r>
              <w:rPr>
                <w:rFonts w:hint="eastAsia" w:ascii="宋体" w:hAnsi="宋体" w:cs="宋体"/>
                <w:kern w:val="0"/>
              </w:rPr>
              <w:t>3.支持直臂杆长6米，自带防砸胶条，起杆速度4秒；</w:t>
            </w:r>
            <w:r>
              <w:rPr>
                <w:rFonts w:hint="eastAsia" w:ascii="宋体" w:hAnsi="宋体" w:cs="宋体"/>
                <w:kern w:val="0"/>
              </w:rPr>
              <w:br w:type="textWrapping"/>
            </w:r>
            <w:r>
              <w:rPr>
                <w:rFonts w:hint="eastAsia" w:ascii="宋体" w:hAnsi="宋体" w:cs="宋体"/>
                <w:kern w:val="0"/>
              </w:rPr>
              <w:t>4.断电抬杆功能，停电时，栏杆臂会自动抬起；</w:t>
            </w:r>
            <w:r>
              <w:rPr>
                <w:rFonts w:hint="eastAsia" w:ascii="宋体" w:hAnsi="宋体" w:cs="宋体"/>
                <w:kern w:val="0"/>
              </w:rPr>
              <w:br w:type="textWrapping"/>
            </w:r>
            <w:r>
              <w:rPr>
                <w:rFonts w:hint="eastAsia" w:ascii="宋体" w:hAnsi="宋体" w:cs="宋体"/>
                <w:kern w:val="0"/>
              </w:rPr>
              <w:t>5.长寿命无刷直流伺服变频电机，寿命500万次以上；</w:t>
            </w:r>
            <w:r>
              <w:rPr>
                <w:rFonts w:hint="eastAsia" w:ascii="宋体" w:hAnsi="宋体" w:cs="宋体"/>
                <w:kern w:val="0"/>
              </w:rPr>
              <w:br w:type="textWrapping"/>
            </w:r>
            <w:r>
              <w:rPr>
                <w:rFonts w:hint="eastAsia" w:ascii="宋体" w:hAnsi="宋体" w:cs="宋体"/>
                <w:kern w:val="0"/>
              </w:rPr>
              <w:t>6.弹簧寿命，100万次；</w:t>
            </w:r>
            <w:r>
              <w:rPr>
                <w:rFonts w:hint="eastAsia" w:ascii="宋体" w:hAnsi="宋体" w:cs="宋体"/>
                <w:kern w:val="0"/>
              </w:rPr>
              <w:br w:type="textWrapping"/>
            </w:r>
            <w:r>
              <w:rPr>
                <w:rFonts w:hint="eastAsia" w:ascii="宋体" w:hAnsi="宋体" w:cs="宋体"/>
                <w:kern w:val="0"/>
              </w:rPr>
              <w:t>7.支持外接雷达、线圈、红外防砸功能；</w:t>
            </w:r>
            <w:r>
              <w:rPr>
                <w:rFonts w:hint="eastAsia" w:ascii="宋体" w:hAnsi="宋体" w:cs="宋体"/>
                <w:kern w:val="0"/>
              </w:rPr>
              <w:br w:type="textWrapping"/>
            </w:r>
            <w:r>
              <w:rPr>
                <w:rFonts w:hint="eastAsia" w:ascii="宋体" w:hAnsi="宋体" w:cs="宋体"/>
                <w:kern w:val="0"/>
              </w:rPr>
              <w:t>8.支持遥控远程控制，最大距离50米；</w:t>
            </w:r>
            <w:r>
              <w:rPr>
                <w:rFonts w:hint="eastAsia" w:ascii="宋体" w:hAnsi="宋体" w:cs="宋体"/>
                <w:kern w:val="0"/>
              </w:rPr>
              <w:br w:type="textWrapping"/>
            </w:r>
            <w:r>
              <w:rPr>
                <w:rFonts w:hint="eastAsia" w:ascii="宋体" w:hAnsi="宋体" w:cs="宋体"/>
                <w:kern w:val="0"/>
              </w:rPr>
              <w:t>9.工作温度：-40℃ ~ 70℃ ；</w:t>
            </w:r>
            <w:r>
              <w:rPr>
                <w:rFonts w:hint="eastAsia" w:ascii="宋体" w:hAnsi="宋体" w:cs="宋体"/>
                <w:kern w:val="0"/>
              </w:rPr>
              <w:br w:type="textWrapping"/>
            </w:r>
            <w:r>
              <w:rPr>
                <w:rFonts w:hint="eastAsia" w:ascii="宋体" w:hAnsi="宋体" w:cs="宋体"/>
                <w:kern w:val="0"/>
              </w:rPr>
              <w:t>10.工作电压：AC 186 ~ 264V ；</w:t>
            </w:r>
            <w:r>
              <w:rPr>
                <w:rFonts w:hint="eastAsia" w:ascii="宋体" w:hAnsi="宋体" w:cs="宋体"/>
                <w:kern w:val="0"/>
              </w:rPr>
              <w:br w:type="textWrapping"/>
            </w:r>
            <w:r>
              <w:rPr>
                <w:rFonts w:hint="eastAsia" w:ascii="宋体" w:hAnsi="宋体" w:cs="宋体"/>
                <w:kern w:val="0"/>
              </w:rPr>
              <w:t>11. 工作功率：75W；</w:t>
            </w:r>
            <w:r>
              <w:rPr>
                <w:rFonts w:hint="eastAsia" w:ascii="宋体" w:hAnsi="宋体" w:cs="宋体"/>
                <w:kern w:val="0"/>
              </w:rPr>
              <w:br w:type="textWrapping"/>
            </w:r>
            <w:r>
              <w:rPr>
                <w:rFonts w:hint="eastAsia" w:ascii="宋体" w:hAnsi="宋体" w:cs="宋体"/>
                <w:kern w:val="0"/>
              </w:rPr>
              <w:t>12. 防护等级：IP54；</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859"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3</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道闸配杆</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1、直臂杆，左右向通用，总杆长≥6米；</w:t>
            </w:r>
            <w:r>
              <w:rPr>
                <w:rFonts w:hint="eastAsia" w:ascii="宋体" w:hAnsi="宋体" w:cs="宋体"/>
                <w:kern w:val="0"/>
              </w:rPr>
              <w:br w:type="textWrapping"/>
            </w:r>
            <w:r>
              <w:rPr>
                <w:rFonts w:hint="eastAsia" w:ascii="宋体" w:hAnsi="宋体" w:cs="宋体"/>
                <w:kern w:val="0"/>
              </w:rPr>
              <w:t>2、杆子为高强度铝合金；</w:t>
            </w:r>
            <w:r>
              <w:rPr>
                <w:rFonts w:hint="eastAsia" w:ascii="宋体" w:hAnsi="宋体" w:cs="宋体"/>
                <w:kern w:val="0"/>
              </w:rPr>
              <w:br w:type="textWrapping"/>
            </w:r>
            <w:r>
              <w:rPr>
                <w:rFonts w:hint="eastAsia" w:ascii="宋体" w:hAnsi="宋体" w:cs="宋体"/>
                <w:kern w:val="0"/>
              </w:rPr>
              <w:t>3、杆子底部带空心弹性防砸胶条；</w:t>
            </w:r>
            <w:r>
              <w:rPr>
                <w:rFonts w:hint="eastAsia" w:ascii="宋体" w:hAnsi="宋体" w:cs="宋体"/>
                <w:kern w:val="0"/>
              </w:rPr>
              <w:br w:type="textWrapping"/>
            </w:r>
            <w:r>
              <w:rPr>
                <w:rFonts w:hint="eastAsia" w:ascii="宋体" w:hAnsi="宋体" w:cs="宋体"/>
                <w:kern w:val="0"/>
              </w:rPr>
              <w:t>4、白色杆子表面贴红色反光膜；</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1074"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4</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79G出入口防砸雷达</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1、支持（直杆、曲臂、栅栏、广告）道闸应用场景；</w:t>
            </w:r>
            <w:r>
              <w:rPr>
                <w:rFonts w:hint="eastAsia" w:ascii="宋体" w:hAnsi="宋体" w:cs="宋体"/>
                <w:kern w:val="0"/>
              </w:rPr>
              <w:br w:type="textWrapping"/>
            </w:r>
            <w:r>
              <w:rPr>
                <w:rFonts w:hint="eastAsia" w:ascii="宋体" w:hAnsi="宋体" w:cs="宋体"/>
                <w:kern w:val="0"/>
              </w:rPr>
              <w:t>2、支持串口和手机WIFI调试和设置；</w:t>
            </w:r>
            <w:r>
              <w:rPr>
                <w:rFonts w:hint="eastAsia" w:ascii="宋体" w:hAnsi="宋体" w:cs="宋体"/>
                <w:kern w:val="0"/>
              </w:rPr>
              <w:br w:type="textWrapping"/>
            </w:r>
            <w:r>
              <w:rPr>
                <w:rFonts w:hint="eastAsia" w:ascii="宋体" w:hAnsi="宋体" w:cs="宋体"/>
                <w:kern w:val="0"/>
              </w:rPr>
              <w:t>3、支持虚警点检测及剔除</w:t>
            </w:r>
            <w:r>
              <w:rPr>
                <w:rFonts w:hint="eastAsia" w:ascii="宋体" w:hAnsi="宋体" w:cs="宋体"/>
                <w:kern w:val="0"/>
              </w:rPr>
              <w:br w:type="textWrapping"/>
            </w:r>
            <w:r>
              <w:rPr>
                <w:rFonts w:hint="eastAsia" w:ascii="宋体" w:hAnsi="宋体" w:cs="宋体"/>
                <w:kern w:val="0"/>
              </w:rPr>
              <w:t>4、支持通过485连接相机读取雷达设置参数及雷达日志记录</w:t>
            </w:r>
            <w:r>
              <w:rPr>
                <w:rFonts w:hint="eastAsia" w:ascii="宋体" w:hAnsi="宋体" w:cs="宋体"/>
                <w:kern w:val="0"/>
              </w:rPr>
              <w:br w:type="textWrapping"/>
            </w:r>
            <w:r>
              <w:rPr>
                <w:rFonts w:hint="eastAsia" w:ascii="宋体" w:hAnsi="宋体" w:cs="宋体"/>
                <w:kern w:val="0"/>
              </w:rPr>
              <w:t>5、支持在线升级程序</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5</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桌面式电源适配器</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1.AC220V转DC12V电源适配器，支持短路、过载、过压保护</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1718"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6</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出入口管理终端</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1.产品采用Intel 4305UE处理器，标配4G内存、M.2接口256G固态硬盘，可用存储容量230G；</w:t>
            </w:r>
            <w:r>
              <w:rPr>
                <w:rFonts w:hint="eastAsia" w:ascii="宋体" w:hAnsi="宋体" w:cs="宋体"/>
                <w:kern w:val="0"/>
              </w:rPr>
              <w:br w:type="textWrapping"/>
            </w:r>
            <w:r>
              <w:rPr>
                <w:rFonts w:hint="eastAsia" w:ascii="宋体" w:hAnsi="宋体" w:cs="宋体"/>
                <w:kern w:val="0"/>
              </w:rPr>
              <w:t>2.预留DDR内存卡槽、2.5寸硬盘SATA接口可扩展；</w:t>
            </w:r>
            <w:r>
              <w:rPr>
                <w:rFonts w:hint="eastAsia" w:ascii="宋体" w:hAnsi="宋体" w:cs="宋体"/>
                <w:kern w:val="0"/>
              </w:rPr>
              <w:br w:type="textWrapping"/>
            </w:r>
            <w:r>
              <w:rPr>
                <w:rFonts w:hint="eastAsia" w:ascii="宋体" w:hAnsi="宋体" w:cs="宋体"/>
                <w:kern w:val="0"/>
              </w:rPr>
              <w:t>3.内置加密狗，支持添加2万条白名单，支持同步下发相机，支持按次收费、按时收费、按时段收费、按日夜收费、分时收费；</w:t>
            </w:r>
            <w:r>
              <w:rPr>
                <w:rFonts w:hint="eastAsia" w:ascii="宋体" w:hAnsi="宋体" w:cs="宋体"/>
                <w:kern w:val="0"/>
              </w:rPr>
              <w:br w:type="textWrapping"/>
            </w:r>
            <w:r>
              <w:rPr>
                <w:rFonts w:hint="eastAsia" w:ascii="宋体" w:hAnsi="宋体" w:cs="宋体"/>
                <w:kern w:val="0"/>
              </w:rPr>
              <w:t>4.支持5类车类：免费车、月租车、储值车、临时车和VIP车，支持3种车型：黄牌、蓝牌和绿牌；</w:t>
            </w:r>
            <w:r>
              <w:rPr>
                <w:rFonts w:hint="eastAsia" w:ascii="宋体" w:hAnsi="宋体" w:cs="宋体"/>
                <w:kern w:val="0"/>
              </w:rPr>
              <w:br w:type="textWrapping"/>
            </w:r>
            <w:r>
              <w:rPr>
                <w:rFonts w:hint="eastAsia" w:ascii="宋体" w:hAnsi="宋体" w:cs="宋体"/>
                <w:kern w:val="0"/>
              </w:rPr>
              <w:t>5.单台最大支持4车道（1进3出、2进2出、3进1出），支持5台级联；</w:t>
            </w:r>
            <w:r>
              <w:rPr>
                <w:rFonts w:hint="eastAsia" w:ascii="宋体" w:hAnsi="宋体" w:cs="宋体"/>
                <w:kern w:val="0"/>
              </w:rPr>
              <w:br w:type="textWrapping"/>
            </w:r>
            <w:r>
              <w:rPr>
                <w:rFonts w:hint="eastAsia" w:ascii="宋体" w:hAnsi="宋体" w:cs="宋体"/>
                <w:kern w:val="0"/>
              </w:rPr>
              <w:t>6.支持2/4车道监控，岗亭收费、异常放行；</w:t>
            </w:r>
            <w:r>
              <w:rPr>
                <w:rFonts w:hint="eastAsia" w:ascii="宋体" w:hAnsi="宋体" w:cs="宋体"/>
                <w:kern w:val="0"/>
              </w:rPr>
              <w:br w:type="textWrapping"/>
            </w:r>
            <w:r>
              <w:rPr>
                <w:rFonts w:hint="eastAsia" w:ascii="宋体" w:hAnsi="宋体" w:cs="宋体"/>
                <w:kern w:val="0"/>
              </w:rPr>
              <w:t>7.外部接口：4个USB3.0接口、1个VGA、1个HDMI、1路音频输入、1路音频输出，双网卡设计，8口千兆交换机，1个电源开关按键；</w:t>
            </w:r>
            <w:r>
              <w:rPr>
                <w:rFonts w:hint="eastAsia" w:ascii="宋体" w:hAnsi="宋体" w:cs="宋体"/>
                <w:kern w:val="0"/>
              </w:rPr>
              <w:br w:type="textWrapping"/>
            </w:r>
            <w:r>
              <w:rPr>
                <w:rFonts w:hint="eastAsia" w:ascii="宋体" w:hAnsi="宋体" w:cs="宋体"/>
                <w:kern w:val="0"/>
              </w:rPr>
              <w:t>8.采用无风扇、低功耗设计。</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3651"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7</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高清车牌识别摄像机</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1.传感器类型：1/3英寸CMOS；</w:t>
            </w:r>
            <w:r>
              <w:rPr>
                <w:rFonts w:hint="eastAsia" w:ascii="宋体" w:hAnsi="宋体" w:cs="宋体"/>
                <w:kern w:val="0"/>
              </w:rPr>
              <w:br w:type="textWrapping"/>
            </w:r>
            <w:r>
              <w:rPr>
                <w:rFonts w:hint="eastAsia" w:ascii="宋体" w:hAnsi="宋体" w:cs="宋体"/>
                <w:kern w:val="0"/>
              </w:rPr>
              <w:t>2.镜头：标配4mm定焦镜头；</w:t>
            </w:r>
            <w:r>
              <w:rPr>
                <w:rFonts w:hint="eastAsia" w:ascii="宋体" w:hAnsi="宋体" w:cs="宋体"/>
                <w:kern w:val="0"/>
              </w:rPr>
              <w:br w:type="textWrapping"/>
            </w:r>
            <w:r>
              <w:rPr>
                <w:rFonts w:hint="eastAsia" w:ascii="宋体" w:hAnsi="宋体" w:cs="宋体"/>
                <w:kern w:val="0"/>
              </w:rPr>
              <w:t>3.图像分辨率：2304×1296（不包含OSD黑边）；</w:t>
            </w:r>
            <w:r>
              <w:rPr>
                <w:rFonts w:hint="eastAsia" w:ascii="宋体" w:hAnsi="宋体" w:cs="宋体"/>
                <w:kern w:val="0"/>
              </w:rPr>
              <w:br w:type="textWrapping"/>
            </w:r>
            <w:r>
              <w:rPr>
                <w:rFonts w:hint="eastAsia" w:ascii="宋体" w:hAnsi="宋体" w:cs="宋体"/>
                <w:kern w:val="0"/>
              </w:rPr>
              <w:t>4.视频分辨率：主码流：1080P（1920×1080）/720P（1280×720）辅码流：720P（1280×720）/D1（704× 576）；</w:t>
            </w:r>
            <w:r>
              <w:rPr>
                <w:rFonts w:hint="eastAsia" w:ascii="宋体" w:hAnsi="宋体" w:cs="宋体"/>
                <w:kern w:val="0"/>
              </w:rPr>
              <w:br w:type="textWrapping"/>
            </w:r>
            <w:r>
              <w:rPr>
                <w:rFonts w:hint="eastAsia" w:ascii="宋体" w:hAnsi="宋体" w:cs="宋体"/>
                <w:kern w:val="0"/>
              </w:rPr>
              <w:t>5.抓拍距离：3~6m；</w:t>
            </w:r>
            <w:r>
              <w:rPr>
                <w:rFonts w:hint="eastAsia" w:ascii="宋体" w:hAnsi="宋体" w:cs="宋体"/>
                <w:kern w:val="0"/>
              </w:rPr>
              <w:br w:type="textWrapping"/>
            </w:r>
            <w:r>
              <w:rPr>
                <w:rFonts w:hint="eastAsia" w:ascii="宋体" w:hAnsi="宋体" w:cs="宋体"/>
                <w:kern w:val="0"/>
              </w:rPr>
              <w:t>6.最大补光距离：8m；</w:t>
            </w:r>
            <w:r>
              <w:rPr>
                <w:rFonts w:hint="eastAsia" w:ascii="宋体" w:hAnsi="宋体" w:cs="宋体"/>
                <w:kern w:val="0"/>
              </w:rPr>
              <w:br w:type="textWrapping"/>
            </w:r>
            <w:r>
              <w:rPr>
                <w:rFonts w:hint="eastAsia" w:ascii="宋体" w:hAnsi="宋体" w:cs="宋体"/>
                <w:kern w:val="0"/>
              </w:rPr>
              <w:t>7.触发方式：支持视频检测、I/O线圈、雷达三种触发方式；</w:t>
            </w:r>
            <w:r>
              <w:rPr>
                <w:rFonts w:hint="eastAsia" w:ascii="宋体" w:hAnsi="宋体" w:cs="宋体"/>
                <w:kern w:val="0"/>
              </w:rPr>
              <w:br w:type="textWrapping"/>
            </w:r>
            <w:r>
              <w:rPr>
                <w:rFonts w:hint="eastAsia" w:ascii="宋体" w:hAnsi="宋体" w:cs="宋体"/>
                <w:kern w:val="0"/>
              </w:rPr>
              <w:t>8.报警事件：支持无存储卡、存储卡空间不足、存储卡出错、网络断开、IP冲突、非法访问等状况报警；</w:t>
            </w:r>
            <w:r>
              <w:rPr>
                <w:rFonts w:hint="eastAsia" w:ascii="宋体" w:hAnsi="宋体" w:cs="宋体"/>
                <w:kern w:val="0"/>
              </w:rPr>
              <w:br w:type="textWrapping"/>
            </w:r>
            <w:r>
              <w:rPr>
                <w:rFonts w:hint="eastAsia" w:ascii="宋体" w:hAnsi="宋体" w:cs="宋体"/>
                <w:kern w:val="0"/>
              </w:rPr>
              <w:t>9.车辆检测：车辆捕获率≥99.9%；</w:t>
            </w:r>
            <w:r>
              <w:rPr>
                <w:rFonts w:hint="eastAsia" w:ascii="宋体" w:hAnsi="宋体" w:cs="宋体"/>
                <w:kern w:val="0"/>
              </w:rPr>
              <w:br w:type="textWrapping"/>
            </w:r>
            <w:r>
              <w:rPr>
                <w:rFonts w:hint="eastAsia" w:ascii="宋体" w:hAnsi="宋体" w:cs="宋体"/>
                <w:kern w:val="0"/>
              </w:rPr>
              <w:t>10.车辆识别：支持车型、车标、车系、车身颜色、车牌颜色、车牌号码、车牌类型、无牌车、新能源车牌11.识别车牌识别率≥99.9%；</w:t>
            </w:r>
            <w:r>
              <w:rPr>
                <w:rFonts w:hint="eastAsia" w:ascii="宋体" w:hAnsi="宋体" w:cs="宋体"/>
                <w:kern w:val="0"/>
              </w:rPr>
              <w:br w:type="textWrapping"/>
            </w:r>
            <w:r>
              <w:rPr>
                <w:rFonts w:hint="eastAsia" w:ascii="宋体" w:hAnsi="宋体" w:cs="宋体"/>
                <w:kern w:val="0"/>
              </w:rPr>
              <w:t>12.视频结构化：支持；</w:t>
            </w:r>
            <w:r>
              <w:rPr>
                <w:rFonts w:hint="eastAsia" w:ascii="宋体" w:hAnsi="宋体" w:cs="宋体"/>
                <w:kern w:val="0"/>
              </w:rPr>
              <w:br w:type="textWrapping"/>
            </w:r>
            <w:r>
              <w:rPr>
                <w:rFonts w:hint="eastAsia" w:ascii="宋体" w:hAnsi="宋体" w:cs="宋体"/>
                <w:kern w:val="0"/>
              </w:rPr>
              <w:t>13.智能轨迹帧：支持智能帧显示，可显示车牌和车辆行驶轨迹；</w:t>
            </w:r>
            <w:r>
              <w:rPr>
                <w:rFonts w:hint="eastAsia" w:ascii="宋体" w:hAnsi="宋体" w:cs="宋体"/>
                <w:kern w:val="0"/>
              </w:rPr>
              <w:br w:type="textWrapping"/>
            </w:r>
            <w:r>
              <w:rPr>
                <w:rFonts w:hint="eastAsia" w:ascii="宋体" w:hAnsi="宋体" w:cs="宋体"/>
                <w:kern w:val="0"/>
              </w:rPr>
              <w:t>14.显示屏：LED屏（支持红色、绿色、黄色三色显示）；</w:t>
            </w:r>
            <w:r>
              <w:rPr>
                <w:rFonts w:hint="eastAsia" w:ascii="宋体" w:hAnsi="宋体" w:cs="宋体"/>
                <w:kern w:val="0"/>
              </w:rPr>
              <w:br w:type="textWrapping"/>
            </w:r>
            <w:r>
              <w:rPr>
                <w:rFonts w:hint="eastAsia" w:ascii="宋体" w:hAnsi="宋体" w:cs="宋体"/>
                <w:kern w:val="0"/>
              </w:rPr>
              <w:t>15.显示屏尺寸：304mm×304mm（长×宽）；</w:t>
            </w:r>
            <w:r>
              <w:rPr>
                <w:rFonts w:hint="eastAsia" w:ascii="宋体" w:hAnsi="宋体" w:cs="宋体"/>
                <w:kern w:val="0"/>
              </w:rPr>
              <w:br w:type="textWrapping"/>
            </w:r>
            <w:r>
              <w:rPr>
                <w:rFonts w:hint="eastAsia" w:ascii="宋体" w:hAnsi="宋体" w:cs="宋体"/>
                <w:kern w:val="0"/>
              </w:rPr>
              <w:t>16.显示内容：支持车牌、用户类型、收费金额、停车时长、自定义等信息显示；</w:t>
            </w:r>
            <w:r>
              <w:rPr>
                <w:rFonts w:hint="eastAsia" w:ascii="宋体" w:hAnsi="宋体" w:cs="宋体"/>
                <w:kern w:val="0"/>
              </w:rPr>
              <w:br w:type="textWrapping"/>
            </w:r>
            <w:r>
              <w:rPr>
                <w:rFonts w:hint="eastAsia" w:ascii="宋体" w:hAnsi="宋体" w:cs="宋体"/>
                <w:kern w:val="0"/>
              </w:rPr>
              <w:t>17.支持语音功能</w:t>
            </w:r>
            <w:r>
              <w:rPr>
                <w:rFonts w:hint="eastAsia" w:ascii="宋体" w:hAnsi="宋体" w:cs="宋体"/>
                <w:kern w:val="0"/>
              </w:rPr>
              <w:br w:type="textWrapping"/>
            </w:r>
            <w:r>
              <w:rPr>
                <w:rFonts w:hint="eastAsia" w:ascii="宋体" w:hAnsi="宋体" w:cs="宋体"/>
                <w:kern w:val="0"/>
              </w:rPr>
              <w:t>18.供电方式：AC220V</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8</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光感应自动补光灯</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1.常亮补光灯-平均功率10W</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（二）摩托车进出闸机系统</w:t>
            </w:r>
          </w:p>
        </w:tc>
      </w:tr>
      <w:tr>
        <w:tblPrEx>
          <w:tblCellMar>
            <w:top w:w="0" w:type="dxa"/>
            <w:left w:w="108" w:type="dxa"/>
            <w:bottom w:w="0" w:type="dxa"/>
            <w:right w:w="108" w:type="dxa"/>
          </w:tblCellMar>
        </w:tblPrEx>
        <w:trPr>
          <w:trHeight w:val="472"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直臂道闸</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1.适用于日均车流量≤2000辆场景</w:t>
            </w:r>
            <w:r>
              <w:rPr>
                <w:rFonts w:hint="eastAsia" w:ascii="宋体" w:hAnsi="宋体" w:cs="宋体"/>
                <w:kern w:val="0"/>
              </w:rPr>
              <w:br w:type="textWrapping"/>
            </w:r>
            <w:r>
              <w:rPr>
                <w:rFonts w:hint="eastAsia" w:ascii="宋体" w:hAnsi="宋体" w:cs="宋体"/>
                <w:kern w:val="0"/>
              </w:rPr>
              <w:t>2.左机右向直杆道闸，箱体采用钣金设计；</w:t>
            </w:r>
            <w:r>
              <w:rPr>
                <w:rFonts w:hint="eastAsia" w:ascii="宋体" w:hAnsi="宋体" w:cs="宋体"/>
                <w:kern w:val="0"/>
              </w:rPr>
              <w:br w:type="textWrapping"/>
            </w:r>
            <w:r>
              <w:rPr>
                <w:rFonts w:hint="eastAsia" w:ascii="宋体" w:hAnsi="宋体" w:cs="宋体"/>
                <w:kern w:val="0"/>
              </w:rPr>
              <w:t>3.支持直臂杆长4米，自带防砸胶条，起杆速度2秒；</w:t>
            </w:r>
            <w:r>
              <w:rPr>
                <w:rFonts w:hint="eastAsia" w:ascii="宋体" w:hAnsi="宋体" w:cs="宋体"/>
                <w:kern w:val="0"/>
              </w:rPr>
              <w:br w:type="textWrapping"/>
            </w:r>
            <w:r>
              <w:rPr>
                <w:rFonts w:hint="eastAsia" w:ascii="宋体" w:hAnsi="宋体" w:cs="宋体"/>
                <w:kern w:val="0"/>
              </w:rPr>
              <w:t>4.支持防撞功能，栏杆臂与闸机主轴间装有回转装置，在栏杆臂受撞击时可转开；</w:t>
            </w:r>
            <w:r>
              <w:rPr>
                <w:rFonts w:hint="eastAsia" w:ascii="宋体" w:hAnsi="宋体" w:cs="宋体"/>
                <w:kern w:val="0"/>
              </w:rPr>
              <w:br w:type="textWrapping"/>
            </w:r>
            <w:r>
              <w:rPr>
                <w:rFonts w:hint="eastAsia" w:ascii="宋体" w:hAnsi="宋体" w:cs="宋体"/>
                <w:kern w:val="0"/>
              </w:rPr>
              <w:t>5.断电抬杆功能，停电时，栏杆臂会自动抬起；</w:t>
            </w:r>
            <w:r>
              <w:rPr>
                <w:rFonts w:hint="eastAsia" w:ascii="宋体" w:hAnsi="宋体" w:cs="宋体"/>
                <w:kern w:val="0"/>
              </w:rPr>
              <w:br w:type="textWrapping"/>
            </w:r>
            <w:r>
              <w:rPr>
                <w:rFonts w:hint="eastAsia" w:ascii="宋体" w:hAnsi="宋体" w:cs="宋体"/>
                <w:kern w:val="0"/>
              </w:rPr>
              <w:t>6.长寿命无刷直流伺服变频电机，寿命500万次以上；</w:t>
            </w:r>
            <w:r>
              <w:rPr>
                <w:rFonts w:hint="eastAsia" w:ascii="宋体" w:hAnsi="宋体" w:cs="宋体"/>
                <w:kern w:val="0"/>
              </w:rPr>
              <w:br w:type="textWrapping"/>
            </w:r>
            <w:r>
              <w:rPr>
                <w:rFonts w:hint="eastAsia" w:ascii="宋体" w:hAnsi="宋体" w:cs="宋体"/>
                <w:kern w:val="0"/>
              </w:rPr>
              <w:t>7.弹簧寿命≥100万次；</w:t>
            </w:r>
            <w:r>
              <w:rPr>
                <w:rFonts w:hint="eastAsia" w:ascii="宋体" w:hAnsi="宋体" w:cs="宋体"/>
                <w:kern w:val="0"/>
              </w:rPr>
              <w:br w:type="textWrapping"/>
            </w:r>
            <w:r>
              <w:rPr>
                <w:rFonts w:hint="eastAsia" w:ascii="宋体" w:hAnsi="宋体" w:cs="宋体"/>
                <w:kern w:val="0"/>
              </w:rPr>
              <w:t>8.支持外接雷达、线圈、红外防砸功能；</w:t>
            </w:r>
            <w:r>
              <w:rPr>
                <w:rFonts w:hint="eastAsia" w:ascii="宋体" w:hAnsi="宋体" w:cs="宋体"/>
                <w:kern w:val="0"/>
              </w:rPr>
              <w:br w:type="textWrapping"/>
            </w:r>
            <w:r>
              <w:rPr>
                <w:rFonts w:hint="eastAsia" w:ascii="宋体" w:hAnsi="宋体" w:cs="宋体"/>
                <w:kern w:val="0"/>
              </w:rPr>
              <w:t>9.支持遥控远程控制，最大距离50米；</w:t>
            </w:r>
            <w:r>
              <w:rPr>
                <w:rFonts w:hint="eastAsia" w:ascii="宋体" w:hAnsi="宋体" w:cs="宋体"/>
                <w:kern w:val="0"/>
              </w:rPr>
              <w:br w:type="textWrapping"/>
            </w:r>
            <w:r>
              <w:rPr>
                <w:rFonts w:hint="eastAsia" w:ascii="宋体" w:hAnsi="宋体" w:cs="宋体"/>
                <w:kern w:val="0"/>
              </w:rPr>
              <w:t>10.工作温度：-40℃ ~ 70℃ ；</w:t>
            </w:r>
            <w:r>
              <w:rPr>
                <w:rFonts w:hint="eastAsia" w:ascii="宋体" w:hAnsi="宋体" w:cs="宋体"/>
                <w:kern w:val="0"/>
              </w:rPr>
              <w:br w:type="textWrapping"/>
            </w:r>
            <w:r>
              <w:rPr>
                <w:rFonts w:hint="eastAsia" w:ascii="宋体" w:hAnsi="宋体" w:cs="宋体"/>
                <w:kern w:val="0"/>
              </w:rPr>
              <w:t>11.工作电压：AC 186 ~ 264V ；</w:t>
            </w:r>
            <w:r>
              <w:rPr>
                <w:rFonts w:hint="eastAsia" w:ascii="宋体" w:hAnsi="宋体" w:cs="宋体"/>
                <w:kern w:val="0"/>
              </w:rPr>
              <w:br w:type="textWrapping"/>
            </w:r>
            <w:r>
              <w:rPr>
                <w:rFonts w:hint="eastAsia" w:ascii="宋体" w:hAnsi="宋体" w:cs="宋体"/>
                <w:kern w:val="0"/>
              </w:rPr>
              <w:t>12. 工作功率：75W；</w:t>
            </w:r>
            <w:r>
              <w:rPr>
                <w:rFonts w:hint="eastAsia" w:ascii="宋体" w:hAnsi="宋体" w:cs="宋体"/>
                <w:kern w:val="0"/>
              </w:rPr>
              <w:br w:type="textWrapping"/>
            </w:r>
            <w:r>
              <w:rPr>
                <w:rFonts w:hint="eastAsia" w:ascii="宋体" w:hAnsi="宋体" w:cs="宋体"/>
                <w:kern w:val="0"/>
              </w:rPr>
              <w:t>13. 防护等级：IP54。</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859"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道闸配杆</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1、直臂杆，左右向通用，总杆长≤4米；</w:t>
            </w:r>
            <w:r>
              <w:rPr>
                <w:rFonts w:hint="eastAsia" w:ascii="宋体" w:hAnsi="宋体" w:cs="宋体"/>
                <w:kern w:val="0"/>
              </w:rPr>
              <w:br w:type="textWrapping"/>
            </w:r>
            <w:r>
              <w:rPr>
                <w:rFonts w:hint="eastAsia" w:ascii="宋体" w:hAnsi="宋体" w:cs="宋体"/>
                <w:kern w:val="0"/>
              </w:rPr>
              <w:t>2、杆子为高强度铝合金；</w:t>
            </w:r>
            <w:r>
              <w:rPr>
                <w:rFonts w:hint="eastAsia" w:ascii="宋体" w:hAnsi="宋体" w:cs="宋体"/>
                <w:kern w:val="0"/>
              </w:rPr>
              <w:br w:type="textWrapping"/>
            </w:r>
            <w:r>
              <w:rPr>
                <w:rFonts w:hint="eastAsia" w:ascii="宋体" w:hAnsi="宋体" w:cs="宋体"/>
                <w:kern w:val="0"/>
              </w:rPr>
              <w:t>3、杆子底部带空心弹性防砸胶条；</w:t>
            </w:r>
            <w:r>
              <w:rPr>
                <w:rFonts w:hint="eastAsia" w:ascii="宋体" w:hAnsi="宋体" w:cs="宋体"/>
                <w:kern w:val="0"/>
              </w:rPr>
              <w:br w:type="textWrapping"/>
            </w:r>
            <w:r>
              <w:rPr>
                <w:rFonts w:hint="eastAsia" w:ascii="宋体" w:hAnsi="宋体" w:cs="宋体"/>
                <w:kern w:val="0"/>
              </w:rPr>
              <w:t>4、白色杆子表面贴红色反光膜；</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1074"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3</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79G出入口防砸雷达</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1、支持（直杆、曲臂、栅栏、广告）道闸应用场景；</w:t>
            </w:r>
            <w:r>
              <w:rPr>
                <w:rFonts w:hint="eastAsia" w:ascii="宋体" w:hAnsi="宋体" w:cs="宋体"/>
                <w:kern w:val="0"/>
              </w:rPr>
              <w:br w:type="textWrapping"/>
            </w:r>
            <w:r>
              <w:rPr>
                <w:rFonts w:hint="eastAsia" w:ascii="宋体" w:hAnsi="宋体" w:cs="宋体"/>
                <w:kern w:val="0"/>
              </w:rPr>
              <w:t>2、支持串口和手机WIFI调试和设置；</w:t>
            </w:r>
            <w:r>
              <w:rPr>
                <w:rFonts w:hint="eastAsia" w:ascii="宋体" w:hAnsi="宋体" w:cs="宋体"/>
                <w:kern w:val="0"/>
              </w:rPr>
              <w:br w:type="textWrapping"/>
            </w:r>
            <w:r>
              <w:rPr>
                <w:rFonts w:hint="eastAsia" w:ascii="宋体" w:hAnsi="宋体" w:cs="宋体"/>
                <w:kern w:val="0"/>
              </w:rPr>
              <w:t>3、支持虚警点检测及剔除</w:t>
            </w:r>
            <w:r>
              <w:rPr>
                <w:rFonts w:hint="eastAsia" w:ascii="宋体" w:hAnsi="宋体" w:cs="宋体"/>
                <w:kern w:val="0"/>
              </w:rPr>
              <w:br w:type="textWrapping"/>
            </w:r>
            <w:r>
              <w:rPr>
                <w:rFonts w:hint="eastAsia" w:ascii="宋体" w:hAnsi="宋体" w:cs="宋体"/>
                <w:kern w:val="0"/>
              </w:rPr>
              <w:t>4、支持通过485连接相机读取雷达设置参数及雷达日志记录</w:t>
            </w:r>
            <w:r>
              <w:rPr>
                <w:rFonts w:hint="eastAsia" w:ascii="宋体" w:hAnsi="宋体" w:cs="宋体"/>
                <w:kern w:val="0"/>
              </w:rPr>
              <w:br w:type="textWrapping"/>
            </w:r>
            <w:r>
              <w:rPr>
                <w:rFonts w:hint="eastAsia" w:ascii="宋体" w:hAnsi="宋体" w:cs="宋体"/>
                <w:kern w:val="0"/>
              </w:rPr>
              <w:t>5、支持在线升级程序</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4</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桌面式电源适配器</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1.AC220V转DC12V电源适配器，支持短路、过载、过压保护</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2363"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5</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人脸门禁识别器</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参数不低于以下：</w:t>
            </w:r>
            <w:r>
              <w:rPr>
                <w:rFonts w:hint="eastAsia" w:ascii="宋体" w:hAnsi="宋体" w:cs="宋体"/>
                <w:kern w:val="0"/>
              </w:rPr>
              <w:br w:type="textWrapping"/>
            </w:r>
            <w:r>
              <w:rPr>
                <w:rFonts w:hint="eastAsia" w:ascii="宋体" w:hAnsi="宋体" w:cs="宋体"/>
                <w:kern w:val="0"/>
              </w:rPr>
              <w:t>1.操作系统 Android 5.1</w:t>
            </w:r>
            <w:r>
              <w:rPr>
                <w:rFonts w:hint="eastAsia" w:ascii="宋体" w:hAnsi="宋体" w:cs="宋体"/>
                <w:kern w:val="0"/>
              </w:rPr>
              <w:br w:type="textWrapping"/>
            </w:r>
            <w:r>
              <w:rPr>
                <w:rFonts w:hint="eastAsia" w:ascii="宋体" w:hAnsi="宋体" w:cs="宋体"/>
                <w:kern w:val="0"/>
              </w:rPr>
              <w:t>2.CPU 四核 Cortex-A17，主频 1.6GHZ</w:t>
            </w:r>
            <w:r>
              <w:rPr>
                <w:rFonts w:hint="eastAsia" w:ascii="宋体" w:hAnsi="宋体" w:cs="宋体"/>
                <w:kern w:val="0"/>
              </w:rPr>
              <w:br w:type="textWrapping"/>
            </w:r>
            <w:r>
              <w:rPr>
                <w:rFonts w:hint="eastAsia" w:ascii="宋体" w:hAnsi="宋体" w:cs="宋体"/>
                <w:kern w:val="0"/>
              </w:rPr>
              <w:t>3.存储容量 内存 2GB，存储 8GB</w:t>
            </w:r>
            <w:r>
              <w:rPr>
                <w:rFonts w:hint="eastAsia" w:ascii="宋体" w:hAnsi="宋体" w:cs="宋体"/>
                <w:kern w:val="0"/>
              </w:rPr>
              <w:br w:type="textWrapping"/>
            </w:r>
            <w:r>
              <w:rPr>
                <w:rFonts w:hint="eastAsia" w:ascii="宋体" w:hAnsi="宋体" w:cs="宋体"/>
                <w:kern w:val="0"/>
              </w:rPr>
              <w:t>4.工作温度 -10 ℃～ 50 ℃</w:t>
            </w:r>
            <w:r>
              <w:rPr>
                <w:rFonts w:hint="eastAsia" w:ascii="宋体" w:hAnsi="宋体" w:cs="宋体"/>
                <w:kern w:val="0"/>
              </w:rPr>
              <w:br w:type="textWrapping"/>
            </w:r>
            <w:r>
              <w:rPr>
                <w:rFonts w:hint="eastAsia" w:ascii="宋体" w:hAnsi="宋体" w:cs="宋体"/>
                <w:kern w:val="0"/>
              </w:rPr>
              <w:t>5.储存温度 -20 ℃～ 60 ℃</w:t>
            </w:r>
            <w:r>
              <w:rPr>
                <w:rFonts w:hint="eastAsia" w:ascii="宋体" w:hAnsi="宋体" w:cs="宋体"/>
                <w:kern w:val="0"/>
              </w:rPr>
              <w:br w:type="textWrapping"/>
            </w:r>
            <w:r>
              <w:rPr>
                <w:rFonts w:hint="eastAsia" w:ascii="宋体" w:hAnsi="宋体" w:cs="宋体"/>
                <w:kern w:val="0"/>
              </w:rPr>
              <w:t>6.工作湿度 10% ～ 90%</w:t>
            </w:r>
            <w:r>
              <w:rPr>
                <w:rFonts w:hint="eastAsia" w:ascii="宋体" w:hAnsi="宋体" w:cs="宋体"/>
                <w:kern w:val="0"/>
              </w:rPr>
              <w:br w:type="textWrapping"/>
            </w:r>
            <w:r>
              <w:rPr>
                <w:rFonts w:hint="eastAsia" w:ascii="宋体" w:hAnsi="宋体" w:cs="宋体"/>
                <w:kern w:val="0"/>
              </w:rPr>
              <w:t>7.防护等级 IP66</w:t>
            </w:r>
            <w:r>
              <w:rPr>
                <w:rFonts w:hint="eastAsia" w:ascii="宋体" w:hAnsi="宋体" w:cs="宋体"/>
                <w:kern w:val="0"/>
              </w:rPr>
              <w:br w:type="textWrapping"/>
            </w:r>
            <w:r>
              <w:rPr>
                <w:rFonts w:hint="eastAsia" w:ascii="宋体" w:hAnsi="宋体" w:cs="宋体"/>
                <w:kern w:val="0"/>
              </w:rPr>
              <w:t>8.电源 DC 12V/2A</w:t>
            </w:r>
            <w:r>
              <w:rPr>
                <w:rFonts w:hint="eastAsia" w:ascii="宋体" w:hAnsi="宋体" w:cs="宋体"/>
                <w:kern w:val="0"/>
              </w:rPr>
              <w:br w:type="textWrapping"/>
            </w:r>
            <w:r>
              <w:rPr>
                <w:rFonts w:hint="eastAsia" w:ascii="宋体" w:hAnsi="宋体" w:cs="宋体"/>
                <w:kern w:val="0"/>
              </w:rPr>
              <w:t>9.识别模式 人像识别、卡、app远程、访客密码等</w:t>
            </w:r>
            <w:r>
              <w:rPr>
                <w:rFonts w:hint="eastAsia" w:ascii="宋体" w:hAnsi="宋体" w:cs="宋体"/>
                <w:kern w:val="0"/>
              </w:rPr>
              <w:br w:type="textWrapping"/>
            </w:r>
            <w:r>
              <w:rPr>
                <w:rFonts w:hint="eastAsia" w:ascii="宋体" w:hAnsi="宋体" w:cs="宋体"/>
                <w:kern w:val="0"/>
              </w:rPr>
              <w:t>10.人像容量 最大支持 20000 张人像照片</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1074"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6</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门禁立柱支架</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1.使用环境：室内室外；</w:t>
            </w:r>
            <w:r>
              <w:rPr>
                <w:rFonts w:hint="eastAsia" w:ascii="宋体" w:hAnsi="宋体" w:cs="宋体"/>
                <w:kern w:val="0"/>
              </w:rPr>
              <w:br w:type="textWrapping"/>
            </w:r>
            <w:r>
              <w:rPr>
                <w:rFonts w:hint="eastAsia" w:ascii="宋体" w:hAnsi="宋体" w:cs="宋体"/>
                <w:kern w:val="0"/>
              </w:rPr>
              <w:t>2.外壳材料：铝合金材质；</w:t>
            </w:r>
            <w:r>
              <w:rPr>
                <w:rFonts w:hint="eastAsia" w:ascii="宋体" w:hAnsi="宋体" w:cs="宋体"/>
                <w:kern w:val="0"/>
              </w:rPr>
              <w:br w:type="textWrapping"/>
            </w:r>
            <w:r>
              <w:rPr>
                <w:rFonts w:hint="eastAsia" w:ascii="宋体" w:hAnsi="宋体" w:cs="宋体"/>
                <w:kern w:val="0"/>
              </w:rPr>
              <w:t>3.产品尺寸：≥1371.8mm×180.0mm×180.0mm（高×宽×厚）；</w:t>
            </w:r>
            <w:r>
              <w:rPr>
                <w:rFonts w:hint="eastAsia" w:ascii="宋体" w:hAnsi="宋体" w:cs="宋体"/>
                <w:kern w:val="0"/>
              </w:rPr>
              <w:br w:type="textWrapping"/>
            </w:r>
            <w:r>
              <w:rPr>
                <w:rFonts w:hint="eastAsia" w:ascii="宋体" w:hAnsi="宋体" w:cs="宋体"/>
                <w:kern w:val="0"/>
              </w:rPr>
              <w:t>4.工作温度：-30℃~+70℃；</w:t>
            </w:r>
            <w:r>
              <w:rPr>
                <w:rFonts w:hint="eastAsia" w:ascii="宋体" w:hAnsi="宋体" w:cs="宋体"/>
                <w:kern w:val="0"/>
              </w:rPr>
              <w:br w:type="textWrapping"/>
            </w:r>
            <w:r>
              <w:rPr>
                <w:rFonts w:hint="eastAsia" w:ascii="宋体" w:hAnsi="宋体" w:cs="宋体"/>
                <w:kern w:val="0"/>
              </w:rPr>
              <w:t>5.安装方式：地面安装</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1503"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7</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车辆检测器</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1、单路车检器；</w:t>
            </w:r>
            <w:r>
              <w:rPr>
                <w:rFonts w:hint="eastAsia" w:ascii="宋体" w:hAnsi="宋体" w:cs="宋体"/>
                <w:kern w:val="0"/>
              </w:rPr>
              <w:br w:type="textWrapping"/>
            </w:r>
            <w:r>
              <w:rPr>
                <w:rFonts w:hint="eastAsia" w:ascii="宋体" w:hAnsi="宋体" w:cs="宋体"/>
                <w:kern w:val="0"/>
              </w:rPr>
              <w:t>2、检测目标：车；</w:t>
            </w:r>
            <w:r>
              <w:rPr>
                <w:rFonts w:hint="eastAsia" w:ascii="宋体" w:hAnsi="宋体" w:cs="宋体"/>
                <w:kern w:val="0"/>
              </w:rPr>
              <w:br w:type="textWrapping"/>
            </w:r>
            <w:r>
              <w:rPr>
                <w:rFonts w:hint="eastAsia" w:ascii="宋体" w:hAnsi="宋体" w:cs="宋体"/>
                <w:kern w:val="0"/>
              </w:rPr>
              <w:t>3、温度稳定性高</w:t>
            </w:r>
            <w:r>
              <w:rPr>
                <w:rFonts w:hint="eastAsia" w:ascii="宋体" w:hAnsi="宋体" w:cs="宋体"/>
                <w:kern w:val="0"/>
              </w:rPr>
              <w:br w:type="textWrapping"/>
            </w:r>
            <w:r>
              <w:rPr>
                <w:rFonts w:hint="eastAsia" w:ascii="宋体" w:hAnsi="宋体" w:cs="宋体"/>
                <w:kern w:val="0"/>
              </w:rPr>
              <w:t>4、环境漂移自动补偿功能</w:t>
            </w:r>
            <w:r>
              <w:rPr>
                <w:rFonts w:hint="eastAsia" w:ascii="宋体" w:hAnsi="宋体" w:cs="宋体"/>
                <w:kern w:val="0"/>
              </w:rPr>
              <w:br w:type="textWrapping"/>
            </w:r>
            <w:r>
              <w:rPr>
                <w:rFonts w:hint="eastAsia" w:ascii="宋体" w:hAnsi="宋体" w:cs="宋体"/>
                <w:kern w:val="0"/>
              </w:rPr>
              <w:t>5、多级雷击保护功能</w:t>
            </w:r>
            <w:r>
              <w:rPr>
                <w:rFonts w:hint="eastAsia" w:ascii="宋体" w:hAnsi="宋体" w:cs="宋体"/>
                <w:kern w:val="0"/>
              </w:rPr>
              <w:br w:type="textWrapping"/>
            </w:r>
            <w:r>
              <w:rPr>
                <w:rFonts w:hint="eastAsia" w:ascii="宋体" w:hAnsi="宋体" w:cs="宋体"/>
                <w:kern w:val="0"/>
              </w:rPr>
              <w:t>6、线圈故障自动侦测功能</w:t>
            </w:r>
            <w:r>
              <w:rPr>
                <w:rFonts w:hint="eastAsia" w:ascii="宋体" w:hAnsi="宋体" w:cs="宋体"/>
                <w:kern w:val="0"/>
              </w:rPr>
              <w:br w:type="textWrapping"/>
            </w:r>
            <w:r>
              <w:rPr>
                <w:rFonts w:hint="eastAsia" w:ascii="宋体" w:hAnsi="宋体" w:cs="宋体"/>
                <w:kern w:val="0"/>
              </w:rPr>
              <w:t>7、可配合道闸实现防砸车和车走关闸功能</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8</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地感线圈</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1.≥100米/卷</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（三）管材及施工</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PVC管</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1.规格:≥Φ25，PVC材质，抗老化</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100</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rPr>
            </w:pPr>
            <w:r>
              <w:rPr>
                <w:rFonts w:hint="eastAsia" w:ascii="宋体" w:hAnsi="宋体" w:cs="宋体"/>
                <w:b/>
                <w:bCs/>
                <w:kern w:val="0"/>
              </w:rPr>
              <w:t>十二、公共视频安防监控系统</w:t>
            </w:r>
          </w:p>
        </w:tc>
      </w:tr>
      <w:tr>
        <w:tblPrEx>
          <w:tblCellMar>
            <w:top w:w="0" w:type="dxa"/>
            <w:left w:w="108" w:type="dxa"/>
            <w:bottom w:w="0" w:type="dxa"/>
            <w:right w:w="108" w:type="dxa"/>
          </w:tblCellMar>
        </w:tblPrEx>
        <w:trPr>
          <w:trHeight w:val="386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400万像素红外枪型网络摄像机</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传感器类型：≥1/2.7英寸CMOS；像素：≥400万；</w:t>
            </w:r>
            <w:r>
              <w:rPr>
                <w:rFonts w:hint="eastAsia" w:ascii="宋体" w:hAnsi="宋体" w:cs="宋体"/>
                <w:kern w:val="0"/>
              </w:rPr>
              <w:br w:type="textWrapping"/>
            </w:r>
            <w:r>
              <w:rPr>
                <w:rFonts w:hint="eastAsia" w:ascii="宋体" w:hAnsi="宋体" w:cs="宋体"/>
                <w:kern w:val="0"/>
              </w:rPr>
              <w:t>2. 最大分辨率：≥2688×1520；</w:t>
            </w:r>
            <w:r>
              <w:rPr>
                <w:rFonts w:hint="eastAsia" w:ascii="宋体" w:hAnsi="宋体" w:cs="宋体"/>
                <w:kern w:val="0"/>
              </w:rPr>
              <w:br w:type="textWrapping"/>
            </w:r>
            <w:r>
              <w:rPr>
                <w:rFonts w:hint="eastAsia" w:ascii="宋体" w:hAnsi="宋体" w:cs="宋体"/>
                <w:kern w:val="0"/>
              </w:rPr>
              <w:t>3. 最低照度：≤0.002Lux(彩色模式); ≤0.0002Lux(黑白模式);0Lux(补光灯开启)；</w:t>
            </w:r>
            <w:r>
              <w:rPr>
                <w:rFonts w:hint="eastAsia" w:ascii="宋体" w:hAnsi="宋体" w:cs="宋体"/>
                <w:kern w:val="0"/>
              </w:rPr>
              <w:br w:type="textWrapping"/>
            </w:r>
            <w:r>
              <w:rPr>
                <w:rFonts w:hint="eastAsia" w:ascii="宋体" w:hAnsi="宋体" w:cs="宋体"/>
                <w:kern w:val="0"/>
              </w:rPr>
              <w:t>4. 最大补光距离：50m（红外）；镜头类型：定焦；镜头焦距：3.6mm；</w:t>
            </w:r>
            <w:r>
              <w:rPr>
                <w:rFonts w:hint="eastAsia" w:ascii="宋体" w:hAnsi="宋体" w:cs="宋体"/>
                <w:kern w:val="0"/>
              </w:rPr>
              <w:br w:type="textWrapping"/>
            </w:r>
            <w:r>
              <w:rPr>
                <w:rFonts w:hint="eastAsia" w:ascii="宋体" w:hAnsi="宋体" w:cs="宋体"/>
                <w:kern w:val="0"/>
              </w:rPr>
              <w:t>5. 通用行为分析：物品遗留；物品搬移；</w:t>
            </w:r>
            <w:r>
              <w:rPr>
                <w:rFonts w:hint="eastAsia" w:ascii="宋体" w:hAnsi="宋体" w:cs="宋体"/>
                <w:kern w:val="0"/>
              </w:rPr>
              <w:br w:type="textWrapping"/>
            </w:r>
            <w:r>
              <w:rPr>
                <w:rFonts w:hint="eastAsia" w:ascii="宋体" w:hAnsi="宋体" w:cs="宋体"/>
                <w:kern w:val="0"/>
              </w:rPr>
              <w:t>6. 图像传输延时检验：在只输出主码流、分辨率设置为2592× 1520、帧率设置为20fps、码率2Mbps时，视频图像传输至客户端的延时时间≤100 ms</w:t>
            </w:r>
            <w:r>
              <w:rPr>
                <w:rFonts w:hint="eastAsia" w:ascii="宋体" w:hAnsi="宋体" w:cs="宋体"/>
                <w:kern w:val="0"/>
              </w:rPr>
              <w:br w:type="textWrapping"/>
            </w:r>
            <w:r>
              <w:rPr>
                <w:rFonts w:hint="eastAsia" w:ascii="宋体" w:hAnsi="宋体" w:cs="宋体"/>
                <w:kern w:val="0"/>
              </w:rPr>
              <w:t>7. 当以下的智能分析行为进行智能分析，并通过客户端软件或IE浏览器给出报警提示。a）拌线入侵；b）区域入侵；c）物品遗留；d）物品搬移；e）徘徊检测；f）停车检测；g）快速移动；h）人员聚集；设备支持行为分析触发后联动抓图、录像、目标跟踪、报警上传、发送邮件等多种报警触发方式；</w:t>
            </w:r>
            <w:r>
              <w:rPr>
                <w:rFonts w:hint="eastAsia" w:ascii="宋体" w:hAnsi="宋体" w:cs="宋体"/>
                <w:kern w:val="0"/>
              </w:rPr>
              <w:br w:type="textWrapping"/>
            </w:r>
            <w:r>
              <w:rPr>
                <w:rFonts w:hint="eastAsia" w:ascii="宋体" w:hAnsi="宋体" w:cs="宋体"/>
                <w:kern w:val="0"/>
              </w:rPr>
              <w:t>8. 在分辨率设置为2688×1520、帧率设置为30fps、码率设置为1Mbps时，样机处于监看或录像状态，监视画面无明显缺损，物体移动时画面边缘无明显锯齿、拉毛现象</w:t>
            </w:r>
            <w:r>
              <w:rPr>
                <w:rFonts w:hint="eastAsia" w:ascii="宋体" w:hAnsi="宋体" w:cs="宋体"/>
                <w:kern w:val="0"/>
              </w:rPr>
              <w:br w:type="textWrapping"/>
            </w:r>
            <w:r>
              <w:rPr>
                <w:rFonts w:hint="eastAsia" w:ascii="宋体" w:hAnsi="宋体" w:cs="宋体"/>
                <w:kern w:val="0"/>
              </w:rPr>
              <w:t>9. 视频压缩标准：H.265；H.264；H.264H；H.264B；MJPEG；</w:t>
            </w:r>
            <w:r>
              <w:rPr>
                <w:rFonts w:hint="eastAsia" w:ascii="宋体" w:hAnsi="宋体" w:cs="宋体"/>
                <w:kern w:val="0"/>
              </w:rPr>
              <w:br w:type="textWrapping"/>
            </w:r>
            <w:r>
              <w:rPr>
                <w:rFonts w:hint="eastAsia" w:ascii="宋体" w:hAnsi="宋体" w:cs="宋体"/>
                <w:kern w:val="0"/>
              </w:rPr>
              <w:t>10. 可通过5个IE浏览器同时浏览主码流2688×1520（25fps）、子码流704×576（25fps）、第三码流1920×1080（25fps）、第四码流704×576（25fps）、第五码流1920×1080（25fps）的视频图像</w:t>
            </w:r>
            <w:r>
              <w:rPr>
                <w:rFonts w:hint="eastAsia" w:ascii="宋体" w:hAnsi="宋体" w:cs="宋体"/>
                <w:kern w:val="0"/>
              </w:rPr>
              <w:br w:type="textWrapping"/>
            </w:r>
            <w:r>
              <w:rPr>
                <w:rFonts w:hint="eastAsia" w:ascii="宋体" w:hAnsi="宋体" w:cs="宋体"/>
                <w:kern w:val="0"/>
              </w:rPr>
              <w:t>11. 智能编码：H.264：支持H.265：支持；</w:t>
            </w:r>
            <w:r>
              <w:rPr>
                <w:rFonts w:hint="eastAsia" w:ascii="宋体" w:hAnsi="宋体" w:cs="宋体"/>
                <w:kern w:val="0"/>
              </w:rPr>
              <w:br w:type="textWrapping"/>
            </w:r>
            <w:r>
              <w:rPr>
                <w:rFonts w:hint="eastAsia" w:ascii="宋体" w:hAnsi="宋体" w:cs="宋体"/>
                <w:kern w:val="0"/>
              </w:rPr>
              <w:t>12. 报警事件：网络断开；IP冲突；非法访问；动态检测；视频遮挡；绊线入侵；区域入侵；快速移动；物品遗留；物品搬移；徘徊检测；人员聚集；停车检测；场景变更；电压检测；SMD安全异常；；</w:t>
            </w:r>
            <w:r>
              <w:rPr>
                <w:rFonts w:hint="eastAsia" w:ascii="宋体" w:hAnsi="宋体" w:cs="宋体"/>
                <w:kern w:val="0"/>
              </w:rPr>
              <w:br w:type="textWrapping"/>
            </w:r>
            <w:r>
              <w:rPr>
                <w:rFonts w:hint="eastAsia" w:ascii="宋体" w:hAnsi="宋体" w:cs="宋体"/>
                <w:kern w:val="0"/>
              </w:rPr>
              <w:t>13. 网络接口：1个（RJ-45网口,支持10M/100M 网络数据）</w:t>
            </w:r>
            <w:r>
              <w:rPr>
                <w:rFonts w:hint="eastAsia" w:ascii="宋体" w:hAnsi="宋体" w:cs="宋体"/>
                <w:kern w:val="0"/>
              </w:rPr>
              <w:br w:type="textWrapping"/>
            </w:r>
            <w:r>
              <w:rPr>
                <w:rFonts w:hint="eastAsia" w:ascii="宋体" w:hAnsi="宋体" w:cs="宋体"/>
                <w:kern w:val="0"/>
              </w:rPr>
              <w:t>14. 供电方式：DC12V/POE；</w:t>
            </w:r>
            <w:r>
              <w:rPr>
                <w:rFonts w:hint="eastAsia" w:ascii="宋体" w:hAnsi="宋体" w:cs="宋体"/>
                <w:kern w:val="0"/>
              </w:rPr>
              <w:br w:type="textWrapping"/>
            </w:r>
            <w:r>
              <w:rPr>
                <w:rFonts w:hint="eastAsia" w:ascii="宋体" w:hAnsi="宋体" w:cs="宋体"/>
                <w:kern w:val="0"/>
              </w:rPr>
              <w:t>15. 防护等级：IP67。</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17</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电源适配器</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1.DC12V2A电源适配器，标准接口，金属线芯</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17</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3</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枪机支架</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1.铝合金；白色；最大承重1.0kg；壁装；</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17</w:t>
            </w:r>
          </w:p>
        </w:tc>
      </w:tr>
      <w:tr>
        <w:tblPrEx>
          <w:tblCellMar>
            <w:top w:w="0" w:type="dxa"/>
            <w:left w:w="108" w:type="dxa"/>
            <w:bottom w:w="0" w:type="dxa"/>
            <w:right w:w="108" w:type="dxa"/>
          </w:tblCellMar>
        </w:tblPrEx>
        <w:trPr>
          <w:trHeight w:val="429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4</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400万高空抛物变焦枪型网络摄像机</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采用≥1/2.8英寸400万像素CMOS图像传感器，内置GPU芯片；</w:t>
            </w:r>
            <w:r>
              <w:rPr>
                <w:rFonts w:hint="eastAsia" w:ascii="宋体" w:hAnsi="宋体" w:cs="宋体"/>
                <w:kern w:val="0"/>
              </w:rPr>
              <w:br w:type="textWrapping"/>
            </w:r>
            <w:r>
              <w:rPr>
                <w:rFonts w:hint="eastAsia" w:ascii="宋体" w:hAnsi="宋体" w:cs="宋体"/>
                <w:kern w:val="0"/>
              </w:rPr>
              <w:t>2. 内置2.7mm-13.5mm，电动变焦镜头；</w:t>
            </w:r>
            <w:r>
              <w:rPr>
                <w:rFonts w:hint="eastAsia" w:ascii="宋体" w:hAnsi="宋体" w:cs="宋体"/>
                <w:kern w:val="0"/>
              </w:rPr>
              <w:br w:type="textWrapping"/>
            </w:r>
            <w:r>
              <w:rPr>
                <w:rFonts w:hint="eastAsia" w:ascii="宋体" w:hAnsi="宋体" w:cs="宋体"/>
                <w:kern w:val="0"/>
              </w:rPr>
              <w:t>3. 支持分辨率设置为2688×1520，帧率设置为25fps，码率设置为1Mbps输出，水平中心分辨力≥1500TVL；</w:t>
            </w:r>
            <w:r>
              <w:rPr>
                <w:rFonts w:hint="eastAsia" w:ascii="宋体" w:hAnsi="宋体" w:cs="宋体"/>
                <w:kern w:val="0"/>
              </w:rPr>
              <w:br w:type="textWrapping"/>
            </w:r>
            <w:r>
              <w:rPr>
                <w:rFonts w:hint="eastAsia" w:ascii="宋体" w:hAnsi="宋体" w:cs="宋体"/>
                <w:kern w:val="0"/>
              </w:rPr>
              <w:t>4. 支持最低照度彩色：≤0.0002lx，黑白：≤0.0001lx；</w:t>
            </w:r>
            <w:r>
              <w:rPr>
                <w:rFonts w:hint="eastAsia" w:ascii="宋体" w:hAnsi="宋体" w:cs="宋体"/>
                <w:kern w:val="0"/>
              </w:rPr>
              <w:br w:type="textWrapping"/>
            </w:r>
            <w:r>
              <w:rPr>
                <w:rFonts w:hint="eastAsia" w:ascii="宋体" w:hAnsi="宋体" w:cs="宋体"/>
                <w:kern w:val="0"/>
              </w:rPr>
              <w:t>5. 支持H.265、H.264、MJPEG视频编码格式，其中H.265和H.264都支持Baseline/Main/High Profile；</w:t>
            </w:r>
            <w:r>
              <w:rPr>
                <w:rFonts w:hint="eastAsia" w:ascii="宋体" w:hAnsi="宋体" w:cs="宋体"/>
                <w:kern w:val="0"/>
              </w:rPr>
              <w:br w:type="textWrapping"/>
            </w:r>
            <w:r>
              <w:rPr>
                <w:rFonts w:hint="eastAsia" w:ascii="宋体" w:hAnsi="宋体" w:cs="宋体"/>
                <w:kern w:val="0"/>
              </w:rPr>
              <w:t>6. 信噪比≥62dB；</w:t>
            </w:r>
            <w:r>
              <w:rPr>
                <w:rFonts w:hint="eastAsia" w:ascii="宋体" w:hAnsi="宋体" w:cs="宋体"/>
                <w:kern w:val="0"/>
              </w:rPr>
              <w:br w:type="textWrapping"/>
            </w:r>
            <w:r>
              <w:rPr>
                <w:rFonts w:hint="eastAsia" w:ascii="宋体" w:hAnsi="宋体" w:cs="宋体"/>
                <w:kern w:val="0"/>
              </w:rPr>
              <w:t>7. 支持最大红外补光距离≥120米；</w:t>
            </w:r>
            <w:r>
              <w:rPr>
                <w:rFonts w:hint="eastAsia" w:ascii="宋体" w:hAnsi="宋体" w:cs="宋体"/>
                <w:kern w:val="0"/>
              </w:rPr>
              <w:br w:type="textWrapping"/>
            </w:r>
            <w:r>
              <w:rPr>
                <w:rFonts w:hint="eastAsia" w:ascii="宋体" w:hAnsi="宋体" w:cs="宋体"/>
                <w:kern w:val="0"/>
              </w:rPr>
              <w:t>8. 支持走廊模式，宽动态，3D降噪，强光抑制，背光补偿，数字水印；</w:t>
            </w:r>
            <w:r>
              <w:rPr>
                <w:rFonts w:hint="eastAsia" w:ascii="宋体" w:hAnsi="宋体" w:cs="宋体"/>
                <w:kern w:val="0"/>
              </w:rPr>
              <w:br w:type="textWrapping"/>
            </w:r>
            <w:r>
              <w:rPr>
                <w:rFonts w:hint="eastAsia" w:ascii="宋体" w:hAnsi="宋体" w:cs="宋体"/>
                <w:kern w:val="0"/>
              </w:rPr>
              <w:t>9. 开启智能编码功能，处于监看或录像状态，24小时录像码流存储不超过3G;</w:t>
            </w:r>
            <w:r>
              <w:rPr>
                <w:rFonts w:hint="eastAsia" w:ascii="宋体" w:hAnsi="宋体" w:cs="宋体"/>
                <w:kern w:val="0"/>
              </w:rPr>
              <w:br w:type="textWrapping"/>
            </w:r>
            <w:r>
              <w:rPr>
                <w:rFonts w:hint="eastAsia" w:ascii="宋体" w:hAnsi="宋体" w:cs="宋体"/>
                <w:kern w:val="0"/>
              </w:rPr>
              <w:t>10. 摄像机正常使用过程中，可通过客户端软件或IE浏览器修改IP访问地址，IP地址修改完后无需重启即可生效;</w:t>
            </w:r>
            <w:r>
              <w:rPr>
                <w:rFonts w:hint="eastAsia" w:ascii="宋体" w:hAnsi="宋体" w:cs="宋体"/>
                <w:kern w:val="0"/>
              </w:rPr>
              <w:br w:type="textWrapping"/>
            </w:r>
            <w:r>
              <w:rPr>
                <w:rFonts w:hint="eastAsia" w:ascii="宋体" w:hAnsi="宋体" w:cs="宋体"/>
                <w:kern w:val="0"/>
              </w:rPr>
              <w:t xml:space="preserve">11. 当监控画面中出现从高处落向低处的物体（如建筑高层抛出的矿泉水瓶、纸盒、烟头等），可检测并发出报警提示信息，抛物轨迹可在监控画面实时显示；报警触发后，可联动抓拍图片（图片中可显示抛物轨迹）及录像，可设置录像时长（10-300s),可设置轨迹颜色、轨迹数量、轨迹线宽等级，可设置最多10个高空抛物检测区域; </w:t>
            </w:r>
            <w:r>
              <w:rPr>
                <w:rFonts w:hint="eastAsia" w:ascii="宋体" w:hAnsi="宋体" w:cs="宋体"/>
                <w:kern w:val="0"/>
              </w:rPr>
              <w:br w:type="textWrapping"/>
            </w:r>
            <w:r>
              <w:rPr>
                <w:rFonts w:hint="eastAsia" w:ascii="宋体" w:hAnsi="宋体" w:cs="宋体"/>
                <w:kern w:val="0"/>
              </w:rPr>
              <w:t>12. 可在监视画面中手动标定当前楼层信息（楼层、户室等信息），当检测到高空抛物时，可显示具体楼层、户室信息;</w:t>
            </w:r>
            <w:r>
              <w:rPr>
                <w:rFonts w:hint="eastAsia" w:ascii="宋体" w:hAnsi="宋体" w:cs="宋体"/>
                <w:kern w:val="0"/>
              </w:rPr>
              <w:br w:type="textWrapping"/>
            </w:r>
            <w:r>
              <w:rPr>
                <w:rFonts w:hint="eastAsia" w:ascii="宋体" w:hAnsi="宋体" w:cs="宋体"/>
                <w:kern w:val="0"/>
              </w:rPr>
              <w:t>13. 开启匿名登录功能，不输入用户名和密码可预览视频图像；</w:t>
            </w:r>
            <w:r>
              <w:rPr>
                <w:rFonts w:hint="eastAsia" w:ascii="宋体" w:hAnsi="宋体" w:cs="宋体"/>
                <w:kern w:val="0"/>
              </w:rPr>
              <w:br w:type="textWrapping"/>
            </w:r>
            <w:r>
              <w:rPr>
                <w:rFonts w:hint="eastAsia" w:ascii="宋体" w:hAnsi="宋体" w:cs="宋体"/>
                <w:kern w:val="0"/>
              </w:rPr>
              <w:t>14. 支持智能编码功能：在同一静止场景相同图像质量下，设备在H.265编码方式时，开启智能编码功能和不开启智能编码相比，码流节约95%；</w:t>
            </w:r>
            <w:r>
              <w:rPr>
                <w:rFonts w:hint="eastAsia" w:ascii="宋体" w:hAnsi="宋体" w:cs="宋体"/>
                <w:kern w:val="0"/>
              </w:rPr>
              <w:br w:type="textWrapping"/>
            </w:r>
            <w:r>
              <w:rPr>
                <w:rFonts w:hint="eastAsia" w:ascii="宋体" w:hAnsi="宋体" w:cs="宋体"/>
                <w:kern w:val="0"/>
              </w:rPr>
              <w:t>15. 在IE浏览器下，具有亮度、对比度、饱和度、锐度、gamma设置选项；</w:t>
            </w:r>
            <w:r>
              <w:rPr>
                <w:rFonts w:hint="eastAsia" w:ascii="宋体" w:hAnsi="宋体" w:cs="宋体"/>
                <w:kern w:val="0"/>
              </w:rPr>
              <w:br w:type="textWrapping"/>
            </w:r>
            <w:r>
              <w:rPr>
                <w:rFonts w:hint="eastAsia" w:ascii="宋体" w:hAnsi="宋体" w:cs="宋体"/>
                <w:kern w:val="0"/>
              </w:rPr>
              <w:t>16. 具有≥3路报警输入接口、≥2路报警输出接口、≥1路音频输入接口、≥1路音频输出接口；</w:t>
            </w:r>
            <w:r>
              <w:rPr>
                <w:rFonts w:hint="eastAsia" w:ascii="宋体" w:hAnsi="宋体" w:cs="宋体"/>
                <w:kern w:val="0"/>
              </w:rPr>
              <w:br w:type="textWrapping"/>
            </w:r>
            <w:r>
              <w:rPr>
                <w:rFonts w:hint="eastAsia" w:ascii="宋体" w:hAnsi="宋体" w:cs="宋体"/>
                <w:kern w:val="0"/>
              </w:rPr>
              <w:t>17. 具有≥1个RJ45网络接口、≥1个RS485网络接口、≥1个SD卡插槽；</w:t>
            </w:r>
            <w:r>
              <w:rPr>
                <w:rFonts w:hint="eastAsia" w:ascii="宋体" w:hAnsi="宋体" w:cs="宋体"/>
                <w:kern w:val="0"/>
              </w:rPr>
              <w:br w:type="textWrapping"/>
            </w:r>
            <w:r>
              <w:rPr>
                <w:rFonts w:hint="eastAsia" w:ascii="宋体" w:hAnsi="宋体" w:cs="宋体"/>
                <w:kern w:val="0"/>
              </w:rPr>
              <w:t>18. 支持IP67防护等级；</w:t>
            </w:r>
            <w:r>
              <w:rPr>
                <w:rFonts w:hint="eastAsia" w:ascii="宋体" w:hAnsi="宋体" w:cs="宋体"/>
                <w:kern w:val="0"/>
              </w:rPr>
              <w:br w:type="textWrapping"/>
            </w:r>
            <w:r>
              <w:rPr>
                <w:rFonts w:hint="eastAsia" w:ascii="宋体" w:hAnsi="宋体" w:cs="宋体"/>
                <w:kern w:val="0"/>
              </w:rPr>
              <w:t>19. 支持DC12V/POE供电。</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20</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5</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电源适配器</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1.DC12V2A电源适配器，标准接口，金属线芯</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20</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6</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二维万向支架</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1.铝合金；白色；最大承重5.0kg；面装；</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20</w:t>
            </w:r>
          </w:p>
        </w:tc>
      </w:tr>
      <w:tr>
        <w:tblPrEx>
          <w:tblCellMar>
            <w:top w:w="0" w:type="dxa"/>
            <w:left w:w="108" w:type="dxa"/>
            <w:bottom w:w="0" w:type="dxa"/>
            <w:right w:w="108" w:type="dxa"/>
          </w:tblCellMar>
        </w:tblPrEx>
        <w:trPr>
          <w:trHeight w:val="4510"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7</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400万全彩高清红外球机</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传感器类型：≥1/2.8英寸 CMOS；像素：≥400万；最大分辨率：≥2560×1440；</w:t>
            </w:r>
            <w:r>
              <w:rPr>
                <w:rFonts w:hint="eastAsia" w:ascii="宋体" w:hAnsi="宋体" w:cs="宋体"/>
                <w:kern w:val="0"/>
              </w:rPr>
              <w:br w:type="textWrapping"/>
            </w:r>
            <w:r>
              <w:rPr>
                <w:rFonts w:hint="eastAsia" w:ascii="宋体" w:hAnsi="宋体" w:cs="宋体"/>
                <w:kern w:val="0"/>
              </w:rPr>
              <w:t>2. 最低照度：彩色：≤0.005lux@F1.6黑白：≤0.0005lux@F1.60Lux（红外灯开启）；</w:t>
            </w:r>
            <w:r>
              <w:rPr>
                <w:rFonts w:hint="eastAsia" w:ascii="宋体" w:hAnsi="宋体" w:cs="宋体"/>
                <w:kern w:val="0"/>
              </w:rPr>
              <w:br w:type="textWrapping"/>
            </w:r>
            <w:r>
              <w:rPr>
                <w:rFonts w:hint="eastAsia" w:ascii="宋体" w:hAnsi="宋体" w:cs="宋体"/>
                <w:kern w:val="0"/>
              </w:rPr>
              <w:t>3. 最大补光距离：红外150米，暖光80米；</w:t>
            </w:r>
            <w:r>
              <w:rPr>
                <w:rFonts w:hint="eastAsia" w:ascii="宋体" w:hAnsi="宋体" w:cs="宋体"/>
                <w:kern w:val="0"/>
              </w:rPr>
              <w:br w:type="textWrapping"/>
            </w:r>
            <w:r>
              <w:rPr>
                <w:rFonts w:hint="eastAsia" w:ascii="宋体" w:hAnsi="宋体" w:cs="宋体"/>
                <w:kern w:val="0"/>
              </w:rPr>
              <w:t>4. 补光灯数量：4颗（红外灯）,2颗（暖光灯）；</w:t>
            </w:r>
            <w:r>
              <w:rPr>
                <w:rFonts w:hint="eastAsia" w:ascii="宋体" w:hAnsi="宋体" w:cs="宋体"/>
                <w:kern w:val="0"/>
              </w:rPr>
              <w:br w:type="textWrapping"/>
            </w:r>
            <w:r>
              <w:rPr>
                <w:rFonts w:hint="eastAsia" w:ascii="宋体" w:hAnsi="宋体" w:cs="宋体"/>
                <w:kern w:val="0"/>
              </w:rPr>
              <w:t>5. 镜头焦距：4.8mm～144mm；</w:t>
            </w:r>
            <w:r>
              <w:rPr>
                <w:rFonts w:hint="eastAsia" w:ascii="宋体" w:hAnsi="宋体" w:cs="宋体"/>
                <w:kern w:val="0"/>
              </w:rPr>
              <w:br w:type="textWrapping"/>
            </w:r>
            <w:r>
              <w:rPr>
                <w:rFonts w:hint="eastAsia" w:ascii="宋体" w:hAnsi="宋体" w:cs="宋体"/>
                <w:kern w:val="0"/>
              </w:rPr>
              <w:t>6. 光学变倍：≥30倍；</w:t>
            </w:r>
            <w:r>
              <w:rPr>
                <w:rFonts w:hint="eastAsia" w:ascii="宋体" w:hAnsi="宋体" w:cs="宋体"/>
                <w:kern w:val="0"/>
              </w:rPr>
              <w:br w:type="textWrapping"/>
            </w:r>
            <w:r>
              <w:rPr>
                <w:rFonts w:hint="eastAsia" w:ascii="宋体" w:hAnsi="宋体" w:cs="宋体"/>
                <w:kern w:val="0"/>
              </w:rPr>
              <w:t>7. 3D定位：支持；</w:t>
            </w:r>
            <w:r>
              <w:rPr>
                <w:rFonts w:hint="eastAsia" w:ascii="宋体" w:hAnsi="宋体" w:cs="宋体"/>
                <w:kern w:val="0"/>
              </w:rPr>
              <w:br w:type="textWrapping"/>
            </w:r>
            <w:r>
              <w:rPr>
                <w:rFonts w:hint="eastAsia" w:ascii="宋体" w:hAnsi="宋体" w:cs="宋体"/>
                <w:kern w:val="0"/>
              </w:rPr>
              <w:t>8. 可视域功能：支持；</w:t>
            </w:r>
            <w:r>
              <w:rPr>
                <w:rFonts w:hint="eastAsia" w:ascii="宋体" w:hAnsi="宋体" w:cs="宋体"/>
                <w:kern w:val="0"/>
              </w:rPr>
              <w:br w:type="textWrapping"/>
            </w:r>
            <w:r>
              <w:rPr>
                <w:rFonts w:hint="eastAsia" w:ascii="宋体" w:hAnsi="宋体" w:cs="宋体"/>
                <w:kern w:val="0"/>
              </w:rPr>
              <w:t>9. 通用行为分析：绊线入侵、区域入侵、快速移动、穿越围栏、人员聚集、徘徊检测、停车检测、物品搬移、物品遗留，支持联动跟踪；</w:t>
            </w:r>
            <w:r>
              <w:rPr>
                <w:rFonts w:hint="eastAsia" w:ascii="宋体" w:hAnsi="宋体" w:cs="宋体"/>
                <w:kern w:val="0"/>
              </w:rPr>
              <w:br w:type="textWrapping"/>
            </w:r>
            <w:r>
              <w:rPr>
                <w:rFonts w:hint="eastAsia" w:ascii="宋体" w:hAnsi="宋体" w:cs="宋体"/>
                <w:kern w:val="0"/>
              </w:rPr>
              <w:t>10. 支持报警联动暖光警戒，声音报警，对目标进行跟踪；</w:t>
            </w:r>
            <w:r>
              <w:rPr>
                <w:rFonts w:hint="eastAsia" w:ascii="宋体" w:hAnsi="宋体" w:cs="宋体"/>
                <w:kern w:val="0"/>
              </w:rPr>
              <w:br w:type="textWrapping"/>
            </w:r>
            <w:r>
              <w:rPr>
                <w:rFonts w:hint="eastAsia" w:ascii="宋体" w:hAnsi="宋体" w:cs="宋体"/>
                <w:kern w:val="0"/>
              </w:rPr>
              <w:t>11. 支持人脸检测；支持人脸轨迹框；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支持质量优先三种抓拍策略</w:t>
            </w:r>
            <w:r>
              <w:rPr>
                <w:rFonts w:hint="eastAsia" w:ascii="宋体" w:hAnsi="宋体" w:cs="宋体"/>
                <w:kern w:val="0"/>
              </w:rPr>
              <w:br w:type="textWrapping"/>
            </w:r>
            <w:r>
              <w:rPr>
                <w:rFonts w:hint="eastAsia" w:ascii="宋体" w:hAnsi="宋体" w:cs="宋体"/>
                <w:kern w:val="0"/>
              </w:rPr>
              <w:t>12. 防抖功能：电子防抖；</w:t>
            </w:r>
            <w:r>
              <w:rPr>
                <w:rFonts w:hint="eastAsia" w:ascii="宋体" w:hAnsi="宋体" w:cs="宋体"/>
                <w:kern w:val="0"/>
              </w:rPr>
              <w:br w:type="textWrapping"/>
            </w:r>
            <w:r>
              <w:rPr>
                <w:rFonts w:hint="eastAsia" w:ascii="宋体" w:hAnsi="宋体" w:cs="宋体"/>
                <w:kern w:val="0"/>
              </w:rPr>
              <w:t>13. 透雾功能：电子透雾；</w:t>
            </w:r>
            <w:r>
              <w:rPr>
                <w:rFonts w:hint="eastAsia" w:ascii="宋体" w:hAnsi="宋体" w:cs="宋体"/>
                <w:kern w:val="0"/>
              </w:rPr>
              <w:br w:type="textWrapping"/>
            </w:r>
            <w:r>
              <w:rPr>
                <w:rFonts w:hint="eastAsia" w:ascii="宋体" w:hAnsi="宋体" w:cs="宋体"/>
                <w:kern w:val="0"/>
              </w:rPr>
              <w:t>14. 音频输入：1路（LINE IN；裸线）；</w:t>
            </w:r>
            <w:r>
              <w:rPr>
                <w:rFonts w:hint="eastAsia" w:ascii="宋体" w:hAnsi="宋体" w:cs="宋体"/>
                <w:kern w:val="0"/>
              </w:rPr>
              <w:br w:type="textWrapping"/>
            </w:r>
            <w:r>
              <w:rPr>
                <w:rFonts w:hint="eastAsia" w:ascii="宋体" w:hAnsi="宋体" w:cs="宋体"/>
                <w:kern w:val="0"/>
              </w:rPr>
              <w:t>15. 音频输出：1路（LINE OUT；裸线）；</w:t>
            </w:r>
            <w:r>
              <w:rPr>
                <w:rFonts w:hint="eastAsia" w:ascii="宋体" w:hAnsi="宋体" w:cs="宋体"/>
                <w:kern w:val="0"/>
              </w:rPr>
              <w:br w:type="textWrapping"/>
            </w:r>
            <w:r>
              <w:rPr>
                <w:rFonts w:hint="eastAsia" w:ascii="宋体" w:hAnsi="宋体" w:cs="宋体"/>
                <w:kern w:val="0"/>
              </w:rPr>
              <w:t>16. 报警接口：2进1出；</w:t>
            </w:r>
            <w:r>
              <w:rPr>
                <w:rFonts w:hint="eastAsia" w:ascii="宋体" w:hAnsi="宋体" w:cs="宋体"/>
                <w:kern w:val="0"/>
              </w:rPr>
              <w:br w:type="textWrapping"/>
            </w:r>
            <w:r>
              <w:rPr>
                <w:rFonts w:hint="eastAsia" w:ascii="宋体" w:hAnsi="宋体" w:cs="宋体"/>
                <w:kern w:val="0"/>
              </w:rPr>
              <w:t>17. 语音对讲：支持；</w:t>
            </w:r>
            <w:r>
              <w:rPr>
                <w:rFonts w:hint="eastAsia" w:ascii="宋体" w:hAnsi="宋体" w:cs="宋体"/>
                <w:kern w:val="0"/>
              </w:rPr>
              <w:br w:type="textWrapping"/>
            </w:r>
            <w:r>
              <w:rPr>
                <w:rFonts w:hint="eastAsia" w:ascii="宋体" w:hAnsi="宋体" w:cs="宋体"/>
                <w:kern w:val="0"/>
              </w:rPr>
              <w:t>18. 供电方式：AC24V/3A±25%；；</w:t>
            </w:r>
            <w:r>
              <w:rPr>
                <w:rFonts w:hint="eastAsia" w:ascii="宋体" w:hAnsi="宋体" w:cs="宋体"/>
                <w:kern w:val="0"/>
              </w:rPr>
              <w:br w:type="textWrapping"/>
            </w:r>
            <w:r>
              <w:rPr>
                <w:rFonts w:hint="eastAsia" w:ascii="宋体" w:hAnsi="宋体" w:cs="宋体"/>
                <w:kern w:val="0"/>
              </w:rPr>
              <w:t>19. 工作温度：-40℃~+70℃；</w:t>
            </w:r>
            <w:r>
              <w:rPr>
                <w:rFonts w:hint="eastAsia" w:ascii="宋体" w:hAnsi="宋体" w:cs="宋体"/>
                <w:kern w:val="0"/>
              </w:rPr>
              <w:br w:type="textWrapping"/>
            </w:r>
            <w:r>
              <w:rPr>
                <w:rFonts w:hint="eastAsia" w:ascii="宋体" w:hAnsi="宋体" w:cs="宋体"/>
                <w:kern w:val="0"/>
              </w:rPr>
              <w:t>20. 防护等级：IP66；TVS 6000V防雷；防浪涌和防突波保护；符合GB/T 17626.5 4级标准。</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8</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球机支架</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1.吊装支架，材质金属</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9</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电源适配器</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1.输出电压：AC24V2A电源适配器，适用交流电，塑料外壳</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1718"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10</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光纤收发器</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1.电口速率：≥1个1000Mbps Base-T；</w:t>
            </w:r>
            <w:r>
              <w:rPr>
                <w:rFonts w:hint="eastAsia" w:ascii="宋体" w:hAnsi="宋体" w:cs="宋体"/>
                <w:kern w:val="0"/>
              </w:rPr>
              <w:br w:type="textWrapping"/>
            </w:r>
            <w:r>
              <w:rPr>
                <w:rFonts w:hint="eastAsia" w:ascii="宋体" w:hAnsi="宋体" w:cs="宋体"/>
                <w:kern w:val="0"/>
              </w:rPr>
              <w:t>2.光口速率：≥1个1000Mbps Base-SC；</w:t>
            </w:r>
            <w:r>
              <w:rPr>
                <w:rFonts w:hint="eastAsia" w:ascii="宋体" w:hAnsi="宋体" w:cs="宋体"/>
                <w:kern w:val="0"/>
              </w:rPr>
              <w:br w:type="textWrapping"/>
            </w:r>
            <w:r>
              <w:rPr>
                <w:rFonts w:hint="eastAsia" w:ascii="宋体" w:hAnsi="宋体" w:cs="宋体"/>
                <w:kern w:val="0"/>
              </w:rPr>
              <w:t>3.光接口类型：SC；</w:t>
            </w:r>
            <w:r>
              <w:rPr>
                <w:rFonts w:hint="eastAsia" w:ascii="宋体" w:hAnsi="宋体" w:cs="宋体"/>
                <w:kern w:val="0"/>
              </w:rPr>
              <w:br w:type="textWrapping"/>
            </w:r>
            <w:r>
              <w:rPr>
                <w:rFonts w:hint="eastAsia" w:ascii="宋体" w:hAnsi="宋体" w:cs="宋体"/>
                <w:kern w:val="0"/>
              </w:rPr>
              <w:t>4.形态：盒式；</w:t>
            </w:r>
            <w:r>
              <w:rPr>
                <w:rFonts w:hint="eastAsia" w:ascii="宋体" w:hAnsi="宋体" w:cs="宋体"/>
                <w:kern w:val="0"/>
              </w:rPr>
              <w:br w:type="textWrapping"/>
            </w:r>
            <w:r>
              <w:rPr>
                <w:rFonts w:hint="eastAsia" w:ascii="宋体" w:hAnsi="宋体" w:cs="宋体"/>
                <w:kern w:val="0"/>
              </w:rPr>
              <w:t>5.传输距离：≥20km；</w:t>
            </w:r>
            <w:r>
              <w:rPr>
                <w:rFonts w:hint="eastAsia" w:ascii="宋体" w:hAnsi="宋体" w:cs="宋体"/>
                <w:kern w:val="0"/>
              </w:rPr>
              <w:br w:type="textWrapping"/>
            </w:r>
            <w:r>
              <w:rPr>
                <w:rFonts w:hint="eastAsia" w:ascii="宋体" w:hAnsi="宋体" w:cs="宋体"/>
                <w:kern w:val="0"/>
              </w:rPr>
              <w:t>6.光纤类型：单模单纤；</w:t>
            </w:r>
            <w:r>
              <w:rPr>
                <w:rFonts w:hint="eastAsia" w:ascii="宋体" w:hAnsi="宋体" w:cs="宋体"/>
                <w:kern w:val="0"/>
              </w:rPr>
              <w:br w:type="textWrapping"/>
            </w:r>
            <w:r>
              <w:rPr>
                <w:rFonts w:hint="eastAsia" w:ascii="宋体" w:hAnsi="宋体" w:cs="宋体"/>
                <w:kern w:val="0"/>
              </w:rPr>
              <w:t>7.波长：1310nm 发送,1550nm 接收；</w:t>
            </w:r>
            <w:r>
              <w:rPr>
                <w:rFonts w:hint="eastAsia" w:ascii="宋体" w:hAnsi="宋体" w:cs="宋体"/>
                <w:kern w:val="0"/>
              </w:rPr>
              <w:br w:type="textWrapping"/>
            </w:r>
            <w:r>
              <w:rPr>
                <w:rFonts w:hint="eastAsia" w:ascii="宋体" w:hAnsi="宋体" w:cs="宋体"/>
                <w:kern w:val="0"/>
              </w:rPr>
              <w:t>8.安装方式：桌面。</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13</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11</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立杆</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1.高≥3.5米，横臂0.5米，材质：钢材</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13</w:t>
            </w:r>
          </w:p>
        </w:tc>
      </w:tr>
      <w:tr>
        <w:tblPrEx>
          <w:tblCellMar>
            <w:top w:w="0" w:type="dxa"/>
            <w:left w:w="108" w:type="dxa"/>
            <w:bottom w:w="0" w:type="dxa"/>
            <w:right w:w="108" w:type="dxa"/>
          </w:tblCellMar>
        </w:tblPrEx>
        <w:trPr>
          <w:trHeight w:val="430"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12</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超五类网线</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 材质：99.97%无氧铜线芯；</w:t>
            </w:r>
            <w:r>
              <w:rPr>
                <w:rFonts w:hint="eastAsia" w:ascii="宋体" w:hAnsi="宋体" w:cs="宋体"/>
                <w:kern w:val="0"/>
              </w:rPr>
              <w:br w:type="textWrapping"/>
            </w:r>
            <w:r>
              <w:rPr>
                <w:rFonts w:hint="eastAsia" w:ascii="宋体" w:hAnsi="宋体" w:cs="宋体"/>
                <w:kern w:val="0"/>
              </w:rPr>
              <w:t>2. 导体结构：4P*0.5±0.01mm。</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1460</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13</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电源线</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1.≥RVV2*1.0mm2，PVC材质，额定电压300/500V</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350</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14</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12芯铠装光缆</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1.室外单模铠装光缆；符合ITU-T标准，最少弯曲半径7.5mm；工作温度：-20～+60℃。</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650</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15</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光纤终端盒</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1.≥8口SC满配，桌面式，材质：加强冷轧板</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个</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15</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16</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光纤连接 (熔接法 单模)</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1.采用熔接法，现场熔接</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芯</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120</w:t>
            </w:r>
          </w:p>
        </w:tc>
      </w:tr>
      <w:tr>
        <w:tblPrEx>
          <w:tblCellMar>
            <w:top w:w="0" w:type="dxa"/>
            <w:left w:w="108" w:type="dxa"/>
            <w:bottom w:w="0" w:type="dxa"/>
            <w:right w:w="108" w:type="dxa"/>
          </w:tblCellMar>
        </w:tblPrEx>
        <w:trPr>
          <w:trHeight w:val="430"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17</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不锈钢防水配电箱</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1.不锈钢防水弱电箱</w:t>
            </w:r>
            <w:r>
              <w:rPr>
                <w:rFonts w:hint="eastAsia" w:ascii="宋体" w:hAnsi="宋体" w:cs="宋体"/>
                <w:kern w:val="0"/>
              </w:rPr>
              <w:br w:type="textWrapping"/>
            </w:r>
            <w:r>
              <w:rPr>
                <w:rFonts w:hint="eastAsia" w:ascii="宋体" w:hAnsi="宋体" w:cs="宋体"/>
                <w:kern w:val="0"/>
              </w:rPr>
              <w:t>2.国标202不锈钢，长*宽*高(450mm*220mm*550mm)</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15</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18</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室外PE管</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1.规格:≥Φ25，材质PE</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400</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19</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软管</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1.规格:≥Φ20，材质塑料</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160</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rPr>
            </w:pPr>
            <w:r>
              <w:rPr>
                <w:rFonts w:hint="eastAsia" w:ascii="宋体" w:hAnsi="宋体" w:cs="宋体"/>
                <w:b/>
                <w:bCs/>
                <w:kern w:val="0"/>
              </w:rPr>
              <w:t>十三、云广播系统</w:t>
            </w:r>
          </w:p>
        </w:tc>
      </w:tr>
      <w:tr>
        <w:tblPrEx>
          <w:tblCellMar>
            <w:top w:w="0" w:type="dxa"/>
            <w:left w:w="108" w:type="dxa"/>
            <w:bottom w:w="0" w:type="dxa"/>
            <w:right w:w="108" w:type="dxa"/>
          </w:tblCellMar>
        </w:tblPrEx>
        <w:trPr>
          <w:trHeight w:val="1503"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云广播音柱</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1.额定功率：30W</w:t>
            </w:r>
            <w:r>
              <w:rPr>
                <w:rFonts w:hint="eastAsia" w:ascii="宋体" w:hAnsi="宋体" w:cs="宋体"/>
                <w:kern w:val="0"/>
              </w:rPr>
              <w:br w:type="textWrapping"/>
            </w:r>
            <w:r>
              <w:rPr>
                <w:rFonts w:hint="eastAsia" w:ascii="宋体" w:hAnsi="宋体" w:cs="宋体"/>
                <w:kern w:val="0"/>
              </w:rPr>
              <w:t>2.额定阻抗：8Ω</w:t>
            </w:r>
            <w:r>
              <w:rPr>
                <w:rFonts w:hint="eastAsia" w:ascii="宋体" w:hAnsi="宋体" w:cs="宋体"/>
                <w:kern w:val="0"/>
              </w:rPr>
              <w:br w:type="textWrapping"/>
            </w:r>
            <w:r>
              <w:rPr>
                <w:rFonts w:hint="eastAsia" w:ascii="宋体" w:hAnsi="宋体" w:cs="宋体"/>
                <w:kern w:val="0"/>
              </w:rPr>
              <w:t>3.额定频率范围：120-15000Hz</w:t>
            </w:r>
            <w:r>
              <w:rPr>
                <w:rFonts w:hint="eastAsia" w:ascii="宋体" w:hAnsi="宋体" w:cs="宋体"/>
                <w:kern w:val="0"/>
              </w:rPr>
              <w:br w:type="textWrapping"/>
            </w:r>
            <w:r>
              <w:rPr>
                <w:rFonts w:hint="eastAsia" w:ascii="宋体" w:hAnsi="宋体" w:cs="宋体"/>
                <w:kern w:val="0"/>
              </w:rPr>
              <w:t>4.特性灵敏度：91dB</w:t>
            </w:r>
            <w:r>
              <w:rPr>
                <w:rFonts w:hint="eastAsia" w:ascii="宋体" w:hAnsi="宋体" w:cs="宋体"/>
                <w:kern w:val="0"/>
              </w:rPr>
              <w:br w:type="textWrapping"/>
            </w:r>
            <w:r>
              <w:rPr>
                <w:rFonts w:hint="eastAsia" w:ascii="宋体" w:hAnsi="宋体" w:cs="宋体"/>
                <w:kern w:val="0"/>
              </w:rPr>
              <w:t>5.防护等级：IP66</w:t>
            </w:r>
            <w:r>
              <w:rPr>
                <w:rFonts w:hint="eastAsia" w:ascii="宋体" w:hAnsi="宋体" w:cs="宋体"/>
                <w:kern w:val="0"/>
              </w:rPr>
              <w:br w:type="textWrapping"/>
            </w:r>
            <w:r>
              <w:rPr>
                <w:rFonts w:hint="eastAsia" w:ascii="宋体" w:hAnsi="宋体" w:cs="宋体"/>
                <w:kern w:val="0"/>
              </w:rPr>
              <w:t>6.外型尺寸：505*150*110mm</w:t>
            </w:r>
            <w:r>
              <w:rPr>
                <w:rFonts w:hint="eastAsia" w:ascii="宋体" w:hAnsi="宋体" w:cs="宋体"/>
                <w:kern w:val="0"/>
              </w:rPr>
              <w:br w:type="textWrapping"/>
            </w:r>
            <w:r>
              <w:rPr>
                <w:rFonts w:hint="eastAsia" w:ascii="宋体" w:hAnsi="宋体" w:cs="宋体"/>
                <w:kern w:val="0"/>
              </w:rPr>
              <w:t>7.材质：铝合金</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只</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9</w:t>
            </w:r>
          </w:p>
        </w:tc>
      </w:tr>
      <w:tr>
        <w:tblPrEx>
          <w:tblCellMar>
            <w:top w:w="0" w:type="dxa"/>
            <w:left w:w="108" w:type="dxa"/>
            <w:bottom w:w="0" w:type="dxa"/>
            <w:right w:w="108" w:type="dxa"/>
          </w:tblCellMar>
        </w:tblPrEx>
        <w:trPr>
          <w:trHeight w:val="1074"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桌面式IP播控话筒</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1.输入：2路立体声输入、1路话筒输入、2路U盘输入</w:t>
            </w:r>
            <w:r>
              <w:rPr>
                <w:rFonts w:hint="eastAsia" w:ascii="宋体" w:hAnsi="宋体" w:cs="宋体"/>
                <w:kern w:val="0"/>
              </w:rPr>
              <w:br w:type="textWrapping"/>
            </w:r>
            <w:r>
              <w:rPr>
                <w:rFonts w:hint="eastAsia" w:ascii="宋体" w:hAnsi="宋体" w:cs="宋体"/>
                <w:kern w:val="0"/>
              </w:rPr>
              <w:t>2.输出接口：1路RJ45接口，速率：100Mbps，支持TCP/IP协议、1路音频输出、1路扬声器输出(5W)（内置设备中）</w:t>
            </w:r>
            <w:r>
              <w:rPr>
                <w:rFonts w:hint="eastAsia" w:ascii="宋体" w:hAnsi="宋体" w:cs="宋体"/>
                <w:kern w:val="0"/>
              </w:rPr>
              <w:br w:type="textWrapping"/>
            </w:r>
            <w:r>
              <w:rPr>
                <w:rFonts w:hint="eastAsia" w:ascii="宋体" w:hAnsi="宋体" w:cs="宋体"/>
                <w:kern w:val="0"/>
              </w:rPr>
              <w:t>3.电源：DC12V/2A</w:t>
            </w:r>
            <w:r>
              <w:rPr>
                <w:rFonts w:hint="eastAsia" w:ascii="宋体" w:hAnsi="宋体" w:cs="宋体"/>
                <w:kern w:val="0"/>
              </w:rPr>
              <w:br w:type="textWrapping"/>
            </w:r>
            <w:r>
              <w:rPr>
                <w:rFonts w:hint="eastAsia" w:ascii="宋体" w:hAnsi="宋体" w:cs="宋体"/>
                <w:kern w:val="0"/>
              </w:rPr>
              <w:t>4.温度范围：0~45℃(工作), -20~80℃(存储)</w:t>
            </w:r>
            <w:r>
              <w:rPr>
                <w:rFonts w:hint="eastAsia" w:ascii="宋体" w:hAnsi="宋体" w:cs="宋体"/>
                <w:kern w:val="0"/>
              </w:rPr>
              <w:br w:type="textWrapping"/>
            </w:r>
            <w:r>
              <w:rPr>
                <w:rFonts w:hint="eastAsia" w:ascii="宋体" w:hAnsi="宋体" w:cs="宋体"/>
                <w:kern w:val="0"/>
              </w:rPr>
              <w:t>5.功耗：&lt;=24W</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1503"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3</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4G多模收扩机</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1.输入接口：1路网口，RJ45速率：100Mbps，支持TCP/IP协议</w:t>
            </w:r>
            <w:r>
              <w:rPr>
                <w:rFonts w:hint="eastAsia" w:ascii="宋体" w:hAnsi="宋体" w:cs="宋体"/>
                <w:kern w:val="0"/>
              </w:rPr>
              <w:br w:type="textWrapping"/>
            </w:r>
            <w:r>
              <w:rPr>
                <w:rFonts w:hint="eastAsia" w:ascii="宋体" w:hAnsi="宋体" w:cs="宋体"/>
                <w:kern w:val="0"/>
              </w:rPr>
              <w:t>2.接收模式：IP/4G</w:t>
            </w:r>
            <w:r>
              <w:rPr>
                <w:rFonts w:hint="eastAsia" w:ascii="宋体" w:hAnsi="宋体" w:cs="宋体"/>
                <w:kern w:val="0"/>
              </w:rPr>
              <w:br w:type="textWrapping"/>
            </w:r>
            <w:r>
              <w:rPr>
                <w:rFonts w:hint="eastAsia" w:ascii="宋体" w:hAnsi="宋体" w:cs="宋体"/>
                <w:kern w:val="0"/>
              </w:rPr>
              <w:t>3.输出：1路喇叭输出，8Ω/50W</w:t>
            </w:r>
            <w:r>
              <w:rPr>
                <w:rFonts w:hint="eastAsia" w:ascii="宋体" w:hAnsi="宋体" w:cs="宋体"/>
                <w:kern w:val="0"/>
              </w:rPr>
              <w:br w:type="textWrapping"/>
            </w:r>
            <w:r>
              <w:rPr>
                <w:rFonts w:hint="eastAsia" w:ascii="宋体" w:hAnsi="宋体" w:cs="宋体"/>
                <w:kern w:val="0"/>
              </w:rPr>
              <w:t>4.支持远程网络管理</w:t>
            </w:r>
            <w:r>
              <w:rPr>
                <w:rFonts w:hint="eastAsia" w:ascii="宋体" w:hAnsi="宋体" w:cs="宋体"/>
                <w:kern w:val="0"/>
              </w:rPr>
              <w:br w:type="textWrapping"/>
            </w:r>
            <w:r>
              <w:rPr>
                <w:rFonts w:hint="eastAsia" w:ascii="宋体" w:hAnsi="宋体" w:cs="宋体"/>
                <w:kern w:val="0"/>
              </w:rPr>
              <w:t>5.电源：AC 220V±15%，50Hz</w:t>
            </w:r>
            <w:r>
              <w:rPr>
                <w:rFonts w:hint="eastAsia" w:ascii="宋体" w:hAnsi="宋体" w:cs="宋体"/>
                <w:kern w:val="0"/>
              </w:rPr>
              <w:br w:type="textWrapping"/>
            </w:r>
            <w:r>
              <w:rPr>
                <w:rFonts w:hint="eastAsia" w:ascii="宋体" w:hAnsi="宋体" w:cs="宋体"/>
                <w:kern w:val="0"/>
              </w:rPr>
              <w:t>6.温度范围：-20~60℃(工作), -20~80℃(存储)</w:t>
            </w:r>
            <w:r>
              <w:rPr>
                <w:rFonts w:hint="eastAsia" w:ascii="宋体" w:hAnsi="宋体" w:cs="宋体"/>
                <w:kern w:val="0"/>
              </w:rPr>
              <w:br w:type="textWrapping"/>
            </w:r>
            <w:r>
              <w:rPr>
                <w:rFonts w:hint="eastAsia" w:ascii="宋体" w:hAnsi="宋体" w:cs="宋体"/>
                <w:kern w:val="0"/>
              </w:rPr>
              <w:t>7.外壳防护等级：IP66</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9</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4</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音箱线缆</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1.≥RVS2*1.0，材质金属</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1500</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5</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PE管</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1.规格:≥Φ20，材质：PE材质</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130</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6</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软管</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1.规格:≥Φ20，材质塑料</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60</w:t>
            </w:r>
          </w:p>
        </w:tc>
      </w:tr>
      <w:tr>
        <w:tblPrEx>
          <w:tblCellMar>
            <w:top w:w="0" w:type="dxa"/>
            <w:left w:w="108" w:type="dxa"/>
            <w:bottom w:w="0" w:type="dxa"/>
            <w:right w:w="108" w:type="dxa"/>
          </w:tblCellMar>
        </w:tblPrEx>
        <w:trPr>
          <w:trHeight w:val="430"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7</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网络</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1.网络下行带宽≥50M/条</w:t>
            </w:r>
            <w:r>
              <w:rPr>
                <w:rFonts w:hint="eastAsia" w:ascii="宋体" w:hAnsi="宋体" w:cs="宋体"/>
                <w:kern w:val="0"/>
              </w:rPr>
              <w:br w:type="textWrapping"/>
            </w:r>
            <w:r>
              <w:rPr>
                <w:rFonts w:hint="eastAsia" w:ascii="宋体" w:hAnsi="宋体" w:cs="宋体"/>
                <w:kern w:val="0"/>
              </w:rPr>
              <w:t>2.网络租赁期≥60个月</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条</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9</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rPr>
            </w:pPr>
            <w:r>
              <w:rPr>
                <w:rFonts w:hint="eastAsia" w:ascii="宋体" w:hAnsi="宋体" w:cs="宋体"/>
                <w:b/>
                <w:bCs/>
                <w:kern w:val="0"/>
              </w:rPr>
              <w:t>十四、室外管网</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PE管</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1.规格:≥Φ50，材质：PE材质</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636</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SC管</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1.规格:Φ50，材质：金属</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30</w:t>
            </w:r>
          </w:p>
        </w:tc>
      </w:tr>
      <w:tr>
        <w:tblPrEx>
          <w:tblCellMar>
            <w:top w:w="0" w:type="dxa"/>
            <w:left w:w="108" w:type="dxa"/>
            <w:bottom w:w="0" w:type="dxa"/>
            <w:right w:w="108" w:type="dxa"/>
          </w:tblCellMar>
        </w:tblPrEx>
        <w:trPr>
          <w:trHeight w:val="1074"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3</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挖沟槽、管道土方</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1.人工挖沟槽土方 ，（300*500mm）342m(三类土 槽深 2m以内)</w:t>
            </w:r>
            <w:r>
              <w:rPr>
                <w:rFonts w:hint="eastAsia" w:ascii="宋体" w:hAnsi="宋体" w:cs="宋体"/>
                <w:kern w:val="0"/>
              </w:rPr>
              <w:br w:type="textWrapping"/>
            </w:r>
            <w:r>
              <w:rPr>
                <w:rFonts w:hint="eastAsia" w:ascii="宋体" w:hAnsi="宋体" w:cs="宋体"/>
                <w:kern w:val="0"/>
              </w:rPr>
              <w:t>2.人工装车 (土方)</w:t>
            </w:r>
            <w:r>
              <w:rPr>
                <w:rFonts w:hint="eastAsia" w:ascii="宋体" w:hAnsi="宋体" w:cs="宋体"/>
                <w:kern w:val="0"/>
              </w:rPr>
              <w:br w:type="textWrapping"/>
            </w:r>
            <w:r>
              <w:rPr>
                <w:rFonts w:hint="eastAsia" w:ascii="宋体" w:hAnsi="宋体" w:cs="宋体"/>
                <w:kern w:val="0"/>
              </w:rPr>
              <w:t>3.自卸汽车运石碴 (载重10t以内 运距 10km)</w:t>
            </w:r>
            <w:r>
              <w:rPr>
                <w:rFonts w:hint="eastAsia" w:ascii="宋体" w:hAnsi="宋体" w:cs="宋体"/>
                <w:kern w:val="0"/>
              </w:rPr>
              <w:br w:type="textWrapping"/>
            </w:r>
            <w:r>
              <w:rPr>
                <w:rFonts w:hint="eastAsia" w:ascii="宋体" w:hAnsi="宋体" w:cs="宋体"/>
                <w:kern w:val="0"/>
              </w:rPr>
              <w:t>4.槽、坑回填砂 (人工摊铺夯实)</w:t>
            </w:r>
            <w:r>
              <w:rPr>
                <w:rFonts w:hint="eastAsia" w:ascii="宋体" w:hAnsi="宋体" w:cs="宋体"/>
                <w:kern w:val="0"/>
              </w:rPr>
              <w:br w:type="textWrapping"/>
            </w:r>
            <w:r>
              <w:rPr>
                <w:rFonts w:hint="eastAsia" w:ascii="宋体" w:hAnsi="宋体" w:cs="宋体"/>
                <w:kern w:val="0"/>
              </w:rPr>
              <w:t>5.水泥混凝土路面 (厚度20cm)</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m3</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51.3</w:t>
            </w:r>
          </w:p>
        </w:tc>
      </w:tr>
      <w:tr>
        <w:tblPrEx>
          <w:tblCellMar>
            <w:top w:w="0" w:type="dxa"/>
            <w:left w:w="108" w:type="dxa"/>
            <w:bottom w:w="0" w:type="dxa"/>
            <w:right w:w="108" w:type="dxa"/>
          </w:tblCellMar>
        </w:tblPrEx>
        <w:trPr>
          <w:trHeight w:val="1289"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4</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人(手)孔井</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1.人工挖基坑土方 (三类土 坑深 2m以内)</w:t>
            </w:r>
            <w:r>
              <w:rPr>
                <w:rFonts w:hint="eastAsia" w:ascii="宋体" w:hAnsi="宋体" w:cs="宋体"/>
                <w:kern w:val="0"/>
              </w:rPr>
              <w:br w:type="textWrapping"/>
            </w:r>
            <w:r>
              <w:rPr>
                <w:rFonts w:hint="eastAsia" w:ascii="宋体" w:hAnsi="宋体" w:cs="宋体"/>
                <w:kern w:val="0"/>
              </w:rPr>
              <w:t>2.人工装车 (土方)</w:t>
            </w:r>
            <w:r>
              <w:rPr>
                <w:rFonts w:hint="eastAsia" w:ascii="宋体" w:hAnsi="宋体" w:cs="宋体"/>
                <w:kern w:val="0"/>
              </w:rPr>
              <w:br w:type="textWrapping"/>
            </w:r>
            <w:r>
              <w:rPr>
                <w:rFonts w:hint="eastAsia" w:ascii="宋体" w:hAnsi="宋体" w:cs="宋体"/>
                <w:kern w:val="0"/>
              </w:rPr>
              <w:t>3.电缆井设置 砖砌井 矩形</w:t>
            </w:r>
            <w:r>
              <w:rPr>
                <w:rFonts w:hint="eastAsia" w:ascii="宋体" w:hAnsi="宋体" w:cs="宋体"/>
                <w:kern w:val="0"/>
              </w:rPr>
              <w:br w:type="textWrapping"/>
            </w:r>
            <w:r>
              <w:rPr>
                <w:rFonts w:hint="eastAsia" w:ascii="宋体" w:hAnsi="宋体" w:cs="宋体"/>
                <w:kern w:val="0"/>
              </w:rPr>
              <w:t>4.砖墙 (抹灰 井内侧)</w:t>
            </w:r>
            <w:r>
              <w:rPr>
                <w:rFonts w:hint="eastAsia" w:ascii="宋体" w:hAnsi="宋体" w:cs="宋体"/>
                <w:kern w:val="0"/>
              </w:rPr>
              <w:br w:type="textWrapping"/>
            </w:r>
            <w:r>
              <w:rPr>
                <w:rFonts w:hint="eastAsia" w:ascii="宋体" w:hAnsi="宋体" w:cs="宋体"/>
                <w:kern w:val="0"/>
              </w:rPr>
              <w:t>5.C20泵送混凝土 (垫层)</w:t>
            </w:r>
            <w:r>
              <w:rPr>
                <w:rFonts w:hint="eastAsia" w:ascii="宋体" w:hAnsi="宋体" w:cs="宋体"/>
                <w:kern w:val="0"/>
              </w:rPr>
              <w:br w:type="textWrapping"/>
            </w:r>
            <w:r>
              <w:rPr>
                <w:rFonts w:hint="eastAsia" w:ascii="宋体" w:hAnsi="宋体" w:cs="宋体"/>
                <w:kern w:val="0"/>
              </w:rPr>
              <w:t>6.球墨铸铁方井盖（≤400*400mm）</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座</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21</w:t>
            </w:r>
          </w:p>
        </w:tc>
      </w:tr>
      <w:tr>
        <w:tblPrEx>
          <w:tblCellMar>
            <w:top w:w="0" w:type="dxa"/>
            <w:left w:w="108" w:type="dxa"/>
            <w:bottom w:w="0" w:type="dxa"/>
            <w:right w:w="108" w:type="dxa"/>
          </w:tblCellMar>
        </w:tblPrEx>
        <w:trPr>
          <w:trHeight w:val="286" w:hRule="atLeast"/>
          <w:jc w:val="center"/>
        </w:trPr>
        <w:tc>
          <w:tcPr>
            <w:tcW w:w="97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rPr>
            </w:pPr>
            <w:r>
              <w:rPr>
                <w:rFonts w:hint="eastAsia" w:ascii="宋体" w:hAnsi="宋体" w:cs="宋体"/>
                <w:b/>
                <w:bCs/>
                <w:kern w:val="0"/>
              </w:rPr>
              <w:t>十五、系统集成施工服务</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c>
          <w:tcPr>
            <w:tcW w:w="1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物联网onepark系统维保服务</w:t>
            </w:r>
          </w:p>
        </w:tc>
        <w:tc>
          <w:tcPr>
            <w:tcW w:w="67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1.整体系统维护服务，维护服务≥5年</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286" w:hRule="atLeast"/>
          <w:jc w:val="center"/>
        </w:trPr>
        <w:tc>
          <w:tcPr>
            <w:tcW w:w="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2</w:t>
            </w:r>
          </w:p>
        </w:tc>
        <w:tc>
          <w:tcPr>
            <w:tcW w:w="1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rPr>
            </w:pPr>
            <w:r>
              <w:rPr>
                <w:rFonts w:hint="eastAsia" w:ascii="宋体" w:hAnsi="宋体" w:cs="宋体"/>
                <w:kern w:val="0"/>
              </w:rPr>
              <w:t>项目安装配套工程服务</w:t>
            </w:r>
          </w:p>
        </w:tc>
        <w:tc>
          <w:tcPr>
            <w:tcW w:w="6752"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rPr>
            </w:pPr>
            <w:r>
              <w:rPr>
                <w:rFonts w:hint="eastAsia" w:ascii="宋体" w:hAnsi="宋体" w:cs="宋体"/>
                <w:kern w:val="0"/>
              </w:rPr>
              <w:t>1.项目实施过程中的施工安装配套工程服务、各类措施服务、与各专业配合服务、文明施工服务、脚手架和机械入场服务等各类配套服务，由投标人自行预估</w:t>
            </w:r>
          </w:p>
        </w:tc>
        <w:tc>
          <w:tcPr>
            <w:tcW w:w="4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r>
    </w:tbl>
    <w:p>
      <w:pPr>
        <w:pStyle w:val="17"/>
        <w:spacing w:before="75" w:beforeAutospacing="0" w:after="75" w:afterAutospacing="0" w:line="500" w:lineRule="exact"/>
        <w:rPr>
          <w:rFonts w:asciiTheme="minorEastAsia" w:hAnsiTheme="minorEastAsia" w:eastAsiaTheme="minorEastAsia" w:cstheme="minorEastAsia"/>
          <w:b/>
          <w:bCs/>
          <w:color w:val="000000"/>
        </w:rPr>
      </w:pPr>
      <w:r>
        <w:rPr>
          <w:rStyle w:val="24"/>
          <w:rFonts w:hint="eastAsia" w:asciiTheme="minorEastAsia" w:hAnsiTheme="minorEastAsia" w:eastAsiaTheme="minorEastAsia" w:cstheme="minorEastAsia"/>
          <w:bCs/>
        </w:rPr>
        <w:t>★</w:t>
      </w:r>
      <w:r>
        <w:rPr>
          <w:rFonts w:hint="eastAsia" w:asciiTheme="minorEastAsia" w:hAnsiTheme="minorEastAsia" w:eastAsiaTheme="minorEastAsia" w:cstheme="minorEastAsia"/>
          <w:b/>
          <w:bCs/>
          <w:color w:val="000000"/>
        </w:rPr>
        <w:t>三、商务条件（以“★”标示的内容为不允许负偏离的实质性要求）</w:t>
      </w:r>
    </w:p>
    <w:p>
      <w:pPr>
        <w:widowControl/>
        <w:spacing w:before="75" w:after="75"/>
        <w:jc w:val="left"/>
        <w:rPr>
          <w:rFonts w:asciiTheme="minorEastAsia" w:hAnsiTheme="minorEastAsia" w:eastAsiaTheme="minorEastAsia" w:cstheme="minorEastAsia"/>
          <w:b/>
          <w:bCs/>
          <w:color w:val="393939"/>
          <w:kern w:val="0"/>
        </w:rPr>
      </w:pPr>
      <w:r>
        <w:rPr>
          <w:rFonts w:hint="eastAsia" w:asciiTheme="minorEastAsia" w:hAnsiTheme="minorEastAsia" w:eastAsiaTheme="minorEastAsia" w:cstheme="minorEastAsia"/>
          <w:b/>
          <w:bCs/>
          <w:color w:val="393939"/>
          <w:kern w:val="0"/>
        </w:rPr>
        <w:t>1、交付地点：</w:t>
      </w:r>
      <w:r>
        <w:rPr>
          <w:rFonts w:hint="eastAsia" w:asciiTheme="minorEastAsia" w:hAnsiTheme="minorEastAsia" w:eastAsiaTheme="minorEastAsia" w:cstheme="minorEastAsia"/>
          <w:b/>
          <w:bCs/>
        </w:rPr>
        <w:t>连城县南前花园小区</w:t>
      </w:r>
    </w:p>
    <w:p>
      <w:pPr>
        <w:widowControl/>
        <w:spacing w:before="75" w:after="75"/>
        <w:jc w:val="left"/>
        <w:rPr>
          <w:rFonts w:asciiTheme="minorEastAsia" w:hAnsiTheme="minorEastAsia" w:eastAsiaTheme="minorEastAsia" w:cstheme="minorEastAsia"/>
          <w:b/>
          <w:bCs/>
          <w:color w:val="393939"/>
          <w:kern w:val="0"/>
        </w:rPr>
      </w:pPr>
      <w:r>
        <w:rPr>
          <w:rFonts w:hint="eastAsia" w:asciiTheme="minorEastAsia" w:hAnsiTheme="minorEastAsia" w:eastAsiaTheme="minorEastAsia" w:cstheme="minorEastAsia"/>
          <w:b/>
          <w:bCs/>
          <w:color w:val="393939"/>
          <w:kern w:val="0"/>
        </w:rPr>
        <w:t>2、交付时间：</w:t>
      </w:r>
      <w:r>
        <w:rPr>
          <w:rFonts w:hint="eastAsia" w:asciiTheme="minorEastAsia" w:hAnsiTheme="minorEastAsia" w:eastAsiaTheme="minorEastAsia" w:cstheme="minorEastAsia"/>
          <w:b/>
          <w:bCs/>
        </w:rPr>
        <w:t>合同签订后(30)天内交货并完成安装</w:t>
      </w:r>
      <w:r>
        <w:rPr>
          <w:rFonts w:hint="eastAsia" w:asciiTheme="minorEastAsia" w:hAnsiTheme="minorEastAsia" w:eastAsiaTheme="minorEastAsia" w:cstheme="minorEastAsia"/>
          <w:b/>
          <w:bCs/>
          <w:color w:val="393939"/>
          <w:kern w:val="0"/>
        </w:rPr>
        <w:t>。</w:t>
      </w:r>
    </w:p>
    <w:p>
      <w:pPr>
        <w:widowControl/>
        <w:spacing w:before="75" w:after="75"/>
        <w:jc w:val="left"/>
        <w:rPr>
          <w:rFonts w:asciiTheme="minorEastAsia" w:hAnsiTheme="minorEastAsia" w:eastAsiaTheme="minorEastAsia" w:cstheme="minorEastAsia"/>
          <w:b/>
          <w:bCs/>
          <w:color w:val="393939"/>
          <w:kern w:val="0"/>
        </w:rPr>
      </w:pPr>
      <w:r>
        <w:rPr>
          <w:rFonts w:hint="eastAsia" w:asciiTheme="minorEastAsia" w:hAnsiTheme="minorEastAsia" w:eastAsiaTheme="minorEastAsia" w:cstheme="minorEastAsia"/>
          <w:b/>
          <w:bCs/>
          <w:color w:val="393939"/>
          <w:kern w:val="0"/>
        </w:rPr>
        <w:t>3、交付条件：</w:t>
      </w:r>
      <w:r>
        <w:rPr>
          <w:rFonts w:hint="eastAsia" w:asciiTheme="minorEastAsia" w:hAnsiTheme="minorEastAsia" w:eastAsiaTheme="minorEastAsia" w:cstheme="minorEastAsia"/>
          <w:b/>
          <w:bCs/>
        </w:rPr>
        <w:t>验收合格</w:t>
      </w:r>
      <w:r>
        <w:rPr>
          <w:rFonts w:hint="eastAsia" w:asciiTheme="minorEastAsia" w:hAnsiTheme="minorEastAsia" w:eastAsiaTheme="minorEastAsia" w:cstheme="minorEastAsia"/>
          <w:b/>
          <w:bCs/>
          <w:color w:val="393939"/>
          <w:kern w:val="0"/>
        </w:rPr>
        <w:t>。</w:t>
      </w:r>
    </w:p>
    <w:p>
      <w:pPr>
        <w:widowControl/>
        <w:spacing w:before="75" w:after="75"/>
        <w:jc w:val="left"/>
        <w:rPr>
          <w:rFonts w:asciiTheme="minorEastAsia" w:hAnsiTheme="minorEastAsia" w:eastAsiaTheme="minorEastAsia" w:cstheme="minorEastAsia"/>
          <w:b/>
          <w:bCs/>
          <w:color w:val="393939"/>
          <w:kern w:val="0"/>
        </w:rPr>
      </w:pPr>
      <w:r>
        <w:rPr>
          <w:rFonts w:hint="eastAsia" w:asciiTheme="minorEastAsia" w:hAnsiTheme="minorEastAsia" w:eastAsiaTheme="minorEastAsia" w:cstheme="minorEastAsia"/>
          <w:b/>
          <w:bCs/>
          <w:color w:val="393939"/>
          <w:kern w:val="0"/>
        </w:rPr>
        <w:t>4、是否收取履约保证金：无。</w:t>
      </w:r>
    </w:p>
    <w:p>
      <w:pPr>
        <w:widowControl/>
        <w:spacing w:before="75" w:after="75"/>
        <w:jc w:val="left"/>
        <w:rPr>
          <w:rFonts w:asciiTheme="minorEastAsia" w:hAnsiTheme="minorEastAsia" w:eastAsiaTheme="minorEastAsia" w:cstheme="minorEastAsia"/>
          <w:b/>
          <w:bCs/>
          <w:color w:val="393939"/>
          <w:kern w:val="0"/>
        </w:rPr>
      </w:pPr>
      <w:r>
        <w:rPr>
          <w:rFonts w:hint="eastAsia" w:asciiTheme="minorEastAsia" w:hAnsiTheme="minorEastAsia" w:eastAsiaTheme="minorEastAsia" w:cstheme="minorEastAsia"/>
          <w:b/>
          <w:bCs/>
          <w:color w:val="393939"/>
          <w:kern w:val="0"/>
        </w:rPr>
        <w:t>5、是否邀请投标人参与验收：否。</w:t>
      </w:r>
    </w:p>
    <w:p>
      <w:pPr>
        <w:widowControl/>
        <w:spacing w:before="75" w:after="75"/>
        <w:jc w:val="left"/>
        <w:rPr>
          <w:rFonts w:asciiTheme="minorEastAsia" w:hAnsiTheme="minorEastAsia" w:eastAsiaTheme="minorEastAsia" w:cstheme="minorEastAsia"/>
          <w:b/>
          <w:bCs/>
          <w:color w:val="393939"/>
          <w:kern w:val="0"/>
        </w:rPr>
      </w:pPr>
      <w:r>
        <w:rPr>
          <w:rFonts w:hint="eastAsia" w:asciiTheme="minorEastAsia" w:hAnsiTheme="minorEastAsia" w:eastAsiaTheme="minorEastAsia" w:cstheme="minorEastAsia"/>
          <w:b/>
          <w:bCs/>
          <w:color w:val="393939"/>
          <w:kern w:val="0"/>
        </w:rPr>
        <w:t xml:space="preserve">6、验收方式数据表格 </w:t>
      </w:r>
    </w:p>
    <w:tbl>
      <w:tblPr>
        <w:tblStyle w:val="21"/>
        <w:tblW w:w="4999"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63"/>
        <w:gridCol w:w="66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61" w:hRule="atLeast"/>
          <w:tblHeader/>
        </w:trPr>
        <w:tc>
          <w:tcPr>
            <w:tcW w:w="999" w:type="pct"/>
            <w:tcBorders>
              <w:top w:val="outset" w:color="auto" w:sz="6" w:space="0"/>
              <w:left w:val="outset" w:color="auto" w:sz="6" w:space="0"/>
              <w:bottom w:val="outset" w:color="auto" w:sz="6" w:space="0"/>
              <w:right w:val="outset" w:color="auto" w:sz="6" w:space="0"/>
            </w:tcBorders>
            <w:vAlign w:val="center"/>
          </w:tcPr>
          <w:p>
            <w:pPr>
              <w:widowControl/>
              <w:jc w:val="center"/>
              <w:rPr>
                <w:rFonts w:asciiTheme="minorEastAsia" w:hAnsiTheme="minorEastAsia" w:eastAsiaTheme="minorEastAsia" w:cstheme="minorEastAsia"/>
                <w:b/>
                <w:bCs/>
                <w:color w:val="393939"/>
                <w:kern w:val="0"/>
                <w:sz w:val="24"/>
                <w:szCs w:val="24"/>
              </w:rPr>
            </w:pPr>
            <w:r>
              <w:rPr>
                <w:rFonts w:hint="eastAsia" w:asciiTheme="minorEastAsia" w:hAnsiTheme="minorEastAsia" w:eastAsiaTheme="minorEastAsia" w:cstheme="minorEastAsia"/>
                <w:b/>
                <w:bCs/>
                <w:color w:val="393939"/>
                <w:kern w:val="0"/>
                <w:sz w:val="24"/>
                <w:szCs w:val="24"/>
              </w:rPr>
              <w:t>验收期次</w:t>
            </w:r>
          </w:p>
        </w:tc>
        <w:tc>
          <w:tcPr>
            <w:tcW w:w="4000" w:type="pct"/>
            <w:tcBorders>
              <w:top w:val="outset" w:color="auto" w:sz="6" w:space="0"/>
              <w:left w:val="outset" w:color="auto" w:sz="6" w:space="0"/>
              <w:bottom w:val="outset" w:color="auto" w:sz="6" w:space="0"/>
              <w:right w:val="outset" w:color="auto" w:sz="6" w:space="0"/>
            </w:tcBorders>
            <w:vAlign w:val="center"/>
          </w:tcPr>
          <w:p>
            <w:pPr>
              <w:widowControl/>
              <w:jc w:val="center"/>
              <w:rPr>
                <w:rFonts w:asciiTheme="minorEastAsia" w:hAnsiTheme="minorEastAsia" w:eastAsiaTheme="minorEastAsia" w:cstheme="minorEastAsia"/>
                <w:b/>
                <w:bCs/>
                <w:color w:val="393939"/>
                <w:kern w:val="0"/>
                <w:sz w:val="24"/>
                <w:szCs w:val="24"/>
              </w:rPr>
            </w:pPr>
            <w:r>
              <w:rPr>
                <w:rFonts w:hint="eastAsia" w:asciiTheme="minorEastAsia" w:hAnsiTheme="minorEastAsia" w:eastAsiaTheme="minorEastAsia" w:cstheme="minorEastAsia"/>
                <w:b/>
                <w:bCs/>
                <w:color w:val="393939"/>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trPr>
        <w:tc>
          <w:tcPr>
            <w:tcW w:w="999" w:type="pct"/>
            <w:tcBorders>
              <w:top w:val="outset" w:color="auto" w:sz="6" w:space="0"/>
              <w:left w:val="outset" w:color="auto" w:sz="6" w:space="0"/>
              <w:bottom w:val="outset" w:color="auto" w:sz="6" w:space="0"/>
              <w:right w:val="outset" w:color="auto" w:sz="6" w:space="0"/>
            </w:tcBorders>
            <w:vAlign w:val="center"/>
          </w:tcPr>
          <w:p>
            <w:pPr>
              <w:widowControl/>
              <w:jc w:val="center"/>
              <w:rPr>
                <w:rFonts w:asciiTheme="minorEastAsia" w:hAnsiTheme="minorEastAsia" w:eastAsiaTheme="minorEastAsia" w:cstheme="minorEastAsia"/>
                <w:b/>
                <w:bCs/>
                <w:color w:val="393939"/>
                <w:kern w:val="0"/>
                <w:sz w:val="24"/>
                <w:szCs w:val="24"/>
              </w:rPr>
            </w:pPr>
            <w:r>
              <w:rPr>
                <w:rFonts w:hint="eastAsia" w:asciiTheme="minorEastAsia" w:hAnsiTheme="minorEastAsia" w:eastAsiaTheme="minorEastAsia" w:cstheme="minorEastAsia"/>
                <w:b/>
                <w:bCs/>
                <w:color w:val="393939"/>
                <w:kern w:val="0"/>
                <w:sz w:val="24"/>
                <w:szCs w:val="24"/>
              </w:rPr>
              <w:t>1</w:t>
            </w:r>
          </w:p>
        </w:tc>
        <w:tc>
          <w:tcPr>
            <w:tcW w:w="4000" w:type="pct"/>
            <w:tcBorders>
              <w:top w:val="outset" w:color="auto" w:sz="6" w:space="0"/>
              <w:left w:val="outset" w:color="auto" w:sz="6" w:space="0"/>
              <w:bottom w:val="outset" w:color="auto" w:sz="6" w:space="0"/>
              <w:right w:val="outset" w:color="auto" w:sz="6" w:space="0"/>
            </w:tcBorders>
            <w:vAlign w:val="center"/>
          </w:tcPr>
          <w:p>
            <w:pPr>
              <w:widowControl/>
              <w:jc w:val="center"/>
              <w:rPr>
                <w:rFonts w:asciiTheme="minorEastAsia" w:hAnsiTheme="minorEastAsia" w:eastAsiaTheme="minorEastAsia" w:cstheme="minorEastAsia"/>
                <w:b/>
                <w:bCs/>
                <w:color w:val="393939"/>
                <w:kern w:val="0"/>
                <w:sz w:val="24"/>
                <w:szCs w:val="24"/>
              </w:rPr>
            </w:pPr>
            <w:r>
              <w:rPr>
                <w:rFonts w:hint="eastAsia" w:asciiTheme="minorEastAsia" w:hAnsiTheme="minorEastAsia" w:eastAsiaTheme="minorEastAsia" w:cstheme="minorEastAsia"/>
                <w:color w:val="393939"/>
                <w:kern w:val="0"/>
                <w:sz w:val="24"/>
                <w:szCs w:val="24"/>
              </w:rPr>
              <w:t>按照招标文件及合同要求验收。</w:t>
            </w:r>
          </w:p>
        </w:tc>
      </w:tr>
    </w:tbl>
    <w:p>
      <w:pPr>
        <w:widowControl/>
        <w:jc w:val="left"/>
        <w:rPr>
          <w:rFonts w:asciiTheme="minorEastAsia" w:hAnsiTheme="minorEastAsia" w:eastAsiaTheme="minorEastAsia" w:cstheme="minorEastAsia"/>
          <w:b/>
          <w:bCs/>
          <w:kern w:val="0"/>
        </w:rPr>
      </w:pPr>
      <w:r>
        <w:rPr>
          <w:rFonts w:hint="eastAsia" w:asciiTheme="minorEastAsia" w:hAnsiTheme="minorEastAsia" w:eastAsiaTheme="minorEastAsia" w:cstheme="minorEastAsia"/>
          <w:b/>
          <w:bCs/>
          <w:color w:val="393939"/>
          <w:kern w:val="0"/>
        </w:rPr>
        <w:t xml:space="preserve">7、支付方式数据表格 </w:t>
      </w:r>
    </w:p>
    <w:tbl>
      <w:tblPr>
        <w:tblStyle w:val="21"/>
        <w:tblW w:w="4999"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59"/>
        <w:gridCol w:w="1609"/>
        <w:gridCol w:w="556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695"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119"/>
              <w:jc w:val="left"/>
              <w:rPr>
                <w:rFonts w:asciiTheme="minorEastAsia" w:hAnsiTheme="minorEastAsia" w:eastAsiaTheme="minorEastAsia" w:cstheme="minorEastAsia"/>
                <w:b/>
                <w:bCs/>
                <w:kern w:val="0"/>
                <w:sz w:val="24"/>
                <w:szCs w:val="32"/>
              </w:rPr>
            </w:pPr>
            <w:r>
              <w:rPr>
                <w:rFonts w:hint="eastAsia" w:asciiTheme="minorEastAsia" w:hAnsiTheme="minorEastAsia" w:eastAsiaTheme="minorEastAsia" w:cstheme="minorEastAsia"/>
                <w:b/>
                <w:bCs/>
                <w:kern w:val="0"/>
                <w:sz w:val="24"/>
                <w:szCs w:val="32"/>
              </w:rPr>
              <w:t>支付期次</w:t>
            </w:r>
          </w:p>
        </w:tc>
        <w:tc>
          <w:tcPr>
            <w:tcW w:w="965"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128"/>
              <w:jc w:val="left"/>
              <w:rPr>
                <w:rFonts w:asciiTheme="minorEastAsia" w:hAnsiTheme="minorEastAsia" w:eastAsiaTheme="minorEastAsia" w:cstheme="minorEastAsia"/>
                <w:b/>
                <w:bCs/>
                <w:kern w:val="0"/>
                <w:sz w:val="24"/>
                <w:szCs w:val="32"/>
              </w:rPr>
            </w:pPr>
            <w:r>
              <w:rPr>
                <w:rFonts w:hint="eastAsia" w:asciiTheme="minorEastAsia" w:hAnsiTheme="minorEastAsia" w:eastAsiaTheme="minorEastAsia" w:cstheme="minorEastAsia"/>
                <w:b/>
                <w:bCs/>
                <w:kern w:val="0"/>
                <w:sz w:val="24"/>
                <w:szCs w:val="32"/>
              </w:rPr>
              <w:t>支付比例(%)</w:t>
            </w:r>
          </w:p>
        </w:tc>
        <w:tc>
          <w:tcPr>
            <w:tcW w:w="333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Theme="minorEastAsia" w:hAnsiTheme="minorEastAsia" w:eastAsiaTheme="minorEastAsia" w:cstheme="minorEastAsia"/>
                <w:b/>
                <w:bCs/>
                <w:kern w:val="0"/>
                <w:sz w:val="24"/>
                <w:szCs w:val="32"/>
              </w:rPr>
            </w:pPr>
            <w:r>
              <w:rPr>
                <w:rFonts w:hint="eastAsia" w:asciiTheme="minorEastAsia" w:hAnsiTheme="minorEastAsia" w:eastAsiaTheme="minorEastAsia" w:cstheme="minorEastAsia"/>
                <w:b/>
                <w:bCs/>
                <w:kern w:val="0"/>
                <w:sz w:val="24"/>
                <w:szCs w:val="32"/>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95"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jc w:val="left"/>
              <w:rPr>
                <w:rFonts w:asciiTheme="minorEastAsia" w:hAnsiTheme="minorEastAsia" w:eastAsiaTheme="minorEastAsia" w:cstheme="minorEastAsia"/>
                <w:bCs/>
                <w:kern w:val="0"/>
                <w:sz w:val="24"/>
                <w:szCs w:val="32"/>
              </w:rPr>
            </w:pPr>
            <w:r>
              <w:rPr>
                <w:rFonts w:hint="eastAsia" w:asciiTheme="minorEastAsia" w:hAnsiTheme="minorEastAsia" w:eastAsiaTheme="minorEastAsia" w:cstheme="minorEastAsia"/>
                <w:bCs/>
                <w:kern w:val="0"/>
                <w:sz w:val="24"/>
                <w:szCs w:val="32"/>
              </w:rPr>
              <w:t>1</w:t>
            </w:r>
          </w:p>
        </w:tc>
        <w:tc>
          <w:tcPr>
            <w:tcW w:w="965"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jc w:val="left"/>
              <w:rPr>
                <w:rFonts w:asciiTheme="minorEastAsia" w:hAnsiTheme="minorEastAsia" w:eastAsiaTheme="minorEastAsia" w:cstheme="minorEastAsia"/>
                <w:bCs/>
                <w:kern w:val="0"/>
                <w:sz w:val="24"/>
                <w:szCs w:val="32"/>
              </w:rPr>
            </w:pPr>
            <w:r>
              <w:rPr>
                <w:rFonts w:hint="eastAsia" w:asciiTheme="minorEastAsia" w:hAnsiTheme="minorEastAsia" w:eastAsiaTheme="minorEastAsia" w:cstheme="minorEastAsia"/>
                <w:bCs/>
                <w:kern w:val="0"/>
                <w:sz w:val="24"/>
                <w:szCs w:val="32"/>
              </w:rPr>
              <w:t>85</w:t>
            </w:r>
          </w:p>
        </w:tc>
        <w:tc>
          <w:tcPr>
            <w:tcW w:w="333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Theme="minorEastAsia" w:hAnsiTheme="minorEastAsia" w:eastAsiaTheme="minorEastAsia" w:cstheme="minorEastAsia"/>
                <w:bCs/>
                <w:kern w:val="0"/>
                <w:sz w:val="24"/>
                <w:szCs w:val="32"/>
              </w:rPr>
            </w:pPr>
            <w:r>
              <w:rPr>
                <w:rFonts w:hint="eastAsia" w:asciiTheme="minorEastAsia" w:hAnsiTheme="minorEastAsia" w:eastAsiaTheme="minorEastAsia" w:cstheme="minorEastAsia"/>
                <w:bCs/>
                <w:kern w:val="0"/>
                <w:sz w:val="24"/>
                <w:szCs w:val="32"/>
              </w:rPr>
              <w:t>完成所有技术服务内容后，经采购人及相关部门完成整体验收合格后在15个工作日内付至工程总造价的85%，且不超过中标价的85%；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95"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jc w:val="left"/>
              <w:rPr>
                <w:rFonts w:asciiTheme="minorEastAsia" w:hAnsiTheme="minorEastAsia" w:eastAsiaTheme="minorEastAsia" w:cstheme="minorEastAsia"/>
                <w:bCs/>
                <w:kern w:val="0"/>
                <w:sz w:val="24"/>
                <w:szCs w:val="32"/>
              </w:rPr>
            </w:pPr>
            <w:r>
              <w:rPr>
                <w:rFonts w:hint="eastAsia" w:asciiTheme="minorEastAsia" w:hAnsiTheme="minorEastAsia" w:eastAsiaTheme="minorEastAsia" w:cstheme="minorEastAsia"/>
                <w:bCs/>
                <w:kern w:val="0"/>
                <w:sz w:val="24"/>
                <w:szCs w:val="32"/>
              </w:rPr>
              <w:t>2</w:t>
            </w:r>
          </w:p>
        </w:tc>
        <w:tc>
          <w:tcPr>
            <w:tcW w:w="965"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jc w:val="left"/>
              <w:rPr>
                <w:rFonts w:asciiTheme="minorEastAsia" w:hAnsiTheme="minorEastAsia" w:eastAsiaTheme="minorEastAsia" w:cstheme="minorEastAsia"/>
                <w:bCs/>
                <w:kern w:val="0"/>
                <w:sz w:val="24"/>
                <w:szCs w:val="32"/>
              </w:rPr>
            </w:pPr>
            <w:r>
              <w:rPr>
                <w:rFonts w:hint="eastAsia" w:asciiTheme="minorEastAsia" w:hAnsiTheme="minorEastAsia" w:eastAsiaTheme="minorEastAsia" w:cstheme="minorEastAsia"/>
                <w:bCs/>
                <w:kern w:val="0"/>
                <w:sz w:val="24"/>
                <w:szCs w:val="32"/>
              </w:rPr>
              <w:t>12</w:t>
            </w:r>
          </w:p>
        </w:tc>
        <w:tc>
          <w:tcPr>
            <w:tcW w:w="333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Theme="minorEastAsia" w:hAnsiTheme="minorEastAsia" w:eastAsiaTheme="minorEastAsia" w:cstheme="minorEastAsia"/>
                <w:bCs/>
                <w:kern w:val="0"/>
                <w:sz w:val="24"/>
                <w:szCs w:val="32"/>
              </w:rPr>
            </w:pPr>
            <w:r>
              <w:rPr>
                <w:rFonts w:hint="eastAsia" w:asciiTheme="minorEastAsia" w:hAnsiTheme="minorEastAsia" w:eastAsiaTheme="minorEastAsia" w:cstheme="minorEastAsia"/>
                <w:sz w:val="24"/>
              </w:rPr>
              <w:t>项目经第三方机构或有权部门结算审核确认后支付至结算审核价的97%；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95"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jc w:val="left"/>
              <w:rPr>
                <w:rFonts w:asciiTheme="minorEastAsia" w:hAnsiTheme="minorEastAsia" w:eastAsiaTheme="minorEastAsia" w:cstheme="minorEastAsia"/>
                <w:bCs/>
                <w:kern w:val="0"/>
                <w:sz w:val="24"/>
                <w:szCs w:val="32"/>
              </w:rPr>
            </w:pPr>
            <w:r>
              <w:rPr>
                <w:rFonts w:hint="eastAsia" w:asciiTheme="minorEastAsia" w:hAnsiTheme="minorEastAsia" w:eastAsiaTheme="minorEastAsia" w:cstheme="minorEastAsia"/>
                <w:bCs/>
                <w:kern w:val="0"/>
                <w:sz w:val="24"/>
                <w:szCs w:val="32"/>
              </w:rPr>
              <w:t>3</w:t>
            </w:r>
          </w:p>
        </w:tc>
        <w:tc>
          <w:tcPr>
            <w:tcW w:w="965"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jc w:val="left"/>
              <w:rPr>
                <w:rFonts w:asciiTheme="minorEastAsia" w:hAnsiTheme="minorEastAsia" w:eastAsiaTheme="minorEastAsia" w:cstheme="minorEastAsia"/>
                <w:bCs/>
                <w:kern w:val="0"/>
                <w:sz w:val="24"/>
                <w:szCs w:val="32"/>
              </w:rPr>
            </w:pPr>
            <w:r>
              <w:rPr>
                <w:rFonts w:hint="eastAsia" w:asciiTheme="minorEastAsia" w:hAnsiTheme="minorEastAsia" w:eastAsiaTheme="minorEastAsia" w:cstheme="minorEastAsia"/>
                <w:bCs/>
                <w:kern w:val="0"/>
                <w:sz w:val="24"/>
                <w:szCs w:val="32"/>
              </w:rPr>
              <w:t>3</w:t>
            </w:r>
          </w:p>
        </w:tc>
        <w:tc>
          <w:tcPr>
            <w:tcW w:w="333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Theme="minorEastAsia" w:hAnsiTheme="minorEastAsia" w:eastAsiaTheme="minorEastAsia" w:cstheme="minorEastAsia"/>
                <w:bCs/>
                <w:kern w:val="0"/>
                <w:sz w:val="24"/>
                <w:szCs w:val="32"/>
              </w:rPr>
            </w:pPr>
            <w:r>
              <w:rPr>
                <w:rFonts w:hint="eastAsia" w:asciiTheme="minorEastAsia" w:hAnsiTheme="minorEastAsia" w:eastAsiaTheme="minorEastAsia" w:cstheme="minorEastAsia"/>
                <w:bCs/>
                <w:kern w:val="0"/>
                <w:sz w:val="24"/>
                <w:szCs w:val="32"/>
              </w:rPr>
              <w:t>余款3%，</w:t>
            </w:r>
            <w:r>
              <w:rPr>
                <w:rFonts w:hint="eastAsia" w:asciiTheme="minorEastAsia" w:hAnsiTheme="minorEastAsia" w:eastAsiaTheme="minorEastAsia" w:cstheme="minorEastAsia"/>
                <w:sz w:val="24"/>
              </w:rPr>
              <w:t>设备质保期期满后15个工作日内支付至合同结算审核价的100%。</w:t>
            </w:r>
          </w:p>
        </w:tc>
      </w:tr>
    </w:tbl>
    <w:p>
      <w:pPr>
        <w:widowControl/>
        <w:spacing w:before="75" w:after="75"/>
        <w:jc w:val="left"/>
        <w:rPr>
          <w:rFonts w:asciiTheme="minorEastAsia" w:hAnsiTheme="minorEastAsia" w:eastAsiaTheme="minorEastAsia" w:cstheme="minorEastAsia"/>
          <w:b/>
          <w:bCs/>
          <w:color w:val="393939"/>
          <w:kern w:val="0"/>
        </w:rPr>
      </w:pPr>
      <w:r>
        <w:rPr>
          <w:rFonts w:hint="eastAsia" w:asciiTheme="minorEastAsia" w:hAnsiTheme="minorEastAsia" w:eastAsiaTheme="minorEastAsia" w:cstheme="minorEastAsia"/>
          <w:b/>
          <w:bCs/>
          <w:color w:val="393939"/>
          <w:kern w:val="0"/>
        </w:rPr>
        <w:t>8、验收标准及要求</w:t>
      </w:r>
    </w:p>
    <w:p>
      <w:pPr>
        <w:numPr>
          <w:ilvl w:val="0"/>
          <w:numId w:val="5"/>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验收依据：根据本招标文件、中标供应商的响应文件、承诺及有关国家、行业规定进行验收。</w:t>
      </w:r>
    </w:p>
    <w:p>
      <w:pPr>
        <w:numPr>
          <w:ilvl w:val="0"/>
          <w:numId w:val="5"/>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货物验收：货物运抵采购人处后由双方对照采购清单及技术要求进行验收。采购人一经发现中标人提供的材料设备与投标文件投报产品品牌型号不一致的，或产品参数要求不满足合同要求的，视为中标人违约，采购人有权追究中标人的法律责任，如解除合同等，中标人还需承担相应的赔偿。</w:t>
      </w:r>
    </w:p>
    <w:p>
      <w:pPr>
        <w:numPr>
          <w:ilvl w:val="0"/>
          <w:numId w:val="5"/>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货物到货验收时中标供应商代表必须在场，并提供产品合格证、质量保证文件等相关证明材料。</w:t>
      </w:r>
    </w:p>
    <w:p>
      <w:pPr>
        <w:numPr>
          <w:ilvl w:val="0"/>
          <w:numId w:val="5"/>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设备到场后，所有部件中标人都不得私自开箱(或拆封)，必须先经过采购单位有关人员检验后方可开箱进行安装，否则采购单位有权拒绝安装和验收。</w:t>
      </w:r>
    </w:p>
    <w:p>
      <w:pPr>
        <w:numPr>
          <w:ilvl w:val="0"/>
          <w:numId w:val="5"/>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系统验收：中标供应商根据招标文件进行产品安装、调试、测试、试运行后，由采购人或采购人组织进行使用性能方面的验收。</w:t>
      </w:r>
    </w:p>
    <w:p>
      <w:pPr>
        <w:numPr>
          <w:ilvl w:val="0"/>
          <w:numId w:val="5"/>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中标人应根据项目需求提交与本次需求有关的相关成果，技术规范等有关资料必须符合国家相应的有关标准、规范要求。</w:t>
      </w:r>
    </w:p>
    <w:p>
      <w:pPr>
        <w:numPr>
          <w:ilvl w:val="0"/>
          <w:numId w:val="5"/>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工程完成情况，培训和系统试运行结束后（系统试运行1个自然月），依中标人提交的竣工资料及申请，由采购人组织验收，验收组按照国家有关标准及招标文件进行验收，并出具验收意见，中标人负责向验收组提交验收所需文件。</w:t>
      </w:r>
    </w:p>
    <w:p>
      <w:pPr>
        <w:numPr>
          <w:ilvl w:val="0"/>
          <w:numId w:val="5"/>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验收过程所发生的一切费用由中标人承担。 </w:t>
      </w:r>
    </w:p>
    <w:p>
      <w:pPr>
        <w:widowControl/>
        <w:spacing w:before="75" w:after="75"/>
        <w:jc w:val="left"/>
        <w:rPr>
          <w:rFonts w:asciiTheme="minorEastAsia" w:hAnsiTheme="minorEastAsia" w:eastAsiaTheme="minorEastAsia" w:cstheme="minorEastAsia"/>
          <w:b/>
          <w:bCs/>
          <w:color w:val="393939"/>
          <w:kern w:val="0"/>
        </w:rPr>
      </w:pPr>
      <w:r>
        <w:rPr>
          <w:rFonts w:hint="eastAsia" w:asciiTheme="minorEastAsia" w:hAnsiTheme="minorEastAsia" w:eastAsiaTheme="minorEastAsia" w:cstheme="minorEastAsia"/>
          <w:b/>
          <w:bCs/>
          <w:color w:val="393939"/>
          <w:kern w:val="0"/>
        </w:rPr>
        <w:t>9、售后要求</w:t>
      </w:r>
    </w:p>
    <w:p>
      <w:pPr>
        <w:numPr>
          <w:ilvl w:val="0"/>
          <w:numId w:val="6"/>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投标人保证所提供的设备是全新、未曾使用过的，其质量、规格及技术特征符合招标文件的要求，按照本采购项目特点提供长期良好的售 后服务。</w:t>
      </w:r>
    </w:p>
    <w:p>
      <w:pPr>
        <w:numPr>
          <w:ilvl w:val="0"/>
          <w:numId w:val="6"/>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中标人应派技术人员到现场安装、调试至正常工作，并对采购单位技术人员进行现场培训指导直至能独立操作、排除简单故障。</w:t>
      </w:r>
    </w:p>
    <w:p>
      <w:pPr>
        <w:numPr>
          <w:ilvl w:val="0"/>
          <w:numId w:val="6"/>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招标设备详细要求中有特殊要求的除外，所有设备及配件均要求在验收合格之日起五年维护期（从交付使用之日起开始计算）。维护期内，须按合同条款提供免费服务，非因操作不当造成要更换的零配件及货物由成交人负责包修、包换。</w:t>
      </w:r>
    </w:p>
    <w:p>
      <w:pPr>
        <w:numPr>
          <w:ilvl w:val="0"/>
          <w:numId w:val="6"/>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在质保期间出现故障，中标人应在接到采购人通知后2小时以内响应，12小时内维修人员到场，24小时内排除故障。24小时内无法排除故障的，须在3个日历日内提供代用设备或提出经采购人同意的解决方案。</w:t>
      </w:r>
    </w:p>
    <w:p>
      <w:pPr>
        <w:numPr>
          <w:ilvl w:val="0"/>
          <w:numId w:val="6"/>
        </w:num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中标人应向采购人提供完整的产品技术资料，货物制造商的出厂检验报告、合格证书。应提供产品相关的配套技术资料，包括操作手册（中文版）及维修保养手册等。</w:t>
      </w:r>
    </w:p>
    <w:p>
      <w:pPr>
        <w:numPr>
          <w:ilvl w:val="0"/>
          <w:numId w:val="6"/>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供应商应针对本次投标提供详细的售后服务方案及承诺，内容应涉及：维护机构、人员、地址、电话、维修方式、保修方式、培训计划、保修期满后的维修保养费用等</w:t>
      </w:r>
      <w:r>
        <w:rPr>
          <w:rFonts w:hint="eastAsia" w:asciiTheme="minorEastAsia" w:hAnsiTheme="minorEastAsia" w:eastAsiaTheme="minorEastAsia" w:cstheme="minorEastAsia"/>
          <w:sz w:val="24"/>
        </w:rPr>
        <w:t>。</w:t>
      </w:r>
    </w:p>
    <w:p>
      <w:pPr>
        <w:pStyle w:val="7"/>
        <w:rPr>
          <w:rFonts w:asciiTheme="minorEastAsia" w:hAnsiTheme="minorEastAsia" w:eastAsiaTheme="minorEastAsia" w:cstheme="minorEastAsia"/>
        </w:rPr>
      </w:pPr>
      <w:r>
        <w:rPr>
          <w:rFonts w:hint="eastAsia" w:asciiTheme="minorEastAsia" w:hAnsiTheme="minorEastAsia" w:eastAsiaTheme="minorEastAsia" w:cstheme="minorEastAsia"/>
        </w:rPr>
        <w:t>10、培训要求</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培训是项目顺利进行的保证。在项目的不同阶段要求提供相关的培训课程，面向系统管理员、各级领导、系统操作人员等不同群体提供系统化、定制化和有针对性的培训。</w:t>
      </w:r>
    </w:p>
    <w:p>
      <w:pPr>
        <w:numPr>
          <w:ilvl w:val="0"/>
          <w:numId w:val="7"/>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培训内容分为三类，分别为系统使用和管理培训和用户使用培训。通过培训应使各类用户能独立进行相应应用与管理、故障处理、日常维护等工作，确保系统能正常安全运行。</w:t>
      </w:r>
    </w:p>
    <w:p>
      <w:pPr>
        <w:numPr>
          <w:ilvl w:val="0"/>
          <w:numId w:val="7"/>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投标单位应在投标文件中提出培训计划，计划包括培训项目、人数、地点等详细内容。</w:t>
      </w:r>
    </w:p>
    <w:p>
      <w:pPr>
        <w:numPr>
          <w:ilvl w:val="0"/>
          <w:numId w:val="7"/>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人员培训应提供详细培训计划，包括授课人员、培训对象、培训内容、参与人数、培训地点、培训课时等，具体培训方式为：</w:t>
      </w:r>
    </w:p>
    <w:p>
      <w:pPr>
        <w:numPr>
          <w:ilvl w:val="0"/>
          <w:numId w:val="8"/>
        </w:num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领导层应用培训</w:t>
      </w:r>
    </w:p>
    <w:p>
      <w:pPr>
        <w:numPr>
          <w:ilvl w:val="0"/>
          <w:numId w:val="8"/>
        </w:num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应用软件管理员培训；</w:t>
      </w:r>
    </w:p>
    <w:p>
      <w:pPr>
        <w:numPr>
          <w:ilvl w:val="0"/>
          <w:numId w:val="8"/>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中心人员应用软件操作培训；</w:t>
      </w:r>
    </w:p>
    <w:p>
      <w:pPr>
        <w:numPr>
          <w:ilvl w:val="0"/>
          <w:numId w:val="8"/>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专业部门应用软件培训。</w:t>
      </w:r>
    </w:p>
    <w:p>
      <w:pPr>
        <w:widowControl/>
        <w:spacing w:before="75" w:after="75"/>
        <w:jc w:val="left"/>
        <w:rPr>
          <w:rFonts w:asciiTheme="minorEastAsia" w:hAnsiTheme="minorEastAsia" w:eastAsiaTheme="minorEastAsia" w:cstheme="minorEastAsia"/>
        </w:rPr>
      </w:pPr>
      <w:r>
        <w:rPr>
          <w:rFonts w:hint="eastAsia" w:asciiTheme="minorEastAsia" w:hAnsiTheme="minorEastAsia" w:eastAsiaTheme="minorEastAsia" w:cstheme="minorEastAsia"/>
          <w:b/>
          <w:bCs/>
          <w:color w:val="393939"/>
          <w:kern w:val="0"/>
        </w:rPr>
        <w:t>10、知识产权</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中标人保证项目所使用软硬件合法授权，保证采购人不会受到任何第三方基于侵犯其专 利权、商 标权、著作权、商业秘密等的指控和诉讼。如果采购人收到上述指控和诉讼，中标人应当配合采购人积极应诉，并承担因此给采购人造成的全部损失，包括但不限于诉讼仲裁费、律师费、法院或仲裁机构最终裁定的侵权赔偿费用及采购人承担其他侵权责任所造成的经济损失等。</w:t>
      </w:r>
    </w:p>
    <w:p>
      <w:pPr>
        <w:widowControl/>
        <w:spacing w:before="75" w:after="75"/>
        <w:jc w:val="left"/>
        <w:rPr>
          <w:rFonts w:asciiTheme="minorEastAsia" w:hAnsiTheme="minorEastAsia" w:eastAsiaTheme="minorEastAsia" w:cstheme="minorEastAsia"/>
          <w:b/>
          <w:bCs/>
          <w:color w:val="393939"/>
          <w:kern w:val="0"/>
        </w:rPr>
      </w:pPr>
      <w:r>
        <w:rPr>
          <w:rFonts w:hint="eastAsia" w:asciiTheme="minorEastAsia" w:hAnsiTheme="minorEastAsia" w:eastAsiaTheme="minorEastAsia" w:cstheme="minorEastAsia"/>
          <w:b/>
          <w:bCs/>
          <w:color w:val="393939"/>
          <w:kern w:val="0"/>
        </w:rPr>
        <w:t>11、保密义务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（1）中标人对其在履行合同过程中所知悉的与本合同相关的所有技术和业务内容（包括但不限于数据、图表、文字、计算过程、电子文件及言谈记录等）须承担保密义务。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中标人须保证对采购人所提供的保密信息予以妥善保存，仅使用于与完成本项目工作有关的用途或目的；在缺少相关保密条款约定时，应至少采取适用于对自己的保密信息同样的保护措施和审慎程度进行保密。一经采购人提出要求，中标人应按照采购人的指示将收到的含有保密信息的所有文件或其他资料归还采购人，并不得留存。</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（3）未经采购人特别授权，采购人向中标人提供的任何保密信息并不包括授予中标人该保密信息包含的任何专 利权、商 标权、著作权、商业秘密或其它类型的知识产权。</w:t>
      </w:r>
    </w:p>
    <w:p>
      <w:pPr>
        <w:widowControl/>
        <w:spacing w:before="75" w:after="75"/>
        <w:jc w:val="left"/>
        <w:rPr>
          <w:rFonts w:asciiTheme="minorEastAsia" w:hAnsiTheme="minorEastAsia" w:eastAsiaTheme="minorEastAsia" w:cstheme="minorEastAsia"/>
          <w:b/>
          <w:bCs/>
          <w:color w:val="393939"/>
          <w:kern w:val="0"/>
        </w:rPr>
      </w:pPr>
      <w:r>
        <w:rPr>
          <w:rFonts w:hint="eastAsia" w:asciiTheme="minorEastAsia" w:hAnsiTheme="minorEastAsia" w:eastAsiaTheme="minorEastAsia" w:cstheme="minorEastAsia"/>
          <w:b/>
          <w:bCs/>
          <w:color w:val="393939"/>
          <w:kern w:val="0"/>
        </w:rPr>
        <w:t>12、违约责任</w:t>
      </w:r>
    </w:p>
    <w:p>
      <w:pPr>
        <w:numPr>
          <w:ilvl w:val="0"/>
          <w:numId w:val="9"/>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中标后，中标人未按本采购文件约定的时间完成先行交付中心设备，并对平台进行融合，每逾期15天交付应支付采购人违约金贰万元整。</w:t>
      </w:r>
    </w:p>
    <w:p>
      <w:pPr>
        <w:numPr>
          <w:ilvl w:val="0"/>
          <w:numId w:val="9"/>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中标人未按本采购文件约定的时间完成项目建设任务的，每逾期15天，中标方应向采购人支付逾期交付违约金</w:t>
      </w:r>
      <w:r>
        <w:rPr>
          <w:rFonts w:hint="eastAsia" w:asciiTheme="minorEastAsia" w:hAnsiTheme="minorEastAsia" w:eastAsiaTheme="minorEastAsia" w:cstheme="minorEastAsia"/>
          <w:sz w:val="24"/>
          <w:szCs w:val="24"/>
          <w:u w:val="single"/>
        </w:rPr>
        <w:t>壹万伍仟</w:t>
      </w:r>
      <w:r>
        <w:rPr>
          <w:rFonts w:hint="eastAsia" w:asciiTheme="minorEastAsia" w:hAnsiTheme="minorEastAsia" w:eastAsiaTheme="minorEastAsia" w:cstheme="minorEastAsia"/>
          <w:sz w:val="24"/>
        </w:rPr>
        <w:t>元整。逾期交付违约金从履约保证金中予以扣除，若履约保证金全部扣完，则从剩余合同总额中扣除。若逾期交付达100天（含100天）以上的，采购人有权单方解除双方合同，造成的一切损失由中标人承担。</w:t>
      </w:r>
    </w:p>
    <w:p>
      <w:pPr>
        <w:numPr>
          <w:ilvl w:val="0"/>
          <w:numId w:val="9"/>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因不可抗力造成逾期违约的，应及时向采购人通报不能履行或不能完全履行的理由，并在随后取得有关主管机关证明后的5日内向采购人提供不可抗力发生以及持续期间的充分证据。基于以上行为，可以适当延期相应施工期。</w:t>
      </w:r>
    </w:p>
    <w:p>
      <w:pPr>
        <w:numPr>
          <w:ilvl w:val="0"/>
          <w:numId w:val="9"/>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投标人应按照本采购项目特点提供长期良好的售后服务，并在投标文件中提供详细具体的售后 服务承诺条款及保证。</w:t>
      </w:r>
    </w:p>
    <w:p>
      <w:pPr>
        <w:numPr>
          <w:ilvl w:val="0"/>
          <w:numId w:val="9"/>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中标人不得随意更换项目负责人、技术负责人、现场管理人员等项目班子管理人员，确需更换时，拟派项目负责人、技术负责人、现场管理人员等接替人员的资格、业绩和信誉不得低于被替换人员，且中标人应当在更换人员前15个日历日内书面申请，将更换情况报采购人备案。如未按照上述要求，采购人将向中标人按照以下标准，要求其缴纳违约金：</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更换项目负责人和技术负责人每人次10万元人民币；</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更换其他人员每人次3万元人民币。</w:t>
      </w:r>
    </w:p>
    <w:p>
      <w:pPr>
        <w:widowControl/>
        <w:spacing w:before="75" w:after="75"/>
        <w:jc w:val="left"/>
        <w:rPr>
          <w:rFonts w:asciiTheme="minorEastAsia" w:hAnsiTheme="minorEastAsia" w:eastAsiaTheme="minorEastAsia" w:cstheme="minorEastAsia"/>
          <w:b/>
          <w:bCs/>
          <w:color w:val="393939"/>
          <w:kern w:val="0"/>
        </w:rPr>
      </w:pPr>
      <w:r>
        <w:rPr>
          <w:rFonts w:hint="eastAsia" w:asciiTheme="minorEastAsia" w:hAnsiTheme="minorEastAsia" w:eastAsiaTheme="minorEastAsia" w:cstheme="minorEastAsia"/>
          <w:b/>
          <w:bCs/>
          <w:color w:val="393939"/>
          <w:kern w:val="0"/>
        </w:rPr>
        <w:t>13、其他要求</w:t>
      </w:r>
    </w:p>
    <w:p>
      <w:pPr>
        <w:numPr>
          <w:ilvl w:val="0"/>
          <w:numId w:val="10"/>
        </w:numPr>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本次采购清单中列出的性能要求必须满足，应视为保证涉及运行所需的最低要求，并且应该在技术偏离表中进行追条响应。清单中遗漏未列而系统必须的设备及辅料，供货人自行修正，必须使系统正常良好地运行，招标业主单位均不再另行追加费用。</w:t>
      </w:r>
    </w:p>
    <w:p>
      <w:pPr>
        <w:pStyle w:val="3"/>
        <w:numPr>
          <w:ilvl w:val="0"/>
          <w:numId w:val="10"/>
        </w:numPr>
        <w:spacing w:line="360" w:lineRule="auto"/>
        <w:rPr>
          <w:rFonts w:asciiTheme="minorEastAsia" w:hAnsiTheme="minorEastAsia" w:eastAsiaTheme="minorEastAsia" w:cstheme="minorEastAsia"/>
          <w:bCs/>
          <w:kern w:val="2"/>
          <w:sz w:val="24"/>
          <w:szCs w:val="21"/>
        </w:rPr>
      </w:pPr>
      <w:r>
        <w:rPr>
          <w:rFonts w:hint="eastAsia" w:asciiTheme="minorEastAsia" w:hAnsiTheme="minorEastAsia" w:eastAsiaTheme="minorEastAsia" w:cstheme="minorEastAsia"/>
          <w:bCs/>
          <w:kern w:val="2"/>
          <w:sz w:val="24"/>
          <w:szCs w:val="21"/>
        </w:rPr>
        <w:t>合同结算价具体以本项目图审后的施工图纸、第三方机构或有权部门结算审核确认后的结算审核价为准。</w:t>
      </w:r>
    </w:p>
    <w:p>
      <w:pPr>
        <w:numPr>
          <w:ilvl w:val="0"/>
          <w:numId w:val="10"/>
        </w:numPr>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本项目为交钥匙工程。报价包括：设备的设计、制造、运输、供货、安装、施工、调试试运行、培训及售后服务；项目安装配套工程(包工、包料、包设 计优化、包工期、包质量、包安</w:t>
      </w:r>
      <w:r>
        <w:rPr>
          <w:rStyle w:val="24"/>
          <w:rFonts w:hint="eastAsia" w:asciiTheme="minorEastAsia" w:hAnsiTheme="minorEastAsia" w:eastAsiaTheme="minorEastAsia" w:cstheme="minorEastAsia"/>
        </w:rPr>
        <w:t>合同结算价</w:t>
      </w:r>
      <w:r>
        <w:rPr>
          <w:rStyle w:val="24"/>
          <w:rFonts w:hint="eastAsia" w:asciiTheme="minorEastAsia" w:hAnsiTheme="minorEastAsia" w:eastAsiaTheme="minorEastAsia" w:cstheme="minorEastAsia"/>
          <w:highlight w:val="white"/>
        </w:rPr>
        <w:t>具体以本项目图审后的施工图纸、第三方机构或有权部门结算审核确认后的</w:t>
      </w:r>
      <w:r>
        <w:rPr>
          <w:rStyle w:val="24"/>
          <w:rFonts w:hint="eastAsia" w:asciiTheme="minorEastAsia" w:hAnsiTheme="minorEastAsia" w:eastAsiaTheme="minorEastAsia" w:cstheme="minorEastAsia"/>
        </w:rPr>
        <w:t>结算审核价</w:t>
      </w:r>
      <w:r>
        <w:rPr>
          <w:rStyle w:val="24"/>
          <w:rFonts w:hint="eastAsia" w:asciiTheme="minorEastAsia" w:hAnsiTheme="minorEastAsia" w:eastAsiaTheme="minorEastAsia" w:cstheme="minorEastAsia"/>
          <w:highlight w:val="white"/>
        </w:rPr>
        <w:t>为准</w:t>
      </w:r>
      <w:r>
        <w:rPr>
          <w:rStyle w:val="24"/>
          <w:rFonts w:hint="eastAsia" w:asciiTheme="minorEastAsia" w:hAnsiTheme="minorEastAsia" w:eastAsiaTheme="minorEastAsia" w:cstheme="minorEastAsia"/>
        </w:rPr>
        <w:t>。</w:t>
      </w:r>
      <w:r>
        <w:rPr>
          <w:rFonts w:hint="eastAsia" w:asciiTheme="minorEastAsia" w:hAnsiTheme="minorEastAsia" w:eastAsiaTheme="minorEastAsia" w:cstheme="minorEastAsia"/>
          <w:bCs/>
          <w:sz w:val="24"/>
        </w:rPr>
        <w:t>全、包文明施工、项目措施费和总包配合费包干)费用。投标报价应包括招标文件所确定的招标采购范围内的全部内容，还应包括任何未明确标出的，但全套系统安装后保证正常安全运行所不可缺少的配件及附件的全部费用，以及为完成上述内容所必须的附属项目、临时项目、材料、劳务及所需的全部费用（包括但不限于：设备费、材料费、管线桥架费、施工安装费与各专业配合费、脚手架和机械设备使用费、成品保护费、配合费、与各部门系统接入配合费、检测费、关税、增值税、运输保险、维修保护费、特殊工具费、售后服务费、工程竣工验收费用、培训费、管理费、利润、政策性文件规定及合同包含的所有风险、责任等）。</w:t>
      </w:r>
    </w:p>
    <w:p>
      <w:pPr>
        <w:numPr>
          <w:ilvl w:val="0"/>
          <w:numId w:val="10"/>
        </w:numPr>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报价时必须注明投标设备或材料的厂家、产地、品牌、规格、型号等，且不得有缺漏项。出现漏项的，视为此费用已包含在投标总报价中。</w:t>
      </w:r>
    </w:p>
    <w:p>
      <w:pPr>
        <w:numPr>
          <w:ilvl w:val="0"/>
          <w:numId w:val="10"/>
        </w:numPr>
        <w:spacing w:line="360" w:lineRule="auto"/>
        <w:rPr>
          <w:rFonts w:asciiTheme="minorEastAsia" w:hAnsiTheme="minorEastAsia" w:eastAsiaTheme="minorEastAsia" w:cstheme="minorEastAsia"/>
          <w:bCs/>
          <w:sz w:val="24"/>
        </w:rPr>
      </w:pPr>
      <w:r>
        <w:rPr>
          <w:rStyle w:val="24"/>
          <w:rFonts w:hint="eastAsia" w:asciiTheme="minorEastAsia" w:hAnsiTheme="minorEastAsia" w:eastAsiaTheme="minorEastAsia" w:cstheme="minorEastAsia"/>
          <w:b/>
          <w:bCs/>
        </w:rPr>
        <w:t>中标人在合同签订后（7个工作日）提供“解码矩阵”设备样机及检测报告原件供采购人核查，若发现做假行为取消其中标候选人资格并解除合同。</w:t>
      </w:r>
    </w:p>
    <w:p>
      <w:pPr>
        <w:pStyle w:val="2"/>
        <w:rPr>
          <w:rFonts w:asciiTheme="minorEastAsia" w:hAnsiTheme="minorEastAsia" w:eastAsiaTheme="minorEastAsia" w:cstheme="minorEastAsia"/>
        </w:rPr>
      </w:pPr>
    </w:p>
    <w:p>
      <w:pPr>
        <w:spacing w:line="360" w:lineRule="auto"/>
        <w:ind w:firstLine="560" w:firstLineChars="200"/>
        <w:rPr>
          <w:rFonts w:asciiTheme="minorEastAsia" w:hAnsiTheme="minorEastAsia" w:eastAsiaTheme="minorEastAsia" w:cstheme="minorEastAsia"/>
          <w:b/>
          <w:color w:val="000000"/>
          <w:sz w:val="24"/>
        </w:rPr>
      </w:pPr>
      <w:r>
        <w:rPr>
          <w:rStyle w:val="24"/>
          <w:rFonts w:hint="eastAsia" w:asciiTheme="minorEastAsia" w:hAnsiTheme="minorEastAsia" w:eastAsiaTheme="minorEastAsia" w:cstheme="minorEastAsia"/>
          <w:b/>
          <w:sz w:val="28"/>
          <w:shd w:val="clear" w:color="auto" w:fill="FFFFFF"/>
        </w:rPr>
        <w:t>★备注：</w:t>
      </w:r>
      <w:r>
        <w:rPr>
          <w:rStyle w:val="24"/>
          <w:rFonts w:hint="eastAsia" w:asciiTheme="minorEastAsia" w:hAnsiTheme="minorEastAsia" w:eastAsiaTheme="minorEastAsia" w:cstheme="minorEastAsia"/>
          <w:b/>
          <w:bCs/>
          <w:sz w:val="28"/>
          <w:shd w:val="clear" w:color="auto" w:fill="FFFFFF"/>
        </w:rPr>
        <w:t>上述商务条件为必须满足项。如果供应商在响应文件中没有以书面方式对上述各项要求和条款提出不满足或负偏离，则视为供应商能够完全理解并满足上述规定的各相关条款要求。如有不满足或负偏离，不管是多么微小，供应商都应在响应文件中加以如实详细说明，否则，供应商成交后才提出或者被采购人发现的任何负偏离或不满足均视为成交供应商违约，按供应商虚假承诺骗取成交处理。</w:t>
      </w:r>
    </w:p>
    <w:p>
      <w:pPr>
        <w:spacing w:line="360" w:lineRule="auto"/>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6"/>
        <w:jc w:val="center"/>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第四章</w:t>
      </w:r>
      <w:bookmarkEnd w:id="12"/>
      <w:r>
        <w:rPr>
          <w:rFonts w:hint="eastAsia" w:asciiTheme="minorEastAsia" w:hAnsiTheme="minorEastAsia" w:eastAsiaTheme="minorEastAsia" w:cstheme="minorEastAsia"/>
        </w:rPr>
        <w:t>采购合同</w:t>
      </w:r>
    </w:p>
    <w:p>
      <w:pPr>
        <w:spacing w:line="400" w:lineRule="exact"/>
        <w:jc w:val="center"/>
        <w:textAlignment w:val="baseline"/>
        <w:rPr>
          <w:rFonts w:asciiTheme="minorEastAsia" w:hAnsiTheme="minorEastAsia" w:eastAsiaTheme="minorEastAsia" w:cstheme="minorEastAsia"/>
          <w:sz w:val="24"/>
          <w:szCs w:val="24"/>
        </w:rPr>
      </w:pPr>
      <w:bookmarkStart w:id="13" w:name="_Toc36811842"/>
      <w:r>
        <w:rPr>
          <w:rFonts w:hint="eastAsia" w:asciiTheme="minorEastAsia" w:hAnsiTheme="minorEastAsia" w:eastAsiaTheme="minorEastAsia" w:cstheme="minorEastAsia"/>
          <w:sz w:val="24"/>
          <w:szCs w:val="24"/>
        </w:rPr>
        <w:t>（若合同内与以上述磋商文件要求出现不一致的，以磋商文件要求为准）</w:t>
      </w:r>
    </w:p>
    <w:p>
      <w:pPr>
        <w:pStyle w:val="38"/>
        <w:spacing w:line="400" w:lineRule="exact"/>
        <w:ind w:firstLine="480" w:firstLineChars="200"/>
        <w:textAlignment w:val="baseline"/>
        <w:rPr>
          <w:rFonts w:asciiTheme="minorEastAsia" w:hAnsiTheme="minorEastAsia" w:eastAsiaTheme="minorEastAsia" w:cstheme="minorEastAsia"/>
          <w:b/>
          <w:bCs/>
          <w:sz w:val="24"/>
          <w:szCs w:val="24"/>
        </w:rPr>
      </w:pPr>
    </w:p>
    <w:p>
      <w:pPr>
        <w:pStyle w:val="17"/>
        <w:spacing w:before="0" w:beforeAutospacing="0" w:after="0" w:afterAutospacing="0" w:line="400" w:lineRule="exact"/>
        <w:ind w:left="210" w:leftChars="100"/>
        <w:textAlignment w:val="baseline"/>
        <w:rPr>
          <w:rFonts w:asciiTheme="minorEastAsia" w:hAnsiTheme="minorEastAsia" w:eastAsiaTheme="minorEastAsia" w:cstheme="minorEastAsia"/>
          <w:b/>
          <w:bCs/>
        </w:rPr>
      </w:pPr>
      <w:r>
        <w:rPr>
          <w:rStyle w:val="24"/>
          <w:rFonts w:hint="eastAsia" w:asciiTheme="minorEastAsia" w:hAnsiTheme="minorEastAsia" w:eastAsiaTheme="minorEastAsia" w:cstheme="minorEastAsia"/>
          <w:b/>
          <w:bCs/>
        </w:rPr>
        <w:t>1、签订合同应遵守《中华人民共和国民法典》等法律法规。</w:t>
      </w:r>
    </w:p>
    <w:p>
      <w:pPr>
        <w:pStyle w:val="17"/>
        <w:spacing w:before="0" w:beforeAutospacing="0" w:after="0" w:afterAutospacing="0" w:line="400" w:lineRule="exact"/>
        <w:ind w:left="210" w:leftChars="100"/>
        <w:textAlignment w:val="baseline"/>
        <w:rPr>
          <w:rFonts w:asciiTheme="minorEastAsia" w:hAnsiTheme="minorEastAsia" w:eastAsiaTheme="minorEastAsia" w:cstheme="minorEastAsia"/>
          <w:b/>
          <w:bCs/>
        </w:rPr>
      </w:pPr>
      <w:r>
        <w:rPr>
          <w:rStyle w:val="24"/>
          <w:rFonts w:hint="eastAsia" w:asciiTheme="minorEastAsia" w:hAnsiTheme="minorEastAsia" w:eastAsiaTheme="minorEastAsia" w:cstheme="minorEastAsia"/>
          <w:b/>
          <w:bCs/>
        </w:rPr>
        <w:t>2、签订合同时，采购人与成交供应商应结合磋商文件第三章规定填列相应内容。磋商文件第三章已有规定的，双方均不得变更或调整；磋商文件第三章未作规定的，双方可通过友好协商进行约定。</w:t>
      </w:r>
    </w:p>
    <w:p>
      <w:pPr>
        <w:pStyle w:val="17"/>
        <w:spacing w:before="0" w:beforeAutospacing="0" w:after="0" w:afterAutospacing="0" w:line="400" w:lineRule="exact"/>
        <w:ind w:left="210" w:leftChars="100"/>
        <w:textAlignment w:val="baseline"/>
        <w:rPr>
          <w:rFonts w:asciiTheme="minorEastAsia" w:hAnsiTheme="minorEastAsia" w:eastAsiaTheme="minorEastAsia" w:cstheme="minorEastAsia"/>
          <w:b/>
          <w:bCs/>
        </w:rPr>
      </w:pPr>
      <w:r>
        <w:rPr>
          <w:rStyle w:val="24"/>
          <w:rFonts w:hint="eastAsia" w:asciiTheme="minorEastAsia" w:hAnsiTheme="minorEastAsia" w:eastAsiaTheme="minorEastAsia" w:cstheme="minorEastAsia"/>
          <w:b/>
          <w:bCs/>
        </w:rPr>
        <w:t>3、国家有关部门对若干合同有规范文本的，可使用相应合同文本。</w:t>
      </w:r>
    </w:p>
    <w:p>
      <w:pPr>
        <w:widowControl/>
        <w:spacing w:line="400" w:lineRule="exact"/>
        <w:ind w:left="210" w:leftChars="100"/>
        <w:jc w:val="left"/>
        <w:textAlignment w:val="baseline"/>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6"/>
        <w:ind w:firstLine="2173" w:firstLineChars="494"/>
        <w:jc w:val="center"/>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第五章磋商响应文件格式</w:t>
      </w:r>
      <w:bookmarkEnd w:id="13"/>
    </w:p>
    <w:p>
      <w:pPr>
        <w:pStyle w:val="39"/>
        <w:spacing w:line="360" w:lineRule="auto"/>
        <w:ind w:firstLine="480" w:firstLineChars="200"/>
        <w:jc w:val="center"/>
        <w:textAlignment w:val="baseline"/>
        <w:rPr>
          <w:rFonts w:asciiTheme="minorEastAsia" w:hAnsiTheme="minorEastAsia" w:eastAsiaTheme="minorEastAsia" w:cstheme="minorEastAsia"/>
          <w:color w:val="auto"/>
        </w:rPr>
      </w:pPr>
    </w:p>
    <w:tbl>
      <w:tblPr>
        <w:tblStyle w:val="21"/>
        <w:tblW w:w="42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000" w:type="pct"/>
            <w:noWrap/>
          </w:tcPr>
          <w:p>
            <w:pPr>
              <w:spacing w:before="120" w:line="360" w:lineRule="auto"/>
              <w:ind w:firstLine="480" w:firstLineChars="200"/>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注释：</w:t>
            </w:r>
          </w:p>
          <w:p>
            <w:pPr>
              <w:spacing w:before="120" w:line="360" w:lineRule="auto"/>
              <w:ind w:right="132" w:firstLine="235" w:firstLineChars="98"/>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《竞争性磋商响应文件格式》是竞争性磋商供应商的部分竞争性磋商响应文件格式和签订合同时所需文件的格式。竞争性磋商供应商应参照这些格式文件制作竞争性磋商响应文件。</w:t>
            </w:r>
          </w:p>
          <w:p>
            <w:pPr>
              <w:spacing w:before="120" w:line="360" w:lineRule="auto"/>
              <w:ind w:right="132" w:firstLine="232" w:firstLineChars="97"/>
              <w:jc w:val="center"/>
              <w:textAlignment w:val="baseline"/>
              <w:rPr>
                <w:rFonts w:asciiTheme="minorEastAsia" w:hAnsiTheme="minorEastAsia" w:eastAsiaTheme="minorEastAsia" w:cstheme="minorEastAsia"/>
                <w:sz w:val="24"/>
                <w:szCs w:val="24"/>
              </w:rPr>
            </w:pPr>
          </w:p>
        </w:tc>
      </w:tr>
    </w:tbl>
    <w:p>
      <w:pPr>
        <w:spacing w:line="360" w:lineRule="auto"/>
        <w:ind w:firstLine="2589" w:firstLineChars="498"/>
        <w:jc w:val="center"/>
        <w:textAlignment w:val="baseline"/>
        <w:rPr>
          <w:rFonts w:asciiTheme="minorEastAsia" w:hAnsiTheme="minorEastAsia" w:eastAsiaTheme="minorEastAsia" w:cstheme="minorEastAsia"/>
          <w:b/>
          <w:bCs/>
          <w:sz w:val="52"/>
          <w:szCs w:val="52"/>
        </w:rPr>
      </w:pPr>
    </w:p>
    <w:p>
      <w:pPr>
        <w:pStyle w:val="40"/>
        <w:spacing w:line="360" w:lineRule="auto"/>
        <w:ind w:firstLine="1040" w:firstLineChars="200"/>
        <w:jc w:val="center"/>
        <w:textAlignment w:val="baseline"/>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br w:type="page"/>
      </w:r>
    </w:p>
    <w:p>
      <w:pPr>
        <w:pStyle w:val="40"/>
        <w:spacing w:line="360" w:lineRule="auto"/>
        <w:ind w:firstLine="1040" w:firstLineChars="200"/>
        <w:jc w:val="center"/>
        <w:textAlignment w:val="baseline"/>
        <w:rPr>
          <w:rFonts w:asciiTheme="minorEastAsia" w:hAnsiTheme="minorEastAsia" w:eastAsiaTheme="minorEastAsia" w:cstheme="minorEastAsia"/>
          <w:b/>
          <w:bCs/>
          <w:sz w:val="52"/>
          <w:szCs w:val="52"/>
        </w:rPr>
      </w:pPr>
    </w:p>
    <w:p>
      <w:pPr>
        <w:pStyle w:val="40"/>
        <w:spacing w:line="360" w:lineRule="auto"/>
        <w:ind w:firstLine="1040" w:firstLineChars="200"/>
        <w:jc w:val="center"/>
        <w:textAlignment w:val="baseline"/>
        <w:rPr>
          <w:rFonts w:asciiTheme="minorEastAsia" w:hAnsiTheme="minorEastAsia" w:eastAsiaTheme="minorEastAsia" w:cstheme="minorEastAsia"/>
          <w:b/>
          <w:bCs/>
          <w:sz w:val="52"/>
          <w:szCs w:val="52"/>
        </w:rPr>
      </w:pPr>
    </w:p>
    <w:p>
      <w:pPr>
        <w:pStyle w:val="40"/>
        <w:spacing w:line="360" w:lineRule="auto"/>
        <w:jc w:val="center"/>
        <w:textAlignment w:val="baseline"/>
        <w:rPr>
          <w:rStyle w:val="25"/>
          <w:rFonts w:asciiTheme="minorEastAsia" w:hAnsiTheme="minorEastAsia" w:eastAsiaTheme="minorEastAsia" w:cstheme="minorEastAsia"/>
          <w:b/>
          <w:bCs/>
          <w:sz w:val="72"/>
          <w:szCs w:val="72"/>
        </w:rPr>
      </w:pPr>
      <w:r>
        <w:rPr>
          <w:rStyle w:val="25"/>
          <w:rFonts w:hint="eastAsia" w:asciiTheme="minorEastAsia" w:hAnsiTheme="minorEastAsia" w:eastAsiaTheme="minorEastAsia" w:cstheme="minorEastAsia"/>
          <w:b/>
          <w:bCs/>
          <w:sz w:val="72"/>
          <w:szCs w:val="72"/>
        </w:rPr>
        <w:t>竞争性磋商响应文件</w:t>
      </w:r>
    </w:p>
    <w:p>
      <w:pPr>
        <w:jc w:val="center"/>
        <w:textAlignment w:val="baseline"/>
        <w:rPr>
          <w:rStyle w:val="25"/>
          <w:rFonts w:asciiTheme="minorEastAsia" w:hAnsiTheme="minorEastAsia" w:eastAsiaTheme="minorEastAsia" w:cstheme="minorEastAsia"/>
          <w:sz w:val="44"/>
          <w:szCs w:val="44"/>
        </w:rPr>
      </w:pPr>
    </w:p>
    <w:p>
      <w:pPr>
        <w:spacing w:line="360" w:lineRule="auto"/>
        <w:ind w:firstLine="2173" w:firstLineChars="494"/>
        <w:textAlignment w:val="baseline"/>
        <w:rPr>
          <w:rStyle w:val="25"/>
          <w:rFonts w:asciiTheme="minorEastAsia" w:hAnsiTheme="minorEastAsia" w:eastAsiaTheme="minorEastAsia" w:cstheme="minorEastAsia"/>
          <w:b/>
          <w:bCs/>
          <w:sz w:val="44"/>
          <w:szCs w:val="44"/>
        </w:rPr>
      </w:pPr>
    </w:p>
    <w:p>
      <w:pPr>
        <w:spacing w:line="360" w:lineRule="auto"/>
        <w:ind w:firstLine="3691" w:firstLineChars="839"/>
        <w:textAlignment w:val="baseline"/>
        <w:rPr>
          <w:rStyle w:val="25"/>
          <w:rFonts w:asciiTheme="minorEastAsia" w:hAnsiTheme="minorEastAsia" w:eastAsiaTheme="minorEastAsia" w:cstheme="minorEastAsia"/>
          <w:b/>
          <w:bCs/>
          <w:sz w:val="44"/>
          <w:szCs w:val="44"/>
        </w:rPr>
      </w:pPr>
    </w:p>
    <w:p>
      <w:pPr>
        <w:jc w:val="center"/>
        <w:textAlignment w:val="baseline"/>
        <w:rPr>
          <w:rStyle w:val="25"/>
          <w:rFonts w:asciiTheme="minorEastAsia" w:hAnsiTheme="minorEastAsia" w:eastAsiaTheme="minorEastAsia" w:cstheme="minorEastAsia"/>
          <w:sz w:val="44"/>
          <w:szCs w:val="44"/>
        </w:rPr>
      </w:pPr>
      <w:r>
        <w:rPr>
          <w:rStyle w:val="25"/>
          <w:rFonts w:hint="eastAsia" w:asciiTheme="minorEastAsia" w:hAnsiTheme="minorEastAsia" w:eastAsiaTheme="minorEastAsia" w:cstheme="minorEastAsia"/>
          <w:sz w:val="44"/>
          <w:szCs w:val="44"/>
        </w:rPr>
        <w:t>（请在此注明正本或副本）</w:t>
      </w:r>
    </w:p>
    <w:p>
      <w:pPr>
        <w:spacing w:line="360" w:lineRule="auto"/>
        <w:ind w:firstLine="3036" w:firstLineChars="690"/>
        <w:textAlignment w:val="baseline"/>
        <w:rPr>
          <w:rStyle w:val="25"/>
          <w:rFonts w:asciiTheme="minorEastAsia" w:hAnsiTheme="minorEastAsia" w:eastAsiaTheme="minorEastAsia" w:cstheme="minorEastAsia"/>
          <w:b/>
          <w:bCs/>
          <w:sz w:val="44"/>
          <w:szCs w:val="44"/>
        </w:rPr>
      </w:pPr>
    </w:p>
    <w:p>
      <w:pPr>
        <w:spacing w:line="360" w:lineRule="auto"/>
        <w:ind w:firstLine="720" w:firstLineChars="200"/>
        <w:jc w:val="center"/>
        <w:textAlignment w:val="baseline"/>
        <w:rPr>
          <w:rStyle w:val="25"/>
          <w:rFonts w:asciiTheme="minorEastAsia" w:hAnsiTheme="minorEastAsia" w:eastAsiaTheme="minorEastAsia" w:cstheme="minorEastAsia"/>
          <w:b/>
          <w:bCs/>
          <w:sz w:val="36"/>
          <w:szCs w:val="36"/>
        </w:rPr>
      </w:pPr>
    </w:p>
    <w:p>
      <w:pPr>
        <w:spacing w:line="360" w:lineRule="auto"/>
        <w:ind w:firstLine="720" w:firstLineChars="200"/>
        <w:jc w:val="center"/>
        <w:textAlignment w:val="baseline"/>
        <w:rPr>
          <w:rStyle w:val="25"/>
          <w:rFonts w:asciiTheme="minorEastAsia" w:hAnsiTheme="minorEastAsia" w:eastAsiaTheme="minorEastAsia" w:cstheme="minorEastAsia"/>
          <w:b/>
          <w:bCs/>
          <w:sz w:val="36"/>
          <w:szCs w:val="36"/>
        </w:rPr>
      </w:pPr>
    </w:p>
    <w:p>
      <w:pPr>
        <w:spacing w:line="360" w:lineRule="auto"/>
        <w:ind w:firstLine="720" w:firstLineChars="200"/>
        <w:textAlignment w:val="baseline"/>
        <w:rPr>
          <w:rStyle w:val="25"/>
          <w:rFonts w:asciiTheme="minorEastAsia" w:hAnsiTheme="minorEastAsia" w:eastAsiaTheme="minorEastAsia" w:cstheme="minorEastAsia"/>
          <w:b/>
          <w:bCs/>
          <w:sz w:val="36"/>
          <w:szCs w:val="36"/>
        </w:rPr>
      </w:pPr>
      <w:r>
        <w:rPr>
          <w:rStyle w:val="25"/>
          <w:rFonts w:hint="eastAsia" w:asciiTheme="minorEastAsia" w:hAnsiTheme="minorEastAsia" w:eastAsiaTheme="minorEastAsia" w:cstheme="minorEastAsia"/>
          <w:b/>
          <w:bCs/>
          <w:sz w:val="36"/>
          <w:szCs w:val="36"/>
        </w:rPr>
        <w:t>项目名称：</w:t>
      </w:r>
    </w:p>
    <w:p>
      <w:pPr>
        <w:spacing w:line="360" w:lineRule="auto"/>
        <w:ind w:firstLine="720" w:firstLineChars="200"/>
        <w:textAlignment w:val="baseline"/>
        <w:rPr>
          <w:rStyle w:val="25"/>
          <w:rFonts w:asciiTheme="minorEastAsia" w:hAnsiTheme="minorEastAsia" w:eastAsiaTheme="minorEastAsia" w:cstheme="minorEastAsia"/>
          <w:b/>
          <w:bCs/>
          <w:sz w:val="36"/>
          <w:szCs w:val="36"/>
          <w:u w:val="single"/>
        </w:rPr>
      </w:pPr>
      <w:r>
        <w:rPr>
          <w:rStyle w:val="25"/>
          <w:rFonts w:hint="eastAsia" w:asciiTheme="minorEastAsia" w:hAnsiTheme="minorEastAsia" w:eastAsiaTheme="minorEastAsia" w:cstheme="minorEastAsia"/>
          <w:b/>
          <w:bCs/>
          <w:sz w:val="36"/>
          <w:szCs w:val="36"/>
        </w:rPr>
        <w:t>采购编号：</w:t>
      </w:r>
    </w:p>
    <w:p>
      <w:pPr>
        <w:spacing w:line="360" w:lineRule="auto"/>
        <w:ind w:firstLine="720" w:firstLineChars="200"/>
        <w:textAlignment w:val="baseline"/>
        <w:rPr>
          <w:rStyle w:val="25"/>
          <w:rFonts w:asciiTheme="minorEastAsia" w:hAnsiTheme="minorEastAsia" w:eastAsiaTheme="minorEastAsia" w:cstheme="minorEastAsia"/>
          <w:b/>
          <w:bCs/>
          <w:sz w:val="36"/>
          <w:szCs w:val="36"/>
        </w:rPr>
      </w:pPr>
    </w:p>
    <w:p>
      <w:pPr>
        <w:spacing w:line="360" w:lineRule="auto"/>
        <w:ind w:firstLine="720" w:firstLineChars="200"/>
        <w:textAlignment w:val="baseline"/>
        <w:rPr>
          <w:rStyle w:val="25"/>
          <w:rFonts w:asciiTheme="minorEastAsia" w:hAnsiTheme="minorEastAsia" w:eastAsiaTheme="minorEastAsia" w:cstheme="minorEastAsia"/>
          <w:b/>
          <w:bCs/>
          <w:sz w:val="36"/>
          <w:szCs w:val="36"/>
        </w:rPr>
      </w:pPr>
    </w:p>
    <w:p>
      <w:pPr>
        <w:spacing w:line="360" w:lineRule="auto"/>
        <w:ind w:firstLine="720" w:firstLineChars="200"/>
        <w:textAlignment w:val="baseline"/>
        <w:rPr>
          <w:rStyle w:val="25"/>
          <w:rFonts w:asciiTheme="minorEastAsia" w:hAnsiTheme="minorEastAsia" w:eastAsiaTheme="minorEastAsia" w:cstheme="minorEastAsia"/>
          <w:b/>
          <w:bCs/>
          <w:sz w:val="36"/>
          <w:szCs w:val="36"/>
        </w:rPr>
      </w:pPr>
    </w:p>
    <w:p>
      <w:pPr>
        <w:spacing w:line="360" w:lineRule="auto"/>
        <w:ind w:firstLine="720" w:firstLineChars="200"/>
        <w:textAlignment w:val="baseline"/>
        <w:rPr>
          <w:rStyle w:val="25"/>
          <w:rFonts w:asciiTheme="minorEastAsia" w:hAnsiTheme="minorEastAsia" w:eastAsiaTheme="minorEastAsia" w:cstheme="minorEastAsia"/>
          <w:b/>
          <w:bCs/>
          <w:sz w:val="36"/>
          <w:szCs w:val="36"/>
        </w:rPr>
      </w:pPr>
    </w:p>
    <w:p>
      <w:pPr>
        <w:spacing w:line="360" w:lineRule="auto"/>
        <w:ind w:firstLine="720" w:firstLineChars="200"/>
        <w:textAlignment w:val="baseline"/>
        <w:rPr>
          <w:rStyle w:val="25"/>
          <w:rFonts w:asciiTheme="minorEastAsia" w:hAnsiTheme="minorEastAsia" w:eastAsiaTheme="minorEastAsia" w:cstheme="minorEastAsia"/>
          <w:b/>
          <w:bCs/>
          <w:sz w:val="36"/>
          <w:szCs w:val="36"/>
          <w:u w:val="single"/>
        </w:rPr>
      </w:pPr>
      <w:r>
        <w:rPr>
          <w:rStyle w:val="25"/>
          <w:rFonts w:hint="eastAsia" w:asciiTheme="minorEastAsia" w:hAnsiTheme="minorEastAsia" w:eastAsiaTheme="minorEastAsia" w:cstheme="minorEastAsia"/>
          <w:b/>
          <w:bCs/>
          <w:sz w:val="36"/>
          <w:szCs w:val="36"/>
        </w:rPr>
        <w:t>供应商名称：</w:t>
      </w:r>
    </w:p>
    <w:p>
      <w:pPr>
        <w:pStyle w:val="13"/>
        <w:spacing w:line="360" w:lineRule="auto"/>
        <w:ind w:firstLine="1800" w:firstLineChars="500"/>
        <w:textAlignment w:val="baseline"/>
        <w:rPr>
          <w:rStyle w:val="25"/>
          <w:rFonts w:asciiTheme="minorEastAsia" w:hAnsiTheme="minorEastAsia" w:eastAsiaTheme="minorEastAsia" w:cstheme="minorEastAsia"/>
          <w:b/>
          <w:bCs/>
          <w:sz w:val="36"/>
          <w:szCs w:val="36"/>
        </w:rPr>
      </w:pPr>
      <w:r>
        <w:rPr>
          <w:rStyle w:val="25"/>
          <w:rFonts w:hint="eastAsia" w:asciiTheme="minorEastAsia" w:hAnsiTheme="minorEastAsia" w:eastAsiaTheme="minorEastAsia" w:cstheme="minorEastAsia"/>
          <w:b/>
          <w:bCs/>
          <w:sz w:val="36"/>
          <w:szCs w:val="36"/>
        </w:rPr>
        <w:t>日期：</w:t>
      </w:r>
    </w:p>
    <w:p>
      <w:pPr>
        <w:widowControl/>
        <w:jc w:val="left"/>
        <w:textAlignment w:val="baseline"/>
        <w:rPr>
          <w:rStyle w:val="25"/>
          <w:rFonts w:asciiTheme="minorEastAsia" w:hAnsiTheme="minorEastAsia" w:eastAsiaTheme="minorEastAsia" w:cstheme="minorEastAsia"/>
          <w:b/>
          <w:bCs/>
          <w:sz w:val="36"/>
          <w:szCs w:val="36"/>
        </w:rPr>
      </w:pPr>
      <w:r>
        <w:rPr>
          <w:rStyle w:val="25"/>
          <w:rFonts w:hint="eastAsia" w:asciiTheme="minorEastAsia" w:hAnsiTheme="minorEastAsia" w:eastAsiaTheme="minorEastAsia" w:cstheme="minorEastAsia"/>
          <w:b/>
          <w:bCs/>
          <w:sz w:val="36"/>
          <w:szCs w:val="36"/>
        </w:rPr>
        <w:br w:type="page"/>
      </w:r>
    </w:p>
    <w:p>
      <w:pPr>
        <w:pStyle w:val="13"/>
        <w:spacing w:line="360" w:lineRule="auto"/>
        <w:jc w:val="center"/>
        <w:textAlignment w:val="baseline"/>
        <w:rPr>
          <w:rFonts w:asciiTheme="minorEastAsia" w:hAnsiTheme="minorEastAsia" w:eastAsiaTheme="minorEastAsia" w:cstheme="minorEastAsia"/>
          <w:b/>
          <w:bCs/>
          <w:kern w:val="0"/>
          <w:sz w:val="36"/>
          <w:szCs w:val="36"/>
        </w:rPr>
      </w:pPr>
      <w:r>
        <w:rPr>
          <w:rFonts w:hint="eastAsia" w:asciiTheme="minorEastAsia" w:hAnsiTheme="minorEastAsia" w:eastAsiaTheme="minorEastAsia" w:cstheme="minorEastAsia"/>
          <w:b/>
          <w:bCs/>
          <w:kern w:val="0"/>
          <w:sz w:val="36"/>
          <w:szCs w:val="36"/>
        </w:rPr>
        <w:t>一、响应函</w:t>
      </w:r>
    </w:p>
    <w:p>
      <w:pPr>
        <w:widowControl/>
        <w:shd w:val="clear" w:color="auto" w:fill="FFFFFF"/>
        <w:spacing w:before="75" w:after="75" w:line="435"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致：     (采购人或采购代理机构)      </w:t>
      </w:r>
    </w:p>
    <w:p>
      <w:pPr>
        <w:widowControl/>
        <w:shd w:val="clear" w:color="auto" w:fill="FFFFFF"/>
        <w:spacing w:before="75" w:after="75" w:line="435"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1.根据贵方为</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项目（项目编号: </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）的采购公告（或采购邀请书），我方签字代表</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（全名、职务）经正式授权并代表的供应商</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（供应商名称、地址）提交包含下述内容的首次响应文件电子投标文件一份，纸质文本正本一套，副本三套。</w:t>
      </w:r>
    </w:p>
    <w:p>
      <w:pPr>
        <w:widowControl/>
        <w:shd w:val="clear" w:color="auto" w:fill="FFFFFF"/>
        <w:spacing w:before="75" w:after="75" w:line="435" w:lineRule="atLeast"/>
        <w:ind w:firstLine="48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（1）响应函</w:t>
      </w:r>
    </w:p>
    <w:p>
      <w:pPr>
        <w:widowControl/>
        <w:shd w:val="clear" w:color="auto" w:fill="FFFFFF"/>
        <w:spacing w:before="75" w:after="75" w:line="435" w:lineRule="atLeast"/>
        <w:ind w:firstLine="48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（2）报价一览表</w:t>
      </w:r>
    </w:p>
    <w:p>
      <w:pPr>
        <w:widowControl/>
        <w:shd w:val="clear" w:color="auto" w:fill="FFFFFF"/>
        <w:spacing w:before="75" w:after="75" w:line="435" w:lineRule="atLeast"/>
        <w:ind w:firstLine="48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（3）资格证明文件</w:t>
      </w:r>
    </w:p>
    <w:p>
      <w:pPr>
        <w:widowControl/>
        <w:shd w:val="clear" w:color="auto" w:fill="FFFFFF"/>
        <w:spacing w:before="75" w:after="75" w:line="435" w:lineRule="atLeast"/>
        <w:ind w:firstLine="480" w:firstLineChars="20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（4）对采购项目内容及要求承诺函</w:t>
      </w:r>
    </w:p>
    <w:p>
      <w:pPr>
        <w:widowControl/>
        <w:shd w:val="clear" w:color="auto" w:fill="FFFFFF"/>
        <w:spacing w:before="75" w:after="75" w:line="435" w:lineRule="atLeast"/>
        <w:ind w:firstLine="48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（5）供应商提交的其他资料（若有）</w:t>
      </w:r>
    </w:p>
    <w:p>
      <w:pPr>
        <w:widowControl/>
        <w:shd w:val="clear" w:color="auto" w:fill="FFFFFF"/>
        <w:spacing w:before="75" w:after="75" w:line="435"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2.据此函，我方宣布响应承诺如下：</w:t>
      </w:r>
    </w:p>
    <w:p>
      <w:pPr>
        <w:widowControl/>
        <w:shd w:val="clear" w:color="auto" w:fill="FFFFFF"/>
        <w:spacing w:before="75" w:after="75" w:line="435" w:lineRule="atLeast"/>
        <w:ind w:firstLine="48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widowControl/>
        <w:shd w:val="clear" w:color="auto" w:fill="FFFFFF"/>
        <w:spacing w:before="75" w:after="75" w:line="435"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widowControl/>
        <w:shd w:val="clear" w:color="auto" w:fill="FFFFFF"/>
        <w:spacing w:before="75" w:after="75" w:line="435"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2.3我方承诺：递交的所有响应文件（包括首次响应文件、补充澄清、最后报价等响应文件）在竞争性磋商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widowControl/>
        <w:shd w:val="clear" w:color="auto" w:fill="FFFFFF"/>
        <w:spacing w:before="75" w:after="75" w:line="435"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2.4我方已经按照磋商文件要求提交磋商保证金。我方如果发生任何竞争性磋商文件中所述不予退还磋商保证金的情况，则我方的磋商保证金将被贵方不予退还，我方对此无异议。</w:t>
      </w:r>
    </w:p>
    <w:p>
      <w:pPr>
        <w:widowControl/>
        <w:shd w:val="clear" w:color="auto" w:fill="FFFFFF"/>
        <w:spacing w:before="75" w:after="75" w:line="435"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2.5我方愿意向贵方提供任何与本项目磋商采购有关的数据或资料。若贵方需要，我方愿意提供我方作出的一切承诺的证明材料。</w:t>
      </w:r>
    </w:p>
    <w:p>
      <w:pPr>
        <w:widowControl/>
        <w:shd w:val="clear" w:color="auto" w:fill="FFFFFF"/>
        <w:spacing w:before="75" w:after="75" w:line="435"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widowControl/>
        <w:shd w:val="clear" w:color="auto" w:fill="FFFFFF"/>
        <w:spacing w:before="75" w:after="75" w:line="435"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p>
      <w:pPr>
        <w:widowControl/>
        <w:spacing w:line="324" w:lineRule="auto"/>
        <w:ind w:firstLine="420"/>
        <w:jc w:val="left"/>
        <w:rPr>
          <w:rFonts w:cs="宋体" w:asciiTheme="minorEastAsia" w:hAnsiTheme="minorEastAsia"/>
          <w:kern w:val="0"/>
          <w:sz w:val="24"/>
          <w:szCs w:val="24"/>
        </w:rPr>
      </w:pPr>
      <w:r>
        <w:rPr>
          <w:rStyle w:val="25"/>
          <w:rFonts w:hint="eastAsia" w:asciiTheme="minorEastAsia" w:hAnsiTheme="minorEastAsia" w:eastAsiaTheme="minorEastAsia" w:cstheme="minorEastAsia"/>
          <w:szCs w:val="24"/>
        </w:rPr>
        <w:t>通信地址：</w:t>
      </w:r>
      <w:r>
        <w:rPr>
          <w:rFonts w:hint="eastAsia" w:cs="宋体" w:asciiTheme="minorEastAsia" w:hAnsiTheme="minorEastAsia"/>
          <w:kern w:val="0"/>
          <w:u w:val="single"/>
        </w:rPr>
        <w:t>                  </w:t>
      </w:r>
      <w:r>
        <w:rPr>
          <w:rStyle w:val="25"/>
          <w:rFonts w:hint="eastAsia" w:asciiTheme="minorEastAsia" w:hAnsiTheme="minorEastAsia" w:eastAsiaTheme="minorEastAsia" w:cstheme="minorEastAsia"/>
          <w:szCs w:val="24"/>
        </w:rPr>
        <w:t>邮编：</w:t>
      </w:r>
      <w:r>
        <w:rPr>
          <w:rFonts w:hint="eastAsia" w:cs="宋体" w:asciiTheme="minorEastAsia" w:hAnsiTheme="minorEastAsia"/>
          <w:kern w:val="0"/>
          <w:u w:val="single"/>
        </w:rPr>
        <w:t>       </w:t>
      </w:r>
    </w:p>
    <w:p>
      <w:pPr>
        <w:widowControl/>
        <w:spacing w:line="324" w:lineRule="auto"/>
        <w:ind w:firstLine="420"/>
        <w:jc w:val="left"/>
        <w:rPr>
          <w:rStyle w:val="25"/>
          <w:rFonts w:asciiTheme="minorEastAsia" w:hAnsiTheme="minorEastAsia" w:eastAsiaTheme="minorEastAsia" w:cstheme="minorEastAsia"/>
          <w:szCs w:val="24"/>
        </w:rPr>
      </w:pPr>
    </w:p>
    <w:p>
      <w:pPr>
        <w:widowControl/>
        <w:spacing w:line="324" w:lineRule="auto"/>
        <w:ind w:firstLine="420"/>
        <w:jc w:val="left"/>
        <w:rPr>
          <w:rFonts w:cs="宋体" w:asciiTheme="minorEastAsia" w:hAnsiTheme="minorEastAsia"/>
          <w:kern w:val="0"/>
          <w:sz w:val="24"/>
          <w:szCs w:val="24"/>
          <w:u w:val="single"/>
        </w:rPr>
      </w:pPr>
      <w:r>
        <w:rPr>
          <w:rStyle w:val="25"/>
          <w:rFonts w:hint="eastAsia" w:asciiTheme="minorEastAsia" w:hAnsiTheme="minorEastAsia" w:eastAsiaTheme="minorEastAsia" w:cstheme="minorEastAsia"/>
          <w:szCs w:val="24"/>
        </w:rPr>
        <w:t>联系方法：</w:t>
      </w:r>
      <w:r>
        <w:rPr>
          <w:rFonts w:hint="eastAsia" w:cs="宋体" w:asciiTheme="minorEastAsia" w:hAnsiTheme="minorEastAsia"/>
          <w:kern w:val="0"/>
          <w:u w:val="single"/>
        </w:rPr>
        <w:t>（</w:t>
      </w:r>
      <w:r>
        <w:rPr>
          <w:rStyle w:val="25"/>
          <w:rFonts w:hint="eastAsia" w:asciiTheme="minorEastAsia" w:hAnsiTheme="minorEastAsia" w:eastAsiaTheme="minorEastAsia" w:cstheme="minorEastAsia"/>
          <w:szCs w:val="24"/>
          <w:u w:val="single"/>
        </w:rPr>
        <w:t>包括但不限于：联系人、联系电话、手机、传真、电子邮箱等</w:t>
      </w:r>
      <w:r>
        <w:rPr>
          <w:rFonts w:hint="eastAsia" w:cs="宋体" w:asciiTheme="minorEastAsia" w:hAnsiTheme="minorEastAsia"/>
          <w:kern w:val="0"/>
          <w:u w:val="single"/>
        </w:rPr>
        <w:t>）</w:t>
      </w:r>
    </w:p>
    <w:p>
      <w:pPr>
        <w:spacing w:line="360" w:lineRule="auto"/>
        <w:ind w:firstLine="480" w:firstLineChars="200"/>
        <w:textAlignment w:val="baseline"/>
        <w:rPr>
          <w:rStyle w:val="25"/>
          <w:rFonts w:asciiTheme="minorEastAsia" w:hAnsiTheme="minorEastAsia" w:eastAsiaTheme="minorEastAsia" w:cstheme="minorEastAsia"/>
          <w:szCs w:val="24"/>
        </w:rPr>
      </w:pPr>
    </w:p>
    <w:p>
      <w:pPr>
        <w:spacing w:line="360" w:lineRule="auto"/>
        <w:ind w:firstLine="480" w:firstLineChars="200"/>
        <w:textAlignment w:val="baseline"/>
        <w:rPr>
          <w:rStyle w:val="25"/>
          <w:rFonts w:asciiTheme="minorEastAsia" w:hAnsiTheme="minorEastAsia" w:eastAsiaTheme="minorEastAsia" w:cstheme="minorEastAsia"/>
          <w:szCs w:val="24"/>
          <w:u w:val="single"/>
        </w:rPr>
      </w:pPr>
      <w:r>
        <w:rPr>
          <w:rStyle w:val="25"/>
          <w:rFonts w:hint="eastAsia" w:asciiTheme="minorEastAsia" w:hAnsiTheme="minorEastAsia" w:eastAsiaTheme="minorEastAsia" w:cstheme="minorEastAsia"/>
          <w:szCs w:val="24"/>
        </w:rPr>
        <w:t>供应商代表签字或盖章：</w:t>
      </w:r>
    </w:p>
    <w:p>
      <w:pPr>
        <w:spacing w:line="360" w:lineRule="auto"/>
        <w:ind w:firstLine="480" w:firstLineChars="200"/>
        <w:textAlignment w:val="baseline"/>
        <w:rPr>
          <w:rStyle w:val="25"/>
          <w:rFonts w:asciiTheme="minorEastAsia" w:hAnsiTheme="minorEastAsia" w:eastAsiaTheme="minorEastAsia" w:cstheme="minorEastAsia"/>
          <w:szCs w:val="24"/>
        </w:rPr>
      </w:pPr>
    </w:p>
    <w:p>
      <w:pPr>
        <w:spacing w:line="360" w:lineRule="auto"/>
        <w:ind w:firstLine="480" w:firstLineChars="200"/>
        <w:textAlignment w:val="baseline"/>
        <w:rPr>
          <w:rStyle w:val="25"/>
          <w:rFonts w:asciiTheme="minorEastAsia" w:hAnsiTheme="minorEastAsia" w:eastAsiaTheme="minorEastAsia" w:cstheme="minorEastAsia"/>
          <w:szCs w:val="24"/>
        </w:rPr>
      </w:pPr>
      <w:r>
        <w:rPr>
          <w:rStyle w:val="25"/>
          <w:rFonts w:hint="eastAsia" w:asciiTheme="minorEastAsia" w:hAnsiTheme="minorEastAsia" w:eastAsiaTheme="minorEastAsia" w:cstheme="minorEastAsia"/>
          <w:szCs w:val="24"/>
        </w:rPr>
        <w:t>供应商（全称并加盖公章）：</w:t>
      </w:r>
    </w:p>
    <w:p>
      <w:pPr>
        <w:spacing w:line="360" w:lineRule="auto"/>
        <w:ind w:firstLine="480" w:firstLineChars="200"/>
        <w:textAlignment w:val="baseline"/>
        <w:rPr>
          <w:rStyle w:val="25"/>
          <w:rFonts w:asciiTheme="minorEastAsia" w:hAnsiTheme="minorEastAsia" w:eastAsiaTheme="minorEastAsia" w:cstheme="minorEastAsia"/>
          <w:szCs w:val="24"/>
        </w:rPr>
      </w:pPr>
    </w:p>
    <w:p>
      <w:pPr>
        <w:spacing w:line="360" w:lineRule="auto"/>
        <w:ind w:firstLine="480" w:firstLineChars="200"/>
        <w:textAlignment w:val="baseline"/>
        <w:rPr>
          <w:rStyle w:val="25"/>
          <w:rFonts w:asciiTheme="minorEastAsia" w:hAnsiTheme="minorEastAsia" w:eastAsiaTheme="minorEastAsia" w:cstheme="minorEastAsia"/>
          <w:szCs w:val="24"/>
        </w:rPr>
      </w:pPr>
      <w:r>
        <w:rPr>
          <w:rStyle w:val="25"/>
          <w:rFonts w:hint="eastAsia" w:asciiTheme="minorEastAsia" w:hAnsiTheme="minorEastAsia" w:eastAsiaTheme="minorEastAsia" w:cstheme="minorEastAsia"/>
          <w:szCs w:val="24"/>
        </w:rPr>
        <w:t>日期：  年  月  日</w:t>
      </w:r>
    </w:p>
    <w:p>
      <w:pPr>
        <w:widowControl/>
        <w:spacing w:before="75" w:after="75" w:line="495" w:lineRule="atLeast"/>
        <w:ind w:firstLine="2862" w:firstLineChars="795"/>
        <w:jc w:val="left"/>
        <w:textAlignment w:val="baseline"/>
        <w:rPr>
          <w:rFonts w:asciiTheme="minorEastAsia" w:hAnsiTheme="minorEastAsia" w:eastAsiaTheme="minorEastAsia" w:cstheme="minorEastAsia"/>
          <w:b/>
          <w:bCs/>
          <w:kern w:val="0"/>
          <w:sz w:val="36"/>
          <w:szCs w:val="36"/>
        </w:rPr>
      </w:pPr>
    </w:p>
    <w:p>
      <w:pPr>
        <w:widowControl/>
        <w:spacing w:before="75" w:after="75" w:line="495" w:lineRule="atLeast"/>
        <w:ind w:firstLine="2862" w:firstLineChars="795"/>
        <w:jc w:val="left"/>
        <w:textAlignment w:val="baseline"/>
        <w:rPr>
          <w:rFonts w:asciiTheme="minorEastAsia" w:hAnsiTheme="minorEastAsia" w:eastAsiaTheme="minorEastAsia" w:cstheme="minorEastAsia"/>
          <w:b/>
          <w:bCs/>
          <w:kern w:val="0"/>
          <w:sz w:val="36"/>
          <w:szCs w:val="36"/>
        </w:rPr>
      </w:pPr>
    </w:p>
    <w:p>
      <w:pPr>
        <w:widowControl/>
        <w:spacing w:before="75" w:after="75" w:line="495" w:lineRule="atLeast"/>
        <w:ind w:firstLine="2862" w:firstLineChars="795"/>
        <w:jc w:val="left"/>
        <w:textAlignment w:val="baseline"/>
        <w:rPr>
          <w:rFonts w:asciiTheme="minorEastAsia" w:hAnsiTheme="minorEastAsia" w:eastAsiaTheme="minorEastAsia" w:cstheme="minorEastAsia"/>
          <w:b/>
          <w:bCs/>
          <w:kern w:val="0"/>
          <w:sz w:val="36"/>
          <w:szCs w:val="36"/>
        </w:rPr>
      </w:pPr>
    </w:p>
    <w:p>
      <w:pPr>
        <w:widowControl/>
        <w:spacing w:before="75" w:after="75" w:line="495" w:lineRule="atLeast"/>
        <w:ind w:firstLine="2862" w:firstLineChars="795"/>
        <w:jc w:val="left"/>
        <w:textAlignment w:val="baseline"/>
        <w:rPr>
          <w:rFonts w:asciiTheme="minorEastAsia" w:hAnsiTheme="minorEastAsia" w:eastAsiaTheme="minorEastAsia" w:cstheme="minorEastAsia"/>
          <w:b/>
          <w:bCs/>
          <w:kern w:val="0"/>
          <w:sz w:val="36"/>
          <w:szCs w:val="36"/>
        </w:rPr>
      </w:pPr>
    </w:p>
    <w:p>
      <w:pPr>
        <w:widowControl/>
        <w:spacing w:before="75" w:after="75" w:line="495" w:lineRule="atLeast"/>
        <w:ind w:firstLine="2862" w:firstLineChars="795"/>
        <w:jc w:val="left"/>
        <w:textAlignment w:val="baseline"/>
        <w:rPr>
          <w:rFonts w:asciiTheme="minorEastAsia" w:hAnsiTheme="minorEastAsia" w:eastAsiaTheme="minorEastAsia" w:cstheme="minorEastAsia"/>
          <w:b/>
          <w:bCs/>
          <w:kern w:val="0"/>
          <w:sz w:val="36"/>
          <w:szCs w:val="36"/>
        </w:rPr>
      </w:pPr>
    </w:p>
    <w:p>
      <w:pPr>
        <w:widowControl/>
        <w:spacing w:before="75" w:after="75" w:line="495" w:lineRule="atLeast"/>
        <w:ind w:firstLine="2862" w:firstLineChars="795"/>
        <w:jc w:val="left"/>
        <w:textAlignment w:val="baseline"/>
        <w:rPr>
          <w:rFonts w:asciiTheme="minorEastAsia" w:hAnsiTheme="minorEastAsia" w:eastAsiaTheme="minorEastAsia" w:cstheme="minorEastAsia"/>
          <w:b/>
          <w:bCs/>
          <w:kern w:val="0"/>
          <w:sz w:val="36"/>
          <w:szCs w:val="36"/>
        </w:rPr>
      </w:pPr>
    </w:p>
    <w:p>
      <w:pPr>
        <w:widowControl/>
        <w:spacing w:before="75" w:after="75" w:line="495" w:lineRule="atLeast"/>
        <w:ind w:firstLine="2862" w:firstLineChars="795"/>
        <w:jc w:val="left"/>
        <w:textAlignment w:val="baseline"/>
        <w:rPr>
          <w:rFonts w:asciiTheme="minorEastAsia" w:hAnsiTheme="minorEastAsia" w:eastAsiaTheme="minorEastAsia" w:cstheme="minorEastAsia"/>
          <w:b/>
          <w:bCs/>
          <w:kern w:val="0"/>
          <w:sz w:val="36"/>
          <w:szCs w:val="36"/>
        </w:rPr>
      </w:pPr>
    </w:p>
    <w:p>
      <w:pPr>
        <w:widowControl/>
        <w:spacing w:before="75" w:after="75" w:line="495" w:lineRule="atLeast"/>
        <w:ind w:firstLine="2862" w:firstLineChars="795"/>
        <w:jc w:val="left"/>
        <w:textAlignment w:val="baseline"/>
        <w:rPr>
          <w:rFonts w:asciiTheme="minorEastAsia" w:hAnsiTheme="minorEastAsia" w:eastAsiaTheme="minorEastAsia" w:cstheme="minorEastAsia"/>
          <w:b/>
          <w:bCs/>
          <w:kern w:val="0"/>
          <w:sz w:val="36"/>
          <w:szCs w:val="36"/>
        </w:rPr>
      </w:pPr>
    </w:p>
    <w:p>
      <w:pPr>
        <w:widowControl/>
        <w:spacing w:before="75" w:after="75" w:line="495" w:lineRule="atLeast"/>
        <w:ind w:firstLine="2862" w:firstLineChars="795"/>
        <w:jc w:val="left"/>
        <w:textAlignment w:val="baseline"/>
        <w:rPr>
          <w:rFonts w:asciiTheme="minorEastAsia" w:hAnsiTheme="minorEastAsia" w:eastAsiaTheme="minorEastAsia" w:cstheme="minorEastAsia"/>
          <w:b/>
          <w:bCs/>
          <w:kern w:val="0"/>
          <w:sz w:val="36"/>
          <w:szCs w:val="36"/>
        </w:rPr>
      </w:pPr>
    </w:p>
    <w:p>
      <w:pPr>
        <w:spacing w:line="360" w:lineRule="auto"/>
        <w:ind w:firstLine="580" w:firstLineChars="200"/>
        <w:jc w:val="center"/>
        <w:textAlignment w:val="baseline"/>
        <w:rPr>
          <w:rFonts w:asciiTheme="minorEastAsia" w:hAnsiTheme="minorEastAsia" w:eastAsiaTheme="minorEastAsia" w:cstheme="minorEastAsia"/>
          <w:kern w:val="0"/>
          <w:sz w:val="29"/>
          <w:szCs w:val="29"/>
        </w:rPr>
      </w:pPr>
    </w:p>
    <w:p>
      <w:pPr>
        <w:numPr>
          <w:ilvl w:val="0"/>
          <w:numId w:val="11"/>
        </w:numPr>
        <w:spacing w:line="360" w:lineRule="auto"/>
        <w:jc w:val="center"/>
        <w:textAlignment w:val="baseline"/>
        <w:rPr>
          <w:rStyle w:val="25"/>
          <w:rFonts w:asciiTheme="minorEastAsia" w:hAnsiTheme="minorEastAsia" w:eastAsiaTheme="minorEastAsia" w:cstheme="minorEastAsia"/>
          <w:b/>
          <w:bCs/>
          <w:sz w:val="32"/>
          <w:szCs w:val="32"/>
        </w:rPr>
      </w:pPr>
      <w:r>
        <w:rPr>
          <w:rStyle w:val="25"/>
          <w:rFonts w:hint="eastAsia" w:asciiTheme="minorEastAsia" w:hAnsiTheme="minorEastAsia" w:eastAsiaTheme="minorEastAsia" w:cstheme="minorEastAsia"/>
          <w:b/>
          <w:bCs/>
          <w:sz w:val="32"/>
          <w:szCs w:val="32"/>
        </w:rPr>
        <w:t>报价一览表</w:t>
      </w:r>
    </w:p>
    <w:p>
      <w:pPr>
        <w:pStyle w:val="41"/>
        <w:ind w:firstLine="0"/>
        <w:rPr>
          <w:rFonts w:asciiTheme="minorEastAsia" w:hAnsiTheme="minorEastAsia" w:eastAsiaTheme="minorEastAsia" w:cstheme="minorEastAsia"/>
        </w:rPr>
      </w:pPr>
    </w:p>
    <w:p>
      <w:pPr>
        <w:spacing w:line="360" w:lineRule="auto"/>
        <w:ind w:firstLine="480" w:firstLineChars="200"/>
        <w:textAlignment w:val="baseline"/>
        <w:rPr>
          <w:rStyle w:val="25"/>
          <w:rFonts w:asciiTheme="minorEastAsia" w:hAnsiTheme="minorEastAsia" w:eastAsiaTheme="minorEastAsia" w:cstheme="minorEastAsia"/>
          <w:szCs w:val="24"/>
        </w:rPr>
      </w:pPr>
      <w:r>
        <w:rPr>
          <w:rStyle w:val="25"/>
          <w:rFonts w:hint="eastAsia" w:asciiTheme="minorEastAsia" w:hAnsiTheme="minorEastAsia" w:eastAsiaTheme="minorEastAsia" w:cstheme="minorEastAsia"/>
          <w:szCs w:val="24"/>
        </w:rPr>
        <w:t>供应商名称：（全称并加盖公章）项目编号∶货币单位：元</w:t>
      </w:r>
    </w:p>
    <w:p>
      <w:pPr>
        <w:spacing w:line="360" w:lineRule="auto"/>
        <w:textAlignment w:val="baseline"/>
        <w:rPr>
          <w:rStyle w:val="25"/>
          <w:rFonts w:asciiTheme="minorEastAsia" w:hAnsiTheme="minorEastAsia" w:eastAsiaTheme="minorEastAsia" w:cstheme="minorEastAsia"/>
          <w:szCs w:val="24"/>
        </w:rPr>
      </w:pPr>
    </w:p>
    <w:tbl>
      <w:tblPr>
        <w:tblStyle w:val="21"/>
        <w:tblW w:w="9240"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6" w:hRule="atLeast"/>
        </w:trPr>
        <w:tc>
          <w:tcPr>
            <w:tcW w:w="9240" w:type="dxa"/>
            <w:noWrap/>
            <w:vAlign w:val="center"/>
          </w:tcPr>
          <w:p>
            <w:pPr>
              <w:spacing w:line="360" w:lineRule="auto"/>
              <w:ind w:firstLine="480" w:firstLineChars="200"/>
              <w:textAlignment w:val="baseline"/>
              <w:rPr>
                <w:rStyle w:val="25"/>
                <w:rFonts w:asciiTheme="minorEastAsia" w:hAnsiTheme="minorEastAsia" w:eastAsiaTheme="minorEastAsia" w:cstheme="minorEastAsia"/>
                <w:szCs w:val="24"/>
              </w:rPr>
            </w:pPr>
            <w:r>
              <w:rPr>
                <w:rStyle w:val="25"/>
                <w:rFonts w:hint="eastAsia" w:asciiTheme="minorEastAsia" w:hAnsiTheme="minorEastAsia" w:eastAsiaTheme="minorEastAsia" w:cstheme="minorEastAsia"/>
                <w:szCs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6" w:hRule="atLeast"/>
        </w:trPr>
        <w:tc>
          <w:tcPr>
            <w:tcW w:w="9240" w:type="dxa"/>
            <w:noWrap/>
            <w:vAlign w:val="center"/>
          </w:tcPr>
          <w:p>
            <w:pPr>
              <w:spacing w:line="360" w:lineRule="auto"/>
              <w:ind w:firstLine="480" w:firstLineChars="200"/>
              <w:textAlignment w:val="baseline"/>
              <w:rPr>
                <w:rStyle w:val="25"/>
                <w:rFonts w:asciiTheme="minorEastAsia" w:hAnsiTheme="minorEastAsia" w:eastAsiaTheme="minorEastAsia" w:cstheme="minorEastAsia"/>
                <w:szCs w:val="24"/>
              </w:rPr>
            </w:pPr>
            <w:r>
              <w:rPr>
                <w:rStyle w:val="25"/>
                <w:rFonts w:hint="eastAsia" w:asciiTheme="minorEastAsia" w:hAnsiTheme="minorEastAsia" w:eastAsiaTheme="minorEastAsia" w:cstheme="minorEastAsia"/>
                <w:szCs w:val="24"/>
              </w:rPr>
              <w:t>投报总价：</w:t>
            </w:r>
          </w:p>
          <w:p>
            <w:pPr>
              <w:spacing w:line="360" w:lineRule="auto"/>
              <w:ind w:firstLine="480" w:firstLineChars="200"/>
              <w:textAlignment w:val="baseline"/>
              <w:rPr>
                <w:rStyle w:val="25"/>
                <w:rFonts w:asciiTheme="minorEastAsia" w:hAnsiTheme="minorEastAsia" w:eastAsiaTheme="minorEastAsia" w:cstheme="minorEastAsia"/>
                <w:szCs w:val="24"/>
                <w:u w:val="single"/>
              </w:rPr>
            </w:pPr>
            <w:r>
              <w:rPr>
                <w:rStyle w:val="25"/>
                <w:rFonts w:hint="eastAsia" w:asciiTheme="minorEastAsia" w:hAnsiTheme="minorEastAsia" w:eastAsiaTheme="minorEastAsia" w:cstheme="minorEastAsia"/>
                <w:szCs w:val="24"/>
              </w:rPr>
              <w:t>大写：</w:t>
            </w:r>
            <w:r>
              <w:rPr>
                <w:rStyle w:val="25"/>
                <w:rFonts w:hint="eastAsia" w:asciiTheme="minorEastAsia" w:hAnsiTheme="minorEastAsia" w:eastAsiaTheme="minorEastAsia" w:cstheme="minorEastAsia"/>
                <w:szCs w:val="24"/>
                <w:u w:val="single"/>
              </w:rPr>
              <w:t xml:space="preserve">                元整</w:t>
            </w:r>
          </w:p>
          <w:p>
            <w:pPr>
              <w:spacing w:line="360" w:lineRule="auto"/>
              <w:ind w:firstLine="480" w:firstLineChars="200"/>
              <w:textAlignment w:val="baseline"/>
              <w:rPr>
                <w:rStyle w:val="25"/>
                <w:rFonts w:asciiTheme="minorEastAsia" w:hAnsiTheme="minorEastAsia" w:eastAsiaTheme="minorEastAsia" w:cstheme="minorEastAsia"/>
                <w:szCs w:val="24"/>
                <w:u w:val="single"/>
              </w:rPr>
            </w:pPr>
            <w:r>
              <w:rPr>
                <w:rStyle w:val="25"/>
                <w:rFonts w:hint="eastAsia" w:asciiTheme="minorEastAsia" w:hAnsiTheme="minorEastAsia" w:eastAsiaTheme="minorEastAsia" w:cstheme="minorEastAsia"/>
                <w:szCs w:val="24"/>
              </w:rPr>
              <w:t>小写：</w:t>
            </w:r>
            <w:r>
              <w:rPr>
                <w:rStyle w:val="25"/>
                <w:rFonts w:hint="eastAsia" w:asciiTheme="minorEastAsia" w:hAnsiTheme="minorEastAsia" w:eastAsiaTheme="minorEastAsia" w:cstheme="minorEastAsia"/>
                <w:szCs w:val="24"/>
                <w:u w:val="single"/>
              </w:rPr>
              <w:t xml:space="preserve">  ￥       .00       </w:t>
            </w:r>
          </w:p>
        </w:tc>
      </w:tr>
    </w:tbl>
    <w:p>
      <w:pPr>
        <w:spacing w:line="360" w:lineRule="auto"/>
        <w:ind w:firstLine="480" w:firstLineChars="200"/>
        <w:textAlignment w:val="baseline"/>
        <w:rPr>
          <w:rStyle w:val="25"/>
          <w:rFonts w:asciiTheme="minorEastAsia" w:hAnsiTheme="minorEastAsia" w:eastAsiaTheme="minorEastAsia" w:cstheme="minorEastAsia"/>
          <w:szCs w:val="24"/>
        </w:rPr>
      </w:pPr>
    </w:p>
    <w:p>
      <w:pPr>
        <w:spacing w:line="360" w:lineRule="auto"/>
        <w:ind w:firstLine="480" w:firstLineChars="200"/>
        <w:textAlignment w:val="baseline"/>
        <w:rPr>
          <w:rStyle w:val="25"/>
          <w:rFonts w:asciiTheme="minorEastAsia" w:hAnsiTheme="minorEastAsia" w:eastAsiaTheme="minorEastAsia" w:cstheme="minorEastAsia"/>
          <w:szCs w:val="24"/>
        </w:rPr>
      </w:pPr>
    </w:p>
    <w:p>
      <w:pPr>
        <w:spacing w:line="360" w:lineRule="auto"/>
        <w:ind w:firstLine="480" w:firstLineChars="200"/>
        <w:textAlignment w:val="baseline"/>
        <w:rPr>
          <w:rStyle w:val="25"/>
          <w:rFonts w:asciiTheme="minorEastAsia" w:hAnsiTheme="minorEastAsia" w:eastAsiaTheme="minorEastAsia" w:cstheme="minorEastAsia"/>
          <w:szCs w:val="24"/>
          <w:u w:val="single"/>
        </w:rPr>
      </w:pPr>
      <w:r>
        <w:rPr>
          <w:rStyle w:val="25"/>
          <w:rFonts w:hint="eastAsia" w:asciiTheme="minorEastAsia" w:hAnsiTheme="minorEastAsia" w:eastAsiaTheme="minorEastAsia" w:cstheme="minorEastAsia"/>
          <w:szCs w:val="24"/>
        </w:rPr>
        <w:t>供应商代表签字或盖章：</w:t>
      </w:r>
    </w:p>
    <w:p>
      <w:pPr>
        <w:spacing w:line="360" w:lineRule="auto"/>
        <w:ind w:firstLine="480" w:firstLineChars="200"/>
        <w:textAlignment w:val="baseline"/>
        <w:rPr>
          <w:rStyle w:val="25"/>
          <w:rFonts w:asciiTheme="minorEastAsia" w:hAnsiTheme="minorEastAsia" w:eastAsiaTheme="minorEastAsia" w:cstheme="minorEastAsia"/>
          <w:szCs w:val="24"/>
        </w:rPr>
      </w:pPr>
    </w:p>
    <w:p>
      <w:pPr>
        <w:spacing w:line="360" w:lineRule="auto"/>
        <w:ind w:firstLine="480" w:firstLineChars="200"/>
        <w:textAlignment w:val="baseline"/>
        <w:rPr>
          <w:rStyle w:val="25"/>
          <w:rFonts w:asciiTheme="minorEastAsia" w:hAnsiTheme="minorEastAsia" w:eastAsiaTheme="minorEastAsia" w:cstheme="minorEastAsia"/>
          <w:szCs w:val="24"/>
        </w:rPr>
      </w:pPr>
      <w:r>
        <w:rPr>
          <w:rStyle w:val="25"/>
          <w:rFonts w:hint="eastAsia" w:asciiTheme="minorEastAsia" w:hAnsiTheme="minorEastAsia" w:eastAsiaTheme="minorEastAsia" w:cstheme="minorEastAsia"/>
          <w:szCs w:val="24"/>
        </w:rPr>
        <w:t>供应商（全称并加盖公章）：</w:t>
      </w:r>
    </w:p>
    <w:p>
      <w:pPr>
        <w:spacing w:line="360" w:lineRule="auto"/>
        <w:ind w:firstLine="480" w:firstLineChars="200"/>
        <w:textAlignment w:val="baseline"/>
        <w:rPr>
          <w:rStyle w:val="25"/>
          <w:rFonts w:asciiTheme="minorEastAsia" w:hAnsiTheme="minorEastAsia" w:eastAsiaTheme="minorEastAsia" w:cstheme="minorEastAsia"/>
          <w:szCs w:val="24"/>
        </w:rPr>
      </w:pPr>
    </w:p>
    <w:p>
      <w:pPr>
        <w:spacing w:line="360" w:lineRule="auto"/>
        <w:ind w:firstLine="480" w:firstLineChars="200"/>
        <w:textAlignment w:val="baseline"/>
        <w:rPr>
          <w:rStyle w:val="25"/>
          <w:rFonts w:asciiTheme="minorEastAsia" w:hAnsiTheme="minorEastAsia" w:eastAsiaTheme="minorEastAsia" w:cstheme="minorEastAsia"/>
          <w:szCs w:val="24"/>
        </w:rPr>
      </w:pPr>
      <w:r>
        <w:rPr>
          <w:rStyle w:val="25"/>
          <w:rFonts w:hint="eastAsia" w:asciiTheme="minorEastAsia" w:hAnsiTheme="minorEastAsia" w:eastAsiaTheme="minorEastAsia" w:cstheme="minorEastAsia"/>
          <w:szCs w:val="24"/>
        </w:rPr>
        <w:t>日期：  年  月  日</w:t>
      </w:r>
    </w:p>
    <w:p>
      <w:pPr>
        <w:spacing w:line="360" w:lineRule="auto"/>
        <w:ind w:firstLine="480" w:firstLineChars="200"/>
        <w:textAlignment w:val="baseline"/>
        <w:rPr>
          <w:rStyle w:val="25"/>
          <w:rFonts w:asciiTheme="minorEastAsia" w:hAnsiTheme="minorEastAsia" w:eastAsiaTheme="minorEastAsia" w:cstheme="minorEastAsia"/>
          <w:szCs w:val="24"/>
        </w:rPr>
        <w:sectPr>
          <w:headerReference r:id="rId7" w:type="default"/>
          <w:footerReference r:id="rId8" w:type="default"/>
          <w:pgSz w:w="11907" w:h="16840"/>
          <w:pgMar w:top="1440" w:right="1800" w:bottom="1440" w:left="1800" w:header="851" w:footer="992" w:gutter="0"/>
          <w:cols w:space="720" w:num="1"/>
          <w:docGrid w:type="linesAndChars" w:linePitch="323" w:charSpace="-2"/>
        </w:sectPr>
      </w:pPr>
    </w:p>
    <w:p>
      <w:pPr>
        <w:widowControl/>
        <w:shd w:val="clear" w:color="auto" w:fill="FFFFFF"/>
        <w:spacing w:before="75" w:after="75" w:line="435" w:lineRule="atLeast"/>
        <w:ind w:firstLine="3534" w:firstLineChars="1100"/>
        <w:jc w:val="left"/>
        <w:textAlignment w:val="baseline"/>
        <w:rPr>
          <w:rFonts w:asciiTheme="minorEastAsia" w:hAnsiTheme="minorEastAsia" w:eastAsiaTheme="minorEastAsia" w:cstheme="minorEastAsia"/>
          <w:b/>
          <w:bCs/>
          <w:kern w:val="0"/>
          <w:sz w:val="32"/>
          <w:szCs w:val="32"/>
        </w:rPr>
      </w:pPr>
      <w:r>
        <w:rPr>
          <w:rStyle w:val="25"/>
          <w:rFonts w:hint="eastAsia" w:asciiTheme="minorEastAsia" w:hAnsiTheme="minorEastAsia" w:eastAsiaTheme="minorEastAsia" w:cstheme="minorEastAsia"/>
          <w:b/>
          <w:bCs/>
          <w:sz w:val="32"/>
          <w:szCs w:val="32"/>
        </w:rPr>
        <w:t>分项报价表</w:t>
      </w:r>
    </w:p>
    <w:p>
      <w:pPr>
        <w:pStyle w:val="17"/>
        <w:shd w:val="clear" w:color="auto" w:fill="FFFFFF"/>
        <w:spacing w:before="75" w:beforeAutospacing="0" w:after="75" w:afterAutospacing="0"/>
        <w:textAlignment w:val="baseline"/>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hd w:val="clear" w:color="auto" w:fill="FFFFFF"/>
        </w:rPr>
        <w:t> </w:t>
      </w:r>
    </w:p>
    <w:p>
      <w:pPr>
        <w:pStyle w:val="17"/>
        <w:shd w:val="clear" w:color="auto" w:fill="FFFFFF"/>
        <w:spacing w:before="75" w:beforeAutospacing="0" w:after="75" w:afterAutospacing="0"/>
        <w:textAlignment w:val="baseline"/>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hd w:val="clear" w:color="auto" w:fill="FFFFFF"/>
        </w:rPr>
        <w:t>项目编号：</w:t>
      </w:r>
      <w:r>
        <w:rPr>
          <w:rFonts w:hint="eastAsia" w:asciiTheme="minorEastAsia" w:hAnsiTheme="minorEastAsia" w:eastAsiaTheme="minorEastAsia" w:cstheme="minorEastAsia"/>
          <w:u w:val="single" w:color="000000"/>
          <w:shd w:val="clear" w:color="auto" w:fill="FFFFFF"/>
        </w:rPr>
        <w:t>                   </w:t>
      </w:r>
    </w:p>
    <w:p>
      <w:pPr>
        <w:pStyle w:val="17"/>
        <w:shd w:val="clear" w:color="auto" w:fill="FFFFFF"/>
        <w:spacing w:before="75" w:beforeAutospacing="0" w:after="75" w:afterAutospacing="0"/>
        <w:ind w:right="840"/>
        <w:textAlignment w:val="baseline"/>
        <w:rPr>
          <w:rFonts w:asciiTheme="minorEastAsia" w:hAnsiTheme="minorEastAsia" w:eastAsiaTheme="minorEastAsia" w:cstheme="minorEastAsia"/>
          <w:sz w:val="19"/>
          <w:szCs w:val="19"/>
        </w:rPr>
      </w:pPr>
      <w:r>
        <w:rPr>
          <w:rFonts w:hint="eastAsia" w:asciiTheme="minorEastAsia" w:hAnsiTheme="minorEastAsia" w:eastAsiaTheme="minorEastAsia" w:cstheme="minorEastAsia"/>
          <w:shd w:val="clear" w:color="auto" w:fill="FFFFFF"/>
        </w:rPr>
        <w:t>货币单位：人民币元</w:t>
      </w:r>
    </w:p>
    <w:tbl>
      <w:tblPr>
        <w:tblStyle w:val="21"/>
        <w:tblW w:w="925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0"/>
        <w:gridCol w:w="1545"/>
        <w:gridCol w:w="1515"/>
        <w:gridCol w:w="1035"/>
        <w:gridCol w:w="945"/>
        <w:gridCol w:w="855"/>
        <w:gridCol w:w="825"/>
        <w:gridCol w:w="90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0" w:type="dxa"/>
            <w:shd w:val="clear" w:color="auto" w:fill="FFFFFF"/>
            <w:noWrap/>
            <w:tcMar>
              <w:top w:w="0" w:type="dxa"/>
              <w:left w:w="105" w:type="dxa"/>
              <w:bottom w:w="0" w:type="dxa"/>
              <w:right w:w="105" w:type="dxa"/>
            </w:tcMar>
            <w:vAlign w:val="center"/>
          </w:tcPr>
          <w:p>
            <w:pPr>
              <w:pStyle w:val="17"/>
              <w:spacing w:before="0" w:beforeAutospacing="0" w:after="150" w:afterAutospacing="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合同包</w:t>
            </w:r>
          </w:p>
        </w:tc>
        <w:tc>
          <w:tcPr>
            <w:tcW w:w="1545" w:type="dxa"/>
            <w:shd w:val="clear" w:color="auto" w:fill="FFFFFF"/>
            <w:noWrap/>
            <w:tcMar>
              <w:top w:w="0" w:type="dxa"/>
              <w:left w:w="105" w:type="dxa"/>
              <w:bottom w:w="0" w:type="dxa"/>
              <w:right w:w="105" w:type="dxa"/>
            </w:tcMar>
            <w:vAlign w:val="center"/>
          </w:tcPr>
          <w:p>
            <w:pPr>
              <w:pStyle w:val="17"/>
              <w:spacing w:before="0" w:beforeAutospacing="0" w:after="150" w:afterAutospacing="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序号（按采购清单序号顺序列出）</w:t>
            </w:r>
          </w:p>
        </w:tc>
        <w:tc>
          <w:tcPr>
            <w:tcW w:w="1515" w:type="dxa"/>
            <w:shd w:val="clear" w:color="auto" w:fill="FFFFFF"/>
            <w:noWrap/>
            <w:tcMar>
              <w:top w:w="0" w:type="dxa"/>
              <w:left w:w="105" w:type="dxa"/>
              <w:bottom w:w="0" w:type="dxa"/>
              <w:right w:w="105" w:type="dxa"/>
            </w:tcMar>
            <w:vAlign w:val="center"/>
          </w:tcPr>
          <w:p>
            <w:pPr>
              <w:pStyle w:val="17"/>
              <w:spacing w:before="0" w:beforeAutospacing="0" w:after="150" w:afterAutospacing="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采购标的</w:t>
            </w:r>
          </w:p>
        </w:tc>
        <w:tc>
          <w:tcPr>
            <w:tcW w:w="1035" w:type="dxa"/>
            <w:shd w:val="clear" w:color="auto" w:fill="FFFFFF"/>
            <w:noWrap/>
            <w:tcMar>
              <w:top w:w="0" w:type="dxa"/>
              <w:left w:w="105" w:type="dxa"/>
              <w:bottom w:w="0" w:type="dxa"/>
              <w:right w:w="105" w:type="dxa"/>
            </w:tcMar>
            <w:vAlign w:val="center"/>
          </w:tcPr>
          <w:p>
            <w:pPr>
              <w:pStyle w:val="17"/>
              <w:spacing w:before="0" w:beforeAutospacing="0" w:after="150" w:afterAutospacing="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品牌及具体型号</w:t>
            </w:r>
          </w:p>
        </w:tc>
        <w:tc>
          <w:tcPr>
            <w:tcW w:w="945" w:type="dxa"/>
            <w:shd w:val="clear" w:color="auto" w:fill="FFFFFF"/>
            <w:noWrap/>
            <w:tcMar>
              <w:top w:w="0" w:type="dxa"/>
              <w:left w:w="105" w:type="dxa"/>
              <w:bottom w:w="0" w:type="dxa"/>
              <w:right w:w="105" w:type="dxa"/>
            </w:tcMar>
            <w:vAlign w:val="center"/>
          </w:tcPr>
          <w:p>
            <w:pPr>
              <w:pStyle w:val="17"/>
              <w:spacing w:before="0" w:beforeAutospacing="0" w:after="150" w:afterAutospacing="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制造厂家</w:t>
            </w:r>
          </w:p>
        </w:tc>
        <w:tc>
          <w:tcPr>
            <w:tcW w:w="855" w:type="dxa"/>
            <w:shd w:val="clear" w:color="auto" w:fill="FFFFFF"/>
            <w:noWrap/>
            <w:tcMar>
              <w:top w:w="0" w:type="dxa"/>
              <w:left w:w="105" w:type="dxa"/>
              <w:bottom w:w="0" w:type="dxa"/>
              <w:right w:w="105" w:type="dxa"/>
            </w:tcMar>
            <w:vAlign w:val="center"/>
          </w:tcPr>
          <w:p>
            <w:pPr>
              <w:pStyle w:val="17"/>
              <w:spacing w:before="0" w:beforeAutospacing="0" w:after="150" w:afterAutospacing="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单价</w:t>
            </w:r>
          </w:p>
          <w:p>
            <w:pPr>
              <w:pStyle w:val="17"/>
              <w:spacing w:before="0" w:beforeAutospacing="0" w:after="150" w:afterAutospacing="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（现场）</w:t>
            </w:r>
          </w:p>
        </w:tc>
        <w:tc>
          <w:tcPr>
            <w:tcW w:w="825" w:type="dxa"/>
            <w:shd w:val="clear" w:color="auto" w:fill="FFFFFF"/>
            <w:noWrap/>
            <w:tcMar>
              <w:top w:w="0" w:type="dxa"/>
              <w:left w:w="105" w:type="dxa"/>
              <w:bottom w:w="0" w:type="dxa"/>
              <w:right w:w="105" w:type="dxa"/>
            </w:tcMar>
            <w:vAlign w:val="center"/>
          </w:tcPr>
          <w:p>
            <w:pPr>
              <w:pStyle w:val="17"/>
              <w:spacing w:before="0" w:beforeAutospacing="0" w:after="150" w:afterAutospacing="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900" w:type="dxa"/>
            <w:shd w:val="clear" w:color="auto" w:fill="FFFFFF"/>
            <w:noWrap/>
            <w:tcMar>
              <w:top w:w="0" w:type="dxa"/>
              <w:left w:w="105" w:type="dxa"/>
              <w:bottom w:w="0" w:type="dxa"/>
              <w:right w:w="105" w:type="dxa"/>
            </w:tcMar>
            <w:vAlign w:val="center"/>
          </w:tcPr>
          <w:p>
            <w:pPr>
              <w:pStyle w:val="17"/>
              <w:spacing w:before="0" w:beforeAutospacing="0" w:after="150" w:afterAutospacing="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总价</w:t>
            </w:r>
          </w:p>
          <w:p>
            <w:pPr>
              <w:pStyle w:val="17"/>
              <w:spacing w:before="0" w:beforeAutospacing="0" w:after="150" w:afterAutospacing="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（现场）</w:t>
            </w:r>
          </w:p>
        </w:tc>
        <w:tc>
          <w:tcPr>
            <w:tcW w:w="795" w:type="dxa"/>
            <w:shd w:val="clear" w:color="auto" w:fill="FFFFFF"/>
            <w:noWrap/>
            <w:tcMar>
              <w:top w:w="0" w:type="dxa"/>
              <w:left w:w="105" w:type="dxa"/>
              <w:bottom w:w="0" w:type="dxa"/>
              <w:right w:w="105" w:type="dxa"/>
            </w:tcMar>
            <w:vAlign w:val="center"/>
          </w:tcPr>
          <w:p>
            <w:pPr>
              <w:pStyle w:val="17"/>
              <w:spacing w:before="0" w:beforeAutospacing="0" w:after="150" w:afterAutospacing="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0" w:type="dxa"/>
            <w:vMerge w:val="restart"/>
            <w:shd w:val="clear" w:color="auto" w:fill="FFFFFF"/>
            <w:noWrap/>
            <w:tcMar>
              <w:top w:w="0" w:type="dxa"/>
              <w:left w:w="105" w:type="dxa"/>
              <w:bottom w:w="0" w:type="dxa"/>
              <w:right w:w="105" w:type="dxa"/>
            </w:tcMar>
            <w:vAlign w:val="center"/>
          </w:tcPr>
          <w:p>
            <w:pPr>
              <w:pStyle w:val="17"/>
              <w:spacing w:before="0" w:beforeAutospacing="0" w:after="150" w:afterAutospacing="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1545" w:type="dxa"/>
            <w:shd w:val="clear" w:color="auto" w:fill="FFFFFF"/>
            <w:noWrap/>
            <w:tcMar>
              <w:top w:w="0" w:type="dxa"/>
              <w:left w:w="105" w:type="dxa"/>
              <w:bottom w:w="0" w:type="dxa"/>
              <w:right w:w="105" w:type="dxa"/>
            </w:tcMar>
            <w:vAlign w:val="center"/>
          </w:tcPr>
          <w:p>
            <w:pPr>
              <w:pStyle w:val="17"/>
              <w:spacing w:before="0" w:beforeAutospacing="0" w:after="150" w:afterAutospacing="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515" w:type="dxa"/>
            <w:shd w:val="clear" w:color="auto" w:fill="FFFFFF"/>
            <w:noWrap/>
            <w:tcMar>
              <w:top w:w="0" w:type="dxa"/>
              <w:left w:w="105" w:type="dxa"/>
              <w:bottom w:w="0" w:type="dxa"/>
              <w:right w:w="105" w:type="dxa"/>
            </w:tcMar>
          </w:tcPr>
          <w:p>
            <w:pPr>
              <w:widowControl/>
              <w:jc w:val="left"/>
              <w:textAlignment w:val="baseline"/>
              <w:rPr>
                <w:rFonts w:asciiTheme="minorEastAsia" w:hAnsiTheme="minorEastAsia" w:eastAsiaTheme="minorEastAsia" w:cstheme="minorEastAsia"/>
                <w:sz w:val="19"/>
                <w:szCs w:val="19"/>
              </w:rPr>
            </w:pPr>
          </w:p>
        </w:tc>
        <w:tc>
          <w:tcPr>
            <w:tcW w:w="1035" w:type="dxa"/>
            <w:shd w:val="clear" w:color="auto" w:fill="FFFFFF"/>
            <w:noWrap/>
            <w:tcMar>
              <w:top w:w="0" w:type="dxa"/>
              <w:left w:w="105" w:type="dxa"/>
              <w:bottom w:w="0" w:type="dxa"/>
              <w:right w:w="105" w:type="dxa"/>
            </w:tcMar>
            <w:vAlign w:val="center"/>
          </w:tcPr>
          <w:p>
            <w:pPr>
              <w:widowControl/>
              <w:jc w:val="left"/>
              <w:textAlignment w:val="baseline"/>
              <w:rPr>
                <w:rFonts w:asciiTheme="minorEastAsia" w:hAnsiTheme="minorEastAsia" w:eastAsiaTheme="minorEastAsia" w:cstheme="minorEastAsia"/>
                <w:sz w:val="19"/>
                <w:szCs w:val="19"/>
              </w:rPr>
            </w:pPr>
          </w:p>
        </w:tc>
        <w:tc>
          <w:tcPr>
            <w:tcW w:w="945" w:type="dxa"/>
            <w:shd w:val="clear" w:color="auto" w:fill="FFFFFF"/>
            <w:noWrap/>
            <w:tcMar>
              <w:top w:w="0" w:type="dxa"/>
              <w:left w:w="105" w:type="dxa"/>
              <w:bottom w:w="0" w:type="dxa"/>
              <w:right w:w="105" w:type="dxa"/>
            </w:tcMar>
          </w:tcPr>
          <w:p>
            <w:pPr>
              <w:widowControl/>
              <w:jc w:val="left"/>
              <w:textAlignment w:val="baseline"/>
              <w:rPr>
                <w:rFonts w:asciiTheme="minorEastAsia" w:hAnsiTheme="minorEastAsia" w:eastAsiaTheme="minorEastAsia" w:cstheme="minorEastAsia"/>
                <w:sz w:val="19"/>
                <w:szCs w:val="19"/>
              </w:rPr>
            </w:pPr>
          </w:p>
        </w:tc>
        <w:tc>
          <w:tcPr>
            <w:tcW w:w="855" w:type="dxa"/>
            <w:shd w:val="clear" w:color="auto" w:fill="FFFFFF"/>
            <w:noWrap/>
            <w:tcMar>
              <w:top w:w="0" w:type="dxa"/>
              <w:left w:w="105" w:type="dxa"/>
              <w:bottom w:w="0" w:type="dxa"/>
              <w:right w:w="105" w:type="dxa"/>
            </w:tcMar>
          </w:tcPr>
          <w:p>
            <w:pPr>
              <w:widowControl/>
              <w:jc w:val="left"/>
              <w:textAlignment w:val="baseline"/>
              <w:rPr>
                <w:rFonts w:asciiTheme="minorEastAsia" w:hAnsiTheme="minorEastAsia" w:eastAsiaTheme="minorEastAsia" w:cstheme="minorEastAsia"/>
                <w:sz w:val="19"/>
                <w:szCs w:val="19"/>
              </w:rPr>
            </w:pPr>
          </w:p>
        </w:tc>
        <w:tc>
          <w:tcPr>
            <w:tcW w:w="825" w:type="dxa"/>
            <w:shd w:val="clear" w:color="auto" w:fill="FFFFFF"/>
            <w:noWrap/>
            <w:tcMar>
              <w:top w:w="0" w:type="dxa"/>
              <w:left w:w="105" w:type="dxa"/>
              <w:bottom w:w="0" w:type="dxa"/>
              <w:right w:w="105" w:type="dxa"/>
            </w:tcMar>
          </w:tcPr>
          <w:p>
            <w:pPr>
              <w:widowControl/>
              <w:jc w:val="left"/>
              <w:textAlignment w:val="baseline"/>
              <w:rPr>
                <w:rFonts w:asciiTheme="minorEastAsia" w:hAnsiTheme="minorEastAsia" w:eastAsiaTheme="minorEastAsia" w:cstheme="minorEastAsia"/>
                <w:sz w:val="19"/>
                <w:szCs w:val="19"/>
              </w:rPr>
            </w:pPr>
          </w:p>
        </w:tc>
        <w:tc>
          <w:tcPr>
            <w:tcW w:w="900" w:type="dxa"/>
            <w:shd w:val="clear" w:color="auto" w:fill="FFFFFF"/>
            <w:noWrap/>
            <w:tcMar>
              <w:top w:w="0" w:type="dxa"/>
              <w:left w:w="105" w:type="dxa"/>
              <w:bottom w:w="0" w:type="dxa"/>
              <w:right w:w="105" w:type="dxa"/>
            </w:tcMar>
          </w:tcPr>
          <w:p>
            <w:pPr>
              <w:widowControl/>
              <w:jc w:val="left"/>
              <w:textAlignment w:val="baseline"/>
              <w:rPr>
                <w:rFonts w:asciiTheme="minorEastAsia" w:hAnsiTheme="minorEastAsia" w:eastAsiaTheme="minorEastAsia" w:cstheme="minorEastAsia"/>
                <w:sz w:val="19"/>
                <w:szCs w:val="19"/>
              </w:rPr>
            </w:pPr>
          </w:p>
        </w:tc>
        <w:tc>
          <w:tcPr>
            <w:tcW w:w="795" w:type="dxa"/>
            <w:shd w:val="clear" w:color="auto" w:fill="FFFFFF"/>
            <w:noWrap/>
            <w:tcMar>
              <w:top w:w="0" w:type="dxa"/>
              <w:left w:w="105" w:type="dxa"/>
              <w:bottom w:w="0" w:type="dxa"/>
              <w:right w:w="105" w:type="dxa"/>
            </w:tcMar>
          </w:tcPr>
          <w:p>
            <w:pPr>
              <w:widowControl/>
              <w:jc w:val="left"/>
              <w:textAlignment w:val="baseline"/>
              <w:rPr>
                <w:rFonts w:asciiTheme="minorEastAsia" w:hAnsiTheme="minorEastAsia" w:eastAsiaTheme="minorEastAsia" w:cstheme="minorEastAsia"/>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0" w:type="dxa"/>
            <w:vMerge w:val="continue"/>
            <w:shd w:val="clear" w:color="auto" w:fill="FFFFFF"/>
            <w:noWrap/>
            <w:tcMar>
              <w:top w:w="0" w:type="dxa"/>
              <w:left w:w="105" w:type="dxa"/>
              <w:bottom w:w="0" w:type="dxa"/>
              <w:right w:w="105" w:type="dxa"/>
            </w:tcMar>
            <w:vAlign w:val="center"/>
          </w:tcPr>
          <w:p>
            <w:pPr>
              <w:textAlignment w:val="baseline"/>
              <w:rPr>
                <w:rFonts w:asciiTheme="minorEastAsia" w:hAnsiTheme="minorEastAsia" w:eastAsiaTheme="minorEastAsia" w:cstheme="minorEastAsia"/>
                <w:sz w:val="19"/>
                <w:szCs w:val="19"/>
              </w:rPr>
            </w:pPr>
          </w:p>
        </w:tc>
        <w:tc>
          <w:tcPr>
            <w:tcW w:w="1545" w:type="dxa"/>
            <w:shd w:val="clear" w:color="auto" w:fill="FFFFFF"/>
            <w:noWrap/>
            <w:tcMar>
              <w:top w:w="0" w:type="dxa"/>
              <w:left w:w="105" w:type="dxa"/>
              <w:bottom w:w="0" w:type="dxa"/>
              <w:right w:w="105" w:type="dxa"/>
            </w:tcMar>
            <w:vAlign w:val="center"/>
          </w:tcPr>
          <w:p>
            <w:pPr>
              <w:widowControl/>
              <w:jc w:val="left"/>
              <w:textAlignment w:val="baseline"/>
              <w:rPr>
                <w:rFonts w:asciiTheme="minorEastAsia" w:hAnsiTheme="minorEastAsia" w:eastAsiaTheme="minorEastAsia" w:cstheme="minorEastAsia"/>
                <w:sz w:val="19"/>
                <w:szCs w:val="19"/>
              </w:rPr>
            </w:pPr>
          </w:p>
        </w:tc>
        <w:tc>
          <w:tcPr>
            <w:tcW w:w="1515" w:type="dxa"/>
            <w:shd w:val="clear" w:color="auto" w:fill="FFFFFF"/>
            <w:noWrap/>
            <w:tcMar>
              <w:top w:w="0" w:type="dxa"/>
              <w:left w:w="105" w:type="dxa"/>
              <w:bottom w:w="0" w:type="dxa"/>
              <w:right w:w="105" w:type="dxa"/>
            </w:tcMar>
          </w:tcPr>
          <w:p>
            <w:pPr>
              <w:widowControl/>
              <w:jc w:val="left"/>
              <w:textAlignment w:val="baseline"/>
              <w:rPr>
                <w:rFonts w:asciiTheme="minorEastAsia" w:hAnsiTheme="minorEastAsia" w:eastAsiaTheme="minorEastAsia" w:cstheme="minorEastAsia"/>
                <w:sz w:val="19"/>
                <w:szCs w:val="19"/>
              </w:rPr>
            </w:pPr>
          </w:p>
        </w:tc>
        <w:tc>
          <w:tcPr>
            <w:tcW w:w="1035" w:type="dxa"/>
            <w:shd w:val="clear" w:color="auto" w:fill="FFFFFF"/>
            <w:noWrap/>
            <w:tcMar>
              <w:top w:w="0" w:type="dxa"/>
              <w:left w:w="105" w:type="dxa"/>
              <w:bottom w:w="0" w:type="dxa"/>
              <w:right w:w="105" w:type="dxa"/>
            </w:tcMar>
            <w:vAlign w:val="center"/>
          </w:tcPr>
          <w:p>
            <w:pPr>
              <w:widowControl/>
              <w:jc w:val="left"/>
              <w:textAlignment w:val="baseline"/>
              <w:rPr>
                <w:rFonts w:asciiTheme="minorEastAsia" w:hAnsiTheme="minorEastAsia" w:eastAsiaTheme="minorEastAsia" w:cstheme="minorEastAsia"/>
                <w:sz w:val="19"/>
                <w:szCs w:val="19"/>
              </w:rPr>
            </w:pPr>
          </w:p>
        </w:tc>
        <w:tc>
          <w:tcPr>
            <w:tcW w:w="945" w:type="dxa"/>
            <w:shd w:val="clear" w:color="auto" w:fill="FFFFFF"/>
            <w:noWrap/>
            <w:tcMar>
              <w:top w:w="0" w:type="dxa"/>
              <w:left w:w="105" w:type="dxa"/>
              <w:bottom w:w="0" w:type="dxa"/>
              <w:right w:w="105" w:type="dxa"/>
            </w:tcMar>
          </w:tcPr>
          <w:p>
            <w:pPr>
              <w:widowControl/>
              <w:jc w:val="left"/>
              <w:textAlignment w:val="baseline"/>
              <w:rPr>
                <w:rFonts w:asciiTheme="minorEastAsia" w:hAnsiTheme="minorEastAsia" w:eastAsiaTheme="minorEastAsia" w:cstheme="minorEastAsia"/>
                <w:sz w:val="19"/>
                <w:szCs w:val="19"/>
              </w:rPr>
            </w:pPr>
          </w:p>
        </w:tc>
        <w:tc>
          <w:tcPr>
            <w:tcW w:w="855" w:type="dxa"/>
            <w:shd w:val="clear" w:color="auto" w:fill="FFFFFF"/>
            <w:noWrap/>
            <w:tcMar>
              <w:top w:w="0" w:type="dxa"/>
              <w:left w:w="105" w:type="dxa"/>
              <w:bottom w:w="0" w:type="dxa"/>
              <w:right w:w="105" w:type="dxa"/>
            </w:tcMar>
          </w:tcPr>
          <w:p>
            <w:pPr>
              <w:widowControl/>
              <w:jc w:val="left"/>
              <w:textAlignment w:val="baseline"/>
              <w:rPr>
                <w:rFonts w:asciiTheme="minorEastAsia" w:hAnsiTheme="minorEastAsia" w:eastAsiaTheme="minorEastAsia" w:cstheme="minorEastAsia"/>
                <w:sz w:val="19"/>
                <w:szCs w:val="19"/>
              </w:rPr>
            </w:pPr>
          </w:p>
        </w:tc>
        <w:tc>
          <w:tcPr>
            <w:tcW w:w="825" w:type="dxa"/>
            <w:shd w:val="clear" w:color="auto" w:fill="FFFFFF"/>
            <w:noWrap/>
            <w:tcMar>
              <w:top w:w="0" w:type="dxa"/>
              <w:left w:w="105" w:type="dxa"/>
              <w:bottom w:w="0" w:type="dxa"/>
              <w:right w:w="105" w:type="dxa"/>
            </w:tcMar>
          </w:tcPr>
          <w:p>
            <w:pPr>
              <w:widowControl/>
              <w:jc w:val="left"/>
              <w:textAlignment w:val="baseline"/>
              <w:rPr>
                <w:rFonts w:asciiTheme="minorEastAsia" w:hAnsiTheme="minorEastAsia" w:eastAsiaTheme="minorEastAsia" w:cstheme="minorEastAsia"/>
                <w:sz w:val="19"/>
                <w:szCs w:val="19"/>
              </w:rPr>
            </w:pPr>
          </w:p>
        </w:tc>
        <w:tc>
          <w:tcPr>
            <w:tcW w:w="900" w:type="dxa"/>
            <w:shd w:val="clear" w:color="auto" w:fill="FFFFFF"/>
            <w:noWrap/>
            <w:tcMar>
              <w:top w:w="0" w:type="dxa"/>
              <w:left w:w="105" w:type="dxa"/>
              <w:bottom w:w="0" w:type="dxa"/>
              <w:right w:w="105" w:type="dxa"/>
            </w:tcMar>
          </w:tcPr>
          <w:p>
            <w:pPr>
              <w:widowControl/>
              <w:jc w:val="left"/>
              <w:textAlignment w:val="baseline"/>
              <w:rPr>
                <w:rFonts w:asciiTheme="minorEastAsia" w:hAnsiTheme="minorEastAsia" w:eastAsiaTheme="minorEastAsia" w:cstheme="minorEastAsia"/>
                <w:sz w:val="19"/>
                <w:szCs w:val="19"/>
              </w:rPr>
            </w:pPr>
          </w:p>
        </w:tc>
        <w:tc>
          <w:tcPr>
            <w:tcW w:w="795" w:type="dxa"/>
            <w:shd w:val="clear" w:color="auto" w:fill="FFFFFF"/>
            <w:noWrap/>
            <w:tcMar>
              <w:top w:w="0" w:type="dxa"/>
              <w:left w:w="105" w:type="dxa"/>
              <w:bottom w:w="0" w:type="dxa"/>
              <w:right w:w="105" w:type="dxa"/>
            </w:tcMar>
          </w:tcPr>
          <w:p>
            <w:pPr>
              <w:widowControl/>
              <w:jc w:val="left"/>
              <w:textAlignment w:val="baseline"/>
              <w:rPr>
                <w:rFonts w:asciiTheme="minorEastAsia" w:hAnsiTheme="minorEastAsia" w:eastAsiaTheme="minorEastAsia" w:cstheme="minorEastAsia"/>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560" w:type="dxa"/>
            <w:gridSpan w:val="7"/>
            <w:shd w:val="clear" w:color="auto" w:fill="FFFFFF"/>
            <w:noWrap/>
            <w:tcMar>
              <w:top w:w="0" w:type="dxa"/>
              <w:left w:w="105" w:type="dxa"/>
              <w:bottom w:w="0" w:type="dxa"/>
              <w:right w:w="105" w:type="dxa"/>
            </w:tcMar>
            <w:vAlign w:val="center"/>
          </w:tcPr>
          <w:p>
            <w:pPr>
              <w:widowControl/>
              <w:jc w:val="center"/>
              <w:textAlignment w:val="baseline"/>
              <w:rPr>
                <w:rFonts w:asciiTheme="minorEastAsia" w:hAnsiTheme="minorEastAsia" w:eastAsiaTheme="minorEastAsia" w:cstheme="minorEastAsia"/>
                <w:sz w:val="19"/>
                <w:szCs w:val="19"/>
              </w:rPr>
            </w:pPr>
            <w:r>
              <w:rPr>
                <w:rFonts w:hint="eastAsia" w:asciiTheme="minorEastAsia" w:hAnsiTheme="minorEastAsia" w:eastAsiaTheme="minorEastAsia" w:cstheme="minorEastAsia"/>
                <w:kern w:val="0"/>
                <w:sz w:val="24"/>
                <w:szCs w:val="24"/>
              </w:rPr>
              <w:t>投标总价</w:t>
            </w:r>
          </w:p>
        </w:tc>
        <w:tc>
          <w:tcPr>
            <w:tcW w:w="900" w:type="dxa"/>
            <w:shd w:val="clear" w:color="auto" w:fill="FFFFFF"/>
            <w:noWrap/>
            <w:tcMar>
              <w:top w:w="0" w:type="dxa"/>
              <w:left w:w="105" w:type="dxa"/>
              <w:bottom w:w="0" w:type="dxa"/>
              <w:right w:w="105" w:type="dxa"/>
            </w:tcMar>
          </w:tcPr>
          <w:p>
            <w:pPr>
              <w:widowControl/>
              <w:jc w:val="left"/>
              <w:textAlignment w:val="baseline"/>
              <w:rPr>
                <w:rFonts w:asciiTheme="minorEastAsia" w:hAnsiTheme="minorEastAsia" w:eastAsiaTheme="minorEastAsia" w:cstheme="minorEastAsia"/>
                <w:sz w:val="19"/>
                <w:szCs w:val="19"/>
              </w:rPr>
            </w:pPr>
          </w:p>
        </w:tc>
        <w:tc>
          <w:tcPr>
            <w:tcW w:w="795" w:type="dxa"/>
            <w:shd w:val="clear" w:color="auto" w:fill="FFFFFF"/>
            <w:noWrap/>
            <w:tcMar>
              <w:top w:w="0" w:type="dxa"/>
              <w:left w:w="105" w:type="dxa"/>
              <w:bottom w:w="0" w:type="dxa"/>
              <w:right w:w="105" w:type="dxa"/>
            </w:tcMar>
          </w:tcPr>
          <w:p>
            <w:pPr>
              <w:widowControl/>
              <w:jc w:val="left"/>
              <w:textAlignment w:val="baseline"/>
              <w:rPr>
                <w:rFonts w:asciiTheme="minorEastAsia" w:hAnsiTheme="minorEastAsia" w:eastAsiaTheme="minorEastAsia" w:cstheme="minorEastAsia"/>
                <w:sz w:val="19"/>
                <w:szCs w:val="19"/>
              </w:rPr>
            </w:pPr>
          </w:p>
        </w:tc>
      </w:tr>
    </w:tbl>
    <w:p>
      <w:pPr>
        <w:pStyle w:val="2"/>
        <w:textAlignment w:val="baseline"/>
        <w:rPr>
          <w:rFonts w:asciiTheme="minorEastAsia" w:hAnsiTheme="minorEastAsia" w:eastAsiaTheme="minorEastAsia" w:cstheme="minorEastAsia"/>
          <w:b/>
          <w:bCs/>
          <w:kern w:val="0"/>
          <w:sz w:val="32"/>
          <w:szCs w:val="32"/>
        </w:rPr>
      </w:pPr>
    </w:p>
    <w:p>
      <w:pPr>
        <w:textAlignment w:val="baseline"/>
        <w:rPr>
          <w:rFonts w:asciiTheme="minorEastAsia" w:hAnsiTheme="minorEastAsia" w:eastAsiaTheme="minorEastAsia" w:cstheme="minorEastAsia"/>
          <w:b/>
          <w:bCs/>
          <w:kern w:val="0"/>
          <w:sz w:val="32"/>
          <w:szCs w:val="32"/>
        </w:rPr>
      </w:pPr>
    </w:p>
    <w:p>
      <w:pPr>
        <w:pStyle w:val="2"/>
        <w:textAlignment w:val="baseline"/>
        <w:rPr>
          <w:rFonts w:asciiTheme="minorEastAsia" w:hAnsiTheme="minorEastAsia" w:eastAsiaTheme="minorEastAsia" w:cstheme="minorEastAsia"/>
          <w:b/>
          <w:bCs/>
          <w:kern w:val="0"/>
          <w:sz w:val="32"/>
          <w:szCs w:val="32"/>
        </w:rPr>
      </w:pPr>
    </w:p>
    <w:p>
      <w:pPr>
        <w:textAlignment w:val="baseline"/>
        <w:rPr>
          <w:rFonts w:asciiTheme="minorEastAsia" w:hAnsiTheme="minorEastAsia" w:eastAsiaTheme="minorEastAsia" w:cstheme="minorEastAsia"/>
          <w:b/>
          <w:bCs/>
          <w:kern w:val="0"/>
          <w:sz w:val="32"/>
          <w:szCs w:val="32"/>
        </w:rPr>
      </w:pPr>
    </w:p>
    <w:p>
      <w:pPr>
        <w:spacing w:line="360" w:lineRule="auto"/>
        <w:ind w:firstLine="480" w:firstLineChars="200"/>
        <w:textAlignment w:val="baseline"/>
        <w:rPr>
          <w:rStyle w:val="25"/>
          <w:rFonts w:asciiTheme="minorEastAsia" w:hAnsiTheme="minorEastAsia" w:eastAsiaTheme="minorEastAsia" w:cstheme="minorEastAsia"/>
          <w:szCs w:val="24"/>
          <w:u w:val="single"/>
        </w:rPr>
      </w:pPr>
      <w:r>
        <w:rPr>
          <w:rStyle w:val="25"/>
          <w:rFonts w:hint="eastAsia" w:asciiTheme="minorEastAsia" w:hAnsiTheme="minorEastAsia" w:eastAsiaTheme="minorEastAsia" w:cstheme="minorEastAsia"/>
          <w:szCs w:val="24"/>
        </w:rPr>
        <w:t>供应商代表签字或盖章：</w:t>
      </w:r>
    </w:p>
    <w:p>
      <w:pPr>
        <w:spacing w:line="360" w:lineRule="auto"/>
        <w:ind w:firstLine="480" w:firstLineChars="200"/>
        <w:textAlignment w:val="baseline"/>
        <w:rPr>
          <w:rStyle w:val="25"/>
          <w:rFonts w:asciiTheme="minorEastAsia" w:hAnsiTheme="minorEastAsia" w:eastAsiaTheme="minorEastAsia" w:cstheme="minorEastAsia"/>
          <w:szCs w:val="24"/>
        </w:rPr>
      </w:pPr>
    </w:p>
    <w:p>
      <w:pPr>
        <w:spacing w:line="360" w:lineRule="auto"/>
        <w:ind w:firstLine="480" w:firstLineChars="200"/>
        <w:textAlignment w:val="baseline"/>
        <w:rPr>
          <w:rStyle w:val="25"/>
          <w:rFonts w:asciiTheme="minorEastAsia" w:hAnsiTheme="minorEastAsia" w:eastAsiaTheme="minorEastAsia" w:cstheme="minorEastAsia"/>
          <w:szCs w:val="24"/>
        </w:rPr>
      </w:pPr>
      <w:r>
        <w:rPr>
          <w:rStyle w:val="25"/>
          <w:rFonts w:hint="eastAsia" w:asciiTheme="minorEastAsia" w:hAnsiTheme="minorEastAsia" w:eastAsiaTheme="minorEastAsia" w:cstheme="minorEastAsia"/>
          <w:szCs w:val="24"/>
        </w:rPr>
        <w:t>供应商（全称并加盖公章）：</w:t>
      </w:r>
    </w:p>
    <w:p>
      <w:pPr>
        <w:spacing w:line="360" w:lineRule="auto"/>
        <w:ind w:firstLine="480" w:firstLineChars="200"/>
        <w:textAlignment w:val="baseline"/>
        <w:rPr>
          <w:rStyle w:val="25"/>
          <w:rFonts w:asciiTheme="minorEastAsia" w:hAnsiTheme="minorEastAsia" w:eastAsiaTheme="minorEastAsia" w:cstheme="minorEastAsia"/>
          <w:szCs w:val="24"/>
        </w:rPr>
      </w:pPr>
    </w:p>
    <w:p>
      <w:pPr>
        <w:spacing w:line="360" w:lineRule="auto"/>
        <w:ind w:firstLine="480" w:firstLineChars="200"/>
        <w:textAlignment w:val="baseline"/>
        <w:rPr>
          <w:rStyle w:val="25"/>
          <w:rFonts w:asciiTheme="minorEastAsia" w:hAnsiTheme="minorEastAsia" w:eastAsiaTheme="minorEastAsia" w:cstheme="minorEastAsia"/>
          <w:szCs w:val="24"/>
        </w:rPr>
      </w:pPr>
      <w:r>
        <w:rPr>
          <w:rStyle w:val="25"/>
          <w:rFonts w:hint="eastAsia" w:asciiTheme="minorEastAsia" w:hAnsiTheme="minorEastAsia" w:eastAsiaTheme="minorEastAsia" w:cstheme="minorEastAsia"/>
          <w:szCs w:val="24"/>
        </w:rPr>
        <w:t>日期： 年  月 日</w:t>
      </w:r>
    </w:p>
    <w:p>
      <w:pPr>
        <w:pStyle w:val="2"/>
        <w:textAlignment w:val="baseline"/>
        <w:rPr>
          <w:rFonts w:asciiTheme="minorEastAsia" w:hAnsiTheme="minorEastAsia" w:eastAsiaTheme="minorEastAsia" w:cstheme="minorEastAsia"/>
          <w:b/>
          <w:bCs/>
          <w:kern w:val="0"/>
          <w:sz w:val="32"/>
          <w:szCs w:val="32"/>
        </w:rPr>
      </w:pPr>
    </w:p>
    <w:p>
      <w:pPr>
        <w:textAlignment w:val="baseline"/>
        <w:rPr>
          <w:rFonts w:asciiTheme="minorEastAsia" w:hAnsiTheme="minorEastAsia" w:eastAsiaTheme="minorEastAsia" w:cstheme="minorEastAsia"/>
          <w:b/>
          <w:bCs/>
          <w:kern w:val="0"/>
          <w:sz w:val="32"/>
          <w:szCs w:val="32"/>
        </w:rPr>
      </w:pPr>
    </w:p>
    <w:p>
      <w:pPr>
        <w:pStyle w:val="20"/>
        <w:ind w:firstLine="643"/>
        <w:textAlignment w:val="baseline"/>
        <w:rPr>
          <w:rFonts w:asciiTheme="minorEastAsia" w:hAnsiTheme="minorEastAsia" w:eastAsiaTheme="minorEastAsia" w:cstheme="minorEastAsia"/>
          <w:b/>
          <w:bCs/>
          <w:kern w:val="0"/>
          <w:sz w:val="32"/>
          <w:szCs w:val="32"/>
        </w:rPr>
      </w:pPr>
    </w:p>
    <w:p>
      <w:pPr>
        <w:pStyle w:val="20"/>
        <w:ind w:firstLine="643"/>
        <w:textAlignment w:val="baseline"/>
        <w:rPr>
          <w:rFonts w:asciiTheme="minorEastAsia" w:hAnsiTheme="minorEastAsia" w:eastAsiaTheme="minorEastAsia" w:cstheme="minorEastAsia"/>
          <w:b/>
          <w:bCs/>
          <w:kern w:val="0"/>
          <w:sz w:val="32"/>
          <w:szCs w:val="32"/>
        </w:rPr>
      </w:pPr>
    </w:p>
    <w:p>
      <w:pPr>
        <w:pStyle w:val="2"/>
        <w:textAlignment w:val="baseline"/>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br w:type="page"/>
      </w:r>
    </w:p>
    <w:p>
      <w:pPr>
        <w:pStyle w:val="2"/>
      </w:pPr>
    </w:p>
    <w:p>
      <w:pPr>
        <w:widowControl/>
        <w:spacing w:before="75" w:after="75"/>
        <w:jc w:val="center"/>
        <w:textAlignment w:val="baseline"/>
        <w:rPr>
          <w:rFonts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三、资格证明文件</w:t>
      </w:r>
    </w:p>
    <w:p>
      <w:pPr>
        <w:widowControl/>
        <w:spacing w:before="75" w:after="75"/>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1       </w:t>
      </w:r>
      <w:r>
        <w:rPr>
          <w:rFonts w:hint="eastAsia" w:asciiTheme="minorEastAsia" w:hAnsiTheme="minorEastAsia" w:eastAsiaTheme="minorEastAsia" w:cstheme="minorEastAsia"/>
          <w:b/>
          <w:bCs/>
          <w:kern w:val="0"/>
          <w:sz w:val="24"/>
          <w:szCs w:val="24"/>
        </w:rPr>
        <w:t>参加竞争性磋商的声明函</w:t>
      </w:r>
      <w:r>
        <w:rPr>
          <w:rFonts w:hint="eastAsia" w:asciiTheme="minorEastAsia" w:hAnsiTheme="minorEastAsia" w:eastAsiaTheme="minorEastAsia" w:cstheme="minorEastAsia"/>
          <w:kern w:val="0"/>
          <w:sz w:val="24"/>
          <w:szCs w:val="24"/>
        </w:rPr>
        <w:t> </w:t>
      </w:r>
    </w:p>
    <w:p>
      <w:pPr>
        <w:widowControl/>
        <w:spacing w:before="75" w:after="75" w:line="435" w:lineRule="atLeast"/>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w:t>
      </w:r>
    </w:p>
    <w:p>
      <w:pPr>
        <w:widowControl/>
        <w:spacing w:before="75" w:after="75" w:line="435" w:lineRule="atLeast"/>
        <w:ind w:firstLine="360" w:firstLineChars="15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致：</w:t>
      </w:r>
      <w:r>
        <w:rPr>
          <w:rFonts w:hint="eastAsia" w:asciiTheme="minorEastAsia" w:hAnsiTheme="minorEastAsia" w:eastAsiaTheme="minorEastAsia" w:cstheme="minorEastAsia"/>
          <w:kern w:val="0"/>
          <w:sz w:val="24"/>
          <w:szCs w:val="24"/>
          <w:u w:val="single" w:color="000000"/>
        </w:rPr>
        <w:t>     (采购人或采购代理机构)      </w:t>
      </w:r>
      <w:r>
        <w:rPr>
          <w:rFonts w:hint="eastAsia" w:asciiTheme="minorEastAsia" w:hAnsiTheme="minorEastAsia" w:eastAsiaTheme="minorEastAsia" w:cstheme="minorEastAsia"/>
          <w:kern w:val="0"/>
          <w:sz w:val="24"/>
          <w:szCs w:val="24"/>
        </w:rPr>
        <w:t> </w:t>
      </w:r>
    </w:p>
    <w:p>
      <w:pPr>
        <w:widowControl/>
        <w:spacing w:before="75" w:after="75" w:line="435" w:lineRule="atLeast"/>
        <w:ind w:firstLine="360" w:firstLineChars="15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1、关于贵方______年______月______日</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项目（项目编号:</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widowControl/>
        <w:spacing w:before="75" w:after="75" w:line="435" w:lineRule="atLeast"/>
        <w:ind w:left="240" w:hanging="240" w:hangingChars="100"/>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2、供应商的基本概况：</w:t>
      </w:r>
    </w:p>
    <w:p>
      <w:pPr>
        <w:widowControl/>
        <w:spacing w:before="75" w:after="75" w:line="435" w:lineRule="atLeast"/>
        <w:ind w:left="240" w:hanging="240" w:hangingChars="100"/>
        <w:jc w:val="left"/>
        <w:textAlignment w:val="baseline"/>
        <w:rPr>
          <w:rFonts w:asciiTheme="minorEastAsia" w:hAnsiTheme="minorEastAsia" w:eastAsiaTheme="minorEastAsia" w:cstheme="minorEastAsia"/>
          <w:kern w:val="0"/>
          <w:sz w:val="24"/>
          <w:szCs w:val="24"/>
          <w:u w:val="single" w:color="000000"/>
        </w:rPr>
      </w:pPr>
      <w:r>
        <w:rPr>
          <w:rFonts w:hint="eastAsia" w:asciiTheme="minorEastAsia" w:hAnsiTheme="minorEastAsia" w:eastAsiaTheme="minorEastAsia" w:cstheme="minorEastAsia"/>
          <w:kern w:val="0"/>
          <w:sz w:val="24"/>
          <w:szCs w:val="24"/>
        </w:rPr>
        <w:t>2.1供应商单位名称：</w:t>
      </w:r>
      <w:r>
        <w:rPr>
          <w:rFonts w:hint="eastAsia" w:asciiTheme="minorEastAsia" w:hAnsiTheme="minorEastAsia" w:eastAsiaTheme="minorEastAsia" w:cstheme="minorEastAsia"/>
          <w:kern w:val="0"/>
          <w:sz w:val="24"/>
          <w:szCs w:val="24"/>
          <w:u w:val="single" w:color="000000"/>
        </w:rPr>
        <w:t>                       </w:t>
      </w:r>
    </w:p>
    <w:p>
      <w:pPr>
        <w:widowControl/>
        <w:spacing w:before="75" w:after="75" w:line="435" w:lineRule="atLeast"/>
        <w:ind w:left="240" w:hanging="240" w:hangingChars="100"/>
        <w:jc w:val="left"/>
        <w:textAlignment w:val="baseline"/>
        <w:rPr>
          <w:rFonts w:asciiTheme="minorEastAsia" w:hAnsiTheme="minorEastAsia" w:eastAsiaTheme="minorEastAsia" w:cstheme="minorEastAsia"/>
          <w:kern w:val="0"/>
          <w:sz w:val="24"/>
          <w:szCs w:val="24"/>
          <w:u w:val="single" w:color="000000"/>
        </w:rPr>
      </w:pPr>
      <w:r>
        <w:rPr>
          <w:rFonts w:hint="eastAsia" w:asciiTheme="minorEastAsia" w:hAnsiTheme="minorEastAsia" w:eastAsiaTheme="minorEastAsia" w:cstheme="minorEastAsia"/>
          <w:kern w:val="0"/>
          <w:sz w:val="24"/>
          <w:szCs w:val="24"/>
        </w:rPr>
        <w:t>2.2注册地址：</w:t>
      </w:r>
      <w:r>
        <w:rPr>
          <w:rFonts w:hint="eastAsia" w:asciiTheme="minorEastAsia" w:hAnsiTheme="minorEastAsia" w:eastAsiaTheme="minorEastAsia" w:cstheme="minorEastAsia"/>
          <w:kern w:val="0"/>
          <w:sz w:val="24"/>
          <w:szCs w:val="24"/>
          <w:u w:val="single" w:color="000000"/>
        </w:rPr>
        <w:t>                            </w:t>
      </w:r>
    </w:p>
    <w:p>
      <w:pPr>
        <w:widowControl/>
        <w:spacing w:before="75" w:after="75" w:line="435" w:lineRule="atLeast"/>
        <w:ind w:left="240" w:hanging="240" w:hangingChars="10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2.3单位负责人姓名：</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性别：</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年龄：</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职务：</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w:t>
      </w:r>
    </w:p>
    <w:p>
      <w:pPr>
        <w:widowControl/>
        <w:spacing w:before="75" w:after="75" w:line="435" w:lineRule="atLeast"/>
        <w:ind w:firstLine="480"/>
        <w:jc w:val="left"/>
        <w:textAlignment w:val="baseline"/>
        <w:rPr>
          <w:rFonts w:asciiTheme="minorEastAsia" w:hAnsiTheme="minorEastAsia" w:eastAsiaTheme="minorEastAsia" w:cstheme="minorEastAsia"/>
          <w:kern w:val="0"/>
          <w:sz w:val="27"/>
          <w:szCs w:val="27"/>
        </w:rPr>
      </w:pPr>
    </w:p>
    <w:p>
      <w:pPr>
        <w:widowControl/>
        <w:spacing w:before="75" w:after="75" w:line="435" w:lineRule="atLeast"/>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w:t>
      </w:r>
    </w:p>
    <w:p>
      <w:pPr>
        <w:widowControl/>
        <w:spacing w:before="75" w:after="75" w:line="435" w:lineRule="atLeast"/>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w:t>
      </w:r>
    </w:p>
    <w:p>
      <w:pPr>
        <w:widowControl/>
        <w:spacing w:before="75" w:after="75" w:line="435" w:lineRule="atLeas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供应商代表：</w:t>
      </w:r>
      <w:r>
        <w:rPr>
          <w:rFonts w:hint="eastAsia" w:asciiTheme="minorEastAsia" w:hAnsiTheme="minorEastAsia" w:eastAsiaTheme="minorEastAsia" w:cstheme="minorEastAsia"/>
          <w:kern w:val="0"/>
          <w:sz w:val="24"/>
          <w:szCs w:val="24"/>
          <w:u w:val="single" w:color="000000"/>
        </w:rPr>
        <w:t>             （签字） </w:t>
      </w:r>
    </w:p>
    <w:p>
      <w:pPr>
        <w:widowControl/>
        <w:spacing w:before="75" w:after="75" w:line="435" w:lineRule="atLeas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供应商名称：</w:t>
      </w:r>
      <w:r>
        <w:rPr>
          <w:rFonts w:hint="eastAsia" w:asciiTheme="minorEastAsia" w:hAnsiTheme="minorEastAsia" w:eastAsiaTheme="minorEastAsia" w:cstheme="minorEastAsia"/>
          <w:kern w:val="0"/>
          <w:sz w:val="24"/>
          <w:szCs w:val="24"/>
          <w:u w:val="single" w:color="000000"/>
        </w:rPr>
        <w:t>        （全称并加盖公章） </w:t>
      </w:r>
    </w:p>
    <w:p>
      <w:pPr>
        <w:widowControl/>
        <w:spacing w:before="75" w:after="75" w:line="435" w:lineRule="atLeast"/>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日  期： </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年 </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月 </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日</w:t>
      </w: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p>
    <w:p>
      <w:pPr>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7"/>
          <w:szCs w:val="27"/>
        </w:rPr>
        <w:br w:type="page"/>
      </w:r>
    </w:p>
    <w:p>
      <w:pPr>
        <w:widowControl/>
        <w:spacing w:before="75" w:after="75" w:line="375" w:lineRule="atLeast"/>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b/>
          <w:bCs/>
          <w:kern w:val="0"/>
          <w:sz w:val="24"/>
          <w:szCs w:val="24"/>
        </w:rPr>
        <w:t>2      </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b/>
          <w:bCs/>
          <w:kern w:val="0"/>
          <w:sz w:val="24"/>
          <w:szCs w:val="24"/>
        </w:rPr>
        <w:t>供应商的资格声明</w:t>
      </w:r>
      <w:r>
        <w:rPr>
          <w:rFonts w:hint="eastAsia" w:asciiTheme="minorEastAsia" w:hAnsiTheme="minorEastAsia" w:eastAsiaTheme="minorEastAsia" w:cstheme="minorEastAsia"/>
          <w:kern w:val="0"/>
          <w:sz w:val="24"/>
          <w:szCs w:val="24"/>
        </w:rPr>
        <w:t> </w:t>
      </w:r>
    </w:p>
    <w:p>
      <w:pPr>
        <w:widowControl/>
        <w:spacing w:before="75" w:after="75" w:line="375" w:lineRule="atLeas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w:t>
      </w:r>
    </w:p>
    <w:p>
      <w:pPr>
        <w:widowControl/>
        <w:spacing w:before="75" w:after="75" w:line="375" w:lineRule="atLeas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致：</w:t>
      </w:r>
      <w:r>
        <w:rPr>
          <w:rFonts w:hint="eastAsia" w:asciiTheme="minorEastAsia" w:hAnsiTheme="minorEastAsia" w:eastAsiaTheme="minorEastAsia" w:cstheme="minorEastAsia"/>
          <w:kern w:val="0"/>
          <w:sz w:val="24"/>
          <w:szCs w:val="24"/>
          <w:u w:val="single" w:color="000000"/>
        </w:rPr>
        <w:t>     (采购人或采购代理机构)      </w:t>
      </w:r>
    </w:p>
    <w:p>
      <w:pPr>
        <w:widowControl/>
        <w:spacing w:before="75" w:after="75" w:line="375" w:lineRule="atLeas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4"/>
          <w:szCs w:val="24"/>
        </w:rPr>
        <w:t> </w:t>
      </w:r>
    </w:p>
    <w:p>
      <w:pPr>
        <w:widowControl/>
        <w:spacing w:before="75" w:after="75" w:line="375" w:lineRule="atLeas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4"/>
          <w:szCs w:val="24"/>
        </w:rPr>
        <w:t>    1、</w:t>
      </w:r>
      <w:r>
        <w:rPr>
          <w:rFonts w:hint="eastAsia" w:asciiTheme="minorEastAsia" w:hAnsiTheme="minorEastAsia" w:eastAsiaTheme="minorEastAsia" w:cstheme="minorEastAsia"/>
          <w:kern w:val="0"/>
          <w:sz w:val="24"/>
          <w:szCs w:val="24"/>
        </w:rPr>
        <w:t>我方已知晓竞争性磋商文件要求并无异议，且已认真审核自身情况，在此郑重声明，我方具备并满足下列各项条款的规定。本声明如有虚假或不实之处，我方将失去合格供应商资格且我方的磋商保证金将不予退还。</w:t>
      </w:r>
    </w:p>
    <w:tbl>
      <w:tblPr>
        <w:tblStyle w:val="21"/>
        <w:tblW w:w="936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6202"/>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供应商的基本要求</w:t>
            </w:r>
          </w:p>
        </w:tc>
        <w:tc>
          <w:tcPr>
            <w:tcW w:w="3130"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（1）具有独立承担民事责任的能力</w:t>
            </w:r>
          </w:p>
        </w:tc>
        <w:tc>
          <w:tcPr>
            <w:tcW w:w="3130" w:type="dxa"/>
            <w:noWrap/>
            <w:tcMar>
              <w:top w:w="0" w:type="dxa"/>
              <w:left w:w="105" w:type="dxa"/>
              <w:bottom w:w="0" w:type="dxa"/>
              <w:right w:w="105" w:type="dxa"/>
            </w:tcMar>
            <w:vAlign w:val="center"/>
          </w:tcPr>
          <w:p>
            <w:pPr>
              <w:widowControl/>
              <w:jc w:val="left"/>
              <w:textAlignment w:val="baseline"/>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（2）具有良好的商业信誉和健全的财务会计制度</w:t>
            </w:r>
          </w:p>
        </w:tc>
        <w:tc>
          <w:tcPr>
            <w:tcW w:w="3130" w:type="dxa"/>
            <w:noWrap/>
            <w:tcMar>
              <w:top w:w="0" w:type="dxa"/>
              <w:left w:w="105" w:type="dxa"/>
              <w:bottom w:w="0" w:type="dxa"/>
              <w:right w:w="105" w:type="dxa"/>
            </w:tcMar>
            <w:vAlign w:val="center"/>
          </w:tcPr>
          <w:p>
            <w:pPr>
              <w:widowControl/>
              <w:jc w:val="left"/>
              <w:textAlignment w:val="baseline"/>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（3）具有履行合同所必需的设备和专业技术能力</w:t>
            </w:r>
          </w:p>
        </w:tc>
        <w:tc>
          <w:tcPr>
            <w:tcW w:w="3130" w:type="dxa"/>
            <w:noWrap/>
            <w:tcMar>
              <w:top w:w="0" w:type="dxa"/>
              <w:left w:w="105" w:type="dxa"/>
              <w:bottom w:w="0" w:type="dxa"/>
              <w:right w:w="105" w:type="dxa"/>
            </w:tcMar>
            <w:vAlign w:val="center"/>
          </w:tcPr>
          <w:p>
            <w:pPr>
              <w:widowControl/>
              <w:jc w:val="left"/>
              <w:textAlignment w:val="baseline"/>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（4）有依法缴纳税收和社会保障资金的良好记录</w:t>
            </w:r>
          </w:p>
        </w:tc>
        <w:tc>
          <w:tcPr>
            <w:tcW w:w="3130" w:type="dxa"/>
            <w:noWrap/>
            <w:tcMar>
              <w:top w:w="0" w:type="dxa"/>
              <w:left w:w="105" w:type="dxa"/>
              <w:bottom w:w="0" w:type="dxa"/>
              <w:right w:w="105" w:type="dxa"/>
            </w:tcMar>
            <w:vAlign w:val="center"/>
          </w:tcPr>
          <w:p>
            <w:pPr>
              <w:widowControl/>
              <w:jc w:val="left"/>
              <w:textAlignment w:val="baseline"/>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（5）参加采购活动前三年内，在经营活动中没有重大违法记录、无行贿犯罪记录</w:t>
            </w:r>
          </w:p>
        </w:tc>
        <w:tc>
          <w:tcPr>
            <w:tcW w:w="3130" w:type="dxa"/>
            <w:noWrap/>
            <w:tcMar>
              <w:top w:w="0" w:type="dxa"/>
              <w:left w:w="105" w:type="dxa"/>
              <w:bottom w:w="0" w:type="dxa"/>
              <w:right w:w="105" w:type="dxa"/>
            </w:tcMar>
            <w:vAlign w:val="center"/>
          </w:tcPr>
          <w:p>
            <w:pPr>
              <w:widowControl/>
              <w:jc w:val="left"/>
              <w:textAlignment w:val="baseline"/>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（6）法律、行政法规规定的其他条件。</w:t>
            </w:r>
          </w:p>
        </w:tc>
        <w:tc>
          <w:tcPr>
            <w:tcW w:w="3130" w:type="dxa"/>
            <w:noWrap/>
            <w:tcMar>
              <w:top w:w="0" w:type="dxa"/>
              <w:left w:w="105" w:type="dxa"/>
              <w:bottom w:w="0" w:type="dxa"/>
              <w:right w:w="105" w:type="dxa"/>
            </w:tcMar>
            <w:vAlign w:val="center"/>
          </w:tcPr>
          <w:p>
            <w:pPr>
              <w:widowControl/>
              <w:jc w:val="left"/>
              <w:textAlignment w:val="baseline"/>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磋商文件对合格供应商的一般规定</w:t>
            </w:r>
          </w:p>
        </w:tc>
        <w:tc>
          <w:tcPr>
            <w:tcW w:w="3130"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1.供应商应当遵守中国的有关法律、法规和规章的规定，参加采购活动时已经自觉检查并按照相关法律规定，主动回避相应利害关系。</w:t>
            </w:r>
          </w:p>
        </w:tc>
        <w:tc>
          <w:tcPr>
            <w:tcW w:w="3130" w:type="dxa"/>
            <w:noWrap/>
            <w:tcMar>
              <w:top w:w="0" w:type="dxa"/>
              <w:left w:w="105" w:type="dxa"/>
              <w:bottom w:w="0" w:type="dxa"/>
              <w:right w:w="105" w:type="dxa"/>
            </w:tcMar>
            <w:vAlign w:val="center"/>
          </w:tcPr>
          <w:p>
            <w:pPr>
              <w:widowControl/>
              <w:jc w:val="left"/>
              <w:textAlignment w:val="baseline"/>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2.为采购项目提供整体设计、规范编制或项目管理、监理、检测等服务的供应商，不得再参加该采购项目除整体设计、规范编制和项目管理、监理、检测等服务之外的其他采购活动。</w:t>
            </w:r>
          </w:p>
        </w:tc>
        <w:tc>
          <w:tcPr>
            <w:tcW w:w="3130" w:type="dxa"/>
            <w:noWrap/>
            <w:tcMar>
              <w:top w:w="0" w:type="dxa"/>
              <w:left w:w="105" w:type="dxa"/>
              <w:bottom w:w="0" w:type="dxa"/>
              <w:right w:w="105" w:type="dxa"/>
            </w:tcMar>
            <w:vAlign w:val="center"/>
          </w:tcPr>
          <w:p>
            <w:pPr>
              <w:widowControl/>
              <w:jc w:val="left"/>
              <w:textAlignment w:val="baseline"/>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870" w:hRule="atLeast"/>
        </w:trPr>
        <w:tc>
          <w:tcPr>
            <w:tcW w:w="6142"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3.列入失信被执行人、重大税收违法案件当事人名单的供应商，不得参加本次采购活动。</w:t>
            </w:r>
          </w:p>
        </w:tc>
        <w:tc>
          <w:tcPr>
            <w:tcW w:w="3130" w:type="dxa"/>
            <w:noWrap/>
            <w:tcMar>
              <w:top w:w="0" w:type="dxa"/>
              <w:left w:w="105" w:type="dxa"/>
              <w:bottom w:w="0" w:type="dxa"/>
              <w:right w:w="105" w:type="dxa"/>
            </w:tcMar>
            <w:vAlign w:val="center"/>
          </w:tcPr>
          <w:p>
            <w:pPr>
              <w:widowControl/>
              <w:jc w:val="left"/>
              <w:textAlignment w:val="baseline"/>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5" w:hRule="atLeast"/>
        </w:trPr>
        <w:tc>
          <w:tcPr>
            <w:tcW w:w="6142" w:type="dxa"/>
            <w:noWrap/>
            <w:tcMar>
              <w:top w:w="0" w:type="dxa"/>
              <w:left w:w="105" w:type="dxa"/>
              <w:bottom w:w="0" w:type="dxa"/>
              <w:right w:w="105" w:type="dxa"/>
            </w:tcMar>
            <w:vAlign w:val="center"/>
          </w:tcPr>
          <w:p>
            <w:pPr>
              <w:spacing w:line="375" w:lineRule="atLeas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4.单位负责人为同一人或存在直接控股、管理关系的不同供应商，不得同时参加同一合同项下的磋商</w:t>
            </w:r>
          </w:p>
        </w:tc>
        <w:tc>
          <w:tcPr>
            <w:tcW w:w="3130" w:type="dxa"/>
            <w:noWrap/>
            <w:tcMar>
              <w:top w:w="0" w:type="dxa"/>
              <w:left w:w="105" w:type="dxa"/>
              <w:bottom w:w="0" w:type="dxa"/>
              <w:right w:w="105" w:type="dxa"/>
            </w:tcMar>
            <w:vAlign w:val="center"/>
          </w:tcPr>
          <w:p>
            <w:pPr>
              <w:widowControl/>
              <w:jc w:val="left"/>
              <w:textAlignment w:val="baseline"/>
              <w:rPr>
                <w:rFonts w:asciiTheme="minorEastAsia" w:hAnsiTheme="minorEastAsia" w:eastAsiaTheme="minorEastAsia" w:cstheme="minorEastAsia"/>
                <w:kern w:val="0"/>
                <w:sz w:val="24"/>
                <w:szCs w:val="24"/>
              </w:rPr>
            </w:pPr>
          </w:p>
        </w:tc>
      </w:tr>
    </w:tbl>
    <w:p>
      <w:pPr>
        <w:widowControl/>
        <w:spacing w:before="75" w:after="75" w:line="375" w:lineRule="atLeast"/>
        <w:ind w:firstLine="480"/>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2、我方对上述声明的真实性、合法性、准确性、有效性负责，并愿意根据磋商文件和磋商过程中贵方要求提供全部现有资料、数据、文件等予以证实。</w:t>
      </w:r>
    </w:p>
    <w:p>
      <w:pPr>
        <w:widowControl/>
        <w:spacing w:before="75" w:after="75" w:line="375" w:lineRule="atLeas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供应商代表：</w:t>
      </w:r>
      <w:r>
        <w:rPr>
          <w:rFonts w:hint="eastAsia" w:asciiTheme="minorEastAsia" w:hAnsiTheme="minorEastAsia" w:eastAsiaTheme="minorEastAsia" w:cstheme="minorEastAsia"/>
          <w:kern w:val="0"/>
          <w:sz w:val="24"/>
          <w:szCs w:val="24"/>
          <w:u w:val="single" w:color="000000"/>
        </w:rPr>
        <w:t>             （签字） </w:t>
      </w:r>
    </w:p>
    <w:p>
      <w:pPr>
        <w:widowControl/>
        <w:spacing w:before="75" w:after="75" w:line="375" w:lineRule="atLeas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供应商名称：</w:t>
      </w:r>
      <w:r>
        <w:rPr>
          <w:rFonts w:hint="eastAsia" w:asciiTheme="minorEastAsia" w:hAnsiTheme="minorEastAsia" w:eastAsiaTheme="minorEastAsia" w:cstheme="minorEastAsia"/>
          <w:kern w:val="0"/>
          <w:sz w:val="24"/>
          <w:szCs w:val="24"/>
          <w:u w:val="single" w:color="000000"/>
        </w:rPr>
        <w:t>       （全称并加盖公章）  </w:t>
      </w:r>
    </w:p>
    <w:p>
      <w:pPr>
        <w:widowControl/>
        <w:spacing w:before="75" w:after="75" w:line="375" w:lineRule="atLeast"/>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日  期： </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年 </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月 </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日</w:t>
      </w:r>
    </w:p>
    <w:p>
      <w:pPr>
        <w:widowControl/>
        <w:spacing w:before="75" w:after="75" w:line="435" w:lineRule="atLeast"/>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b/>
          <w:bCs/>
          <w:kern w:val="0"/>
          <w:sz w:val="24"/>
          <w:szCs w:val="24"/>
        </w:rPr>
        <w:t>3单位负责人授权书</w:t>
      </w:r>
    </w:p>
    <w:p>
      <w:pPr>
        <w:widowControl/>
        <w:spacing w:before="75" w:after="75" w:line="405" w:lineRule="atLeast"/>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w:t>
      </w:r>
    </w:p>
    <w:p>
      <w:pPr>
        <w:widowControl/>
        <w:spacing w:before="75" w:after="75" w:line="360" w:lineRule="atLeast"/>
        <w:ind w:firstLine="480" w:firstLineChars="20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致：</w:t>
      </w:r>
      <w:r>
        <w:rPr>
          <w:rFonts w:hint="eastAsia" w:asciiTheme="minorEastAsia" w:hAnsiTheme="minorEastAsia" w:eastAsiaTheme="minorEastAsia" w:cstheme="minorEastAsia"/>
          <w:kern w:val="0"/>
          <w:sz w:val="24"/>
          <w:szCs w:val="24"/>
          <w:u w:val="single" w:color="000000"/>
        </w:rPr>
        <w:t>     (采购人或采购代理机构)      </w:t>
      </w:r>
    </w:p>
    <w:p>
      <w:pPr>
        <w:widowControl/>
        <w:spacing w:before="75" w:after="75" w:line="360" w:lineRule="atLeast"/>
        <w:ind w:firstLine="480"/>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我方的单位负责人</w:t>
      </w:r>
      <w:r>
        <w:rPr>
          <w:rFonts w:hint="eastAsia" w:asciiTheme="minorEastAsia" w:hAnsiTheme="minorEastAsia" w:eastAsiaTheme="minorEastAsia" w:cstheme="minorEastAsia"/>
          <w:kern w:val="0"/>
          <w:sz w:val="24"/>
          <w:szCs w:val="24"/>
          <w:u w:val="single" w:color="000000"/>
        </w:rPr>
        <w:t>（填写“单位负责人全名”）</w:t>
      </w:r>
      <w:r>
        <w:rPr>
          <w:rFonts w:hint="eastAsia" w:asciiTheme="minorEastAsia" w:hAnsiTheme="minorEastAsia" w:eastAsiaTheme="minorEastAsia" w:cstheme="minorEastAsia"/>
          <w:kern w:val="0"/>
          <w:sz w:val="24"/>
          <w:szCs w:val="24"/>
        </w:rPr>
        <w:t>授权</w:t>
      </w:r>
      <w:r>
        <w:rPr>
          <w:rFonts w:hint="eastAsia" w:asciiTheme="minorEastAsia" w:hAnsiTheme="minorEastAsia" w:eastAsiaTheme="minorEastAsia" w:cstheme="minorEastAsia"/>
          <w:kern w:val="0"/>
          <w:sz w:val="24"/>
          <w:szCs w:val="24"/>
          <w:u w:val="single" w:color="000000"/>
        </w:rPr>
        <w:t>（填写“供应商代表全名”）</w:t>
      </w:r>
      <w:r>
        <w:rPr>
          <w:rFonts w:hint="eastAsia" w:asciiTheme="minorEastAsia" w:hAnsiTheme="minorEastAsia" w:eastAsiaTheme="minorEastAsia" w:cstheme="minorEastAsia"/>
          <w:kern w:val="0"/>
          <w:sz w:val="24"/>
          <w:szCs w:val="24"/>
        </w:rPr>
        <w:t>为我方的供应商代表，代表我方参加</w:t>
      </w:r>
      <w:r>
        <w:rPr>
          <w:rFonts w:hint="eastAsia" w:asciiTheme="minorEastAsia" w:hAnsiTheme="minorEastAsia" w:eastAsiaTheme="minorEastAsia" w:cstheme="minorEastAsia"/>
          <w:kern w:val="0"/>
          <w:sz w:val="24"/>
          <w:szCs w:val="24"/>
          <w:u w:val="single" w:color="000000"/>
        </w:rPr>
        <w:t>  （填写“项目名称”）   </w:t>
      </w:r>
      <w:r>
        <w:rPr>
          <w:rFonts w:hint="eastAsia" w:asciiTheme="minorEastAsia" w:hAnsiTheme="minorEastAsia" w:eastAsiaTheme="minorEastAsia" w:cstheme="minorEastAsia"/>
          <w:kern w:val="0"/>
          <w:sz w:val="24"/>
          <w:szCs w:val="24"/>
        </w:rPr>
        <w:t>项目（项目编号：</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widowControl/>
        <w:spacing w:before="75" w:after="75" w:line="360" w:lineRule="atLeast"/>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供应商代表无转委权。特此授权。</w:t>
      </w:r>
    </w:p>
    <w:p>
      <w:pPr>
        <w:widowControl/>
        <w:spacing w:before="75" w:after="75" w:line="360" w:lineRule="atLeast"/>
        <w:jc w:val="center"/>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（以下无正文）</w:t>
      </w:r>
    </w:p>
    <w:p>
      <w:pPr>
        <w:widowControl/>
        <w:spacing w:before="75" w:after="75" w:line="360" w:lineRule="atLeast"/>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单位负责人：</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身份证号：</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手机：</w:t>
      </w:r>
      <w:r>
        <w:rPr>
          <w:rFonts w:hint="eastAsia" w:asciiTheme="minorEastAsia" w:hAnsiTheme="minorEastAsia" w:eastAsiaTheme="minorEastAsia" w:cstheme="minorEastAsia"/>
          <w:kern w:val="0"/>
          <w:sz w:val="24"/>
          <w:szCs w:val="24"/>
          <w:u w:val="single" w:color="000000"/>
        </w:rPr>
        <w:t>       </w:t>
      </w:r>
    </w:p>
    <w:p>
      <w:pPr>
        <w:widowControl/>
        <w:spacing w:before="75" w:after="75" w:line="360" w:lineRule="atLeast"/>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供应商代表：</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身份证号：</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手机：</w:t>
      </w:r>
      <w:r>
        <w:rPr>
          <w:rFonts w:hint="eastAsia" w:asciiTheme="minorEastAsia" w:hAnsiTheme="minorEastAsia" w:eastAsiaTheme="minorEastAsia" w:cstheme="minorEastAsia"/>
          <w:kern w:val="0"/>
          <w:sz w:val="24"/>
          <w:szCs w:val="24"/>
          <w:u w:val="single" w:color="000000"/>
        </w:rPr>
        <w:t>       </w:t>
      </w:r>
    </w:p>
    <w:p>
      <w:pPr>
        <w:widowControl/>
        <w:spacing w:before="75" w:after="75" w:line="360" w:lineRule="atLeast"/>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w:t>
      </w:r>
    </w:p>
    <w:p>
      <w:pPr>
        <w:widowControl/>
        <w:spacing w:before="75" w:after="75" w:line="360" w:lineRule="atLeast"/>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授权方</w:t>
      </w:r>
    </w:p>
    <w:p>
      <w:pPr>
        <w:widowControl/>
        <w:spacing w:before="75" w:after="75" w:line="360" w:lineRule="atLeast"/>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供应商：</w:t>
      </w:r>
      <w:r>
        <w:rPr>
          <w:rFonts w:hint="eastAsia" w:asciiTheme="minorEastAsia" w:hAnsiTheme="minorEastAsia" w:eastAsiaTheme="minorEastAsia" w:cstheme="minorEastAsia"/>
          <w:kern w:val="0"/>
          <w:sz w:val="24"/>
          <w:szCs w:val="24"/>
          <w:u w:val="single" w:color="000000"/>
        </w:rPr>
        <w:t>（全称并加盖单位公章）</w:t>
      </w:r>
    </w:p>
    <w:p>
      <w:pPr>
        <w:widowControl/>
        <w:spacing w:before="75" w:after="75" w:line="360" w:lineRule="atLeast"/>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单位负责人签字或盖章：</w:t>
      </w:r>
      <w:r>
        <w:rPr>
          <w:rFonts w:hint="eastAsia" w:asciiTheme="minorEastAsia" w:hAnsiTheme="minorEastAsia" w:eastAsiaTheme="minorEastAsia" w:cstheme="minorEastAsia"/>
          <w:kern w:val="0"/>
          <w:sz w:val="24"/>
          <w:szCs w:val="24"/>
          <w:u w:val="single" w:color="000000"/>
        </w:rPr>
        <w:t>                   </w:t>
      </w:r>
    </w:p>
    <w:p>
      <w:pPr>
        <w:widowControl/>
        <w:spacing w:before="75" w:after="75" w:line="360" w:lineRule="atLeast"/>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w:t>
      </w:r>
    </w:p>
    <w:p>
      <w:pPr>
        <w:widowControl/>
        <w:spacing w:before="75" w:after="75" w:line="360" w:lineRule="atLeast"/>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接受授权方</w:t>
      </w:r>
    </w:p>
    <w:p>
      <w:pPr>
        <w:widowControl/>
        <w:spacing w:before="75" w:after="75" w:line="360" w:lineRule="atLeast"/>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供应商代表签字：</w:t>
      </w:r>
      <w:r>
        <w:rPr>
          <w:rFonts w:hint="eastAsia" w:asciiTheme="minorEastAsia" w:hAnsiTheme="minorEastAsia" w:eastAsiaTheme="minorEastAsia" w:cstheme="minorEastAsia"/>
          <w:kern w:val="0"/>
          <w:sz w:val="24"/>
          <w:szCs w:val="24"/>
          <w:u w:val="single" w:color="000000"/>
        </w:rPr>
        <w:t>                   </w:t>
      </w:r>
    </w:p>
    <w:p>
      <w:pPr>
        <w:widowControl/>
        <w:spacing w:before="75" w:after="75" w:line="360" w:lineRule="atLeast"/>
        <w:jc w:val="righ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签署日期：</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u w:val="single" w:color="000000"/>
        </w:rPr>
        <w:t>   </w:t>
      </w:r>
      <w:r>
        <w:rPr>
          <w:rFonts w:hint="eastAsia" w:asciiTheme="minorEastAsia" w:hAnsiTheme="minorEastAsia" w:eastAsiaTheme="minorEastAsia" w:cstheme="minorEastAsia"/>
          <w:kern w:val="0"/>
          <w:sz w:val="24"/>
          <w:szCs w:val="24"/>
        </w:rPr>
        <w:t>日</w:t>
      </w:r>
    </w:p>
    <w:p>
      <w:pPr>
        <w:widowControl/>
        <w:spacing w:before="75" w:after="75" w:line="360" w:lineRule="atLeast"/>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w:t>
      </w:r>
    </w:p>
    <w:p>
      <w:pPr>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附：被授权人身份证复印件</w:t>
      </w:r>
    </w:p>
    <w:p>
      <w:pPr>
        <w:pStyle w:val="17"/>
        <w:spacing w:before="323" w:after="323" w:line="360" w:lineRule="auto"/>
        <w:textAlignment w:val="baseline"/>
        <w:rPr>
          <w:rFonts w:asciiTheme="minorEastAsia" w:hAnsiTheme="minorEastAsia" w:eastAsiaTheme="minorEastAsia" w:cstheme="minorEastAsia"/>
          <w:b/>
          <w:bCs/>
        </w:rPr>
      </w:pPr>
      <w:r>
        <w:rPr>
          <w:rFonts w:hint="eastAsia" w:asciiTheme="minorEastAsia" w:hAnsiTheme="minorEastAsia" w:eastAsiaTheme="minorEastAsia" w:cstheme="minorEastAsia"/>
        </w:rPr>
        <w:t>注：</w:t>
      </w:r>
      <w:r>
        <w:rPr>
          <w:rFonts w:hint="eastAsia" w:asciiTheme="minorEastAsia" w:hAnsiTheme="minorEastAsia" w:eastAsiaTheme="minorEastAsia" w:cstheme="minorEastAsia"/>
          <w:b/>
          <w:bCs/>
        </w:rPr>
        <w:t> </w:t>
      </w:r>
    </w:p>
    <w:p>
      <w:pPr>
        <w:widowControl/>
        <w:spacing w:line="405" w:lineRule="atLeas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要求：真实、有效、清晰</w:t>
      </w:r>
    </w:p>
    <w:p>
      <w:pPr>
        <w:widowControl/>
        <w:spacing w:before="75" w:after="75" w:line="285" w:lineRule="atLeas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 </w:t>
      </w:r>
      <w:r>
        <w:rPr>
          <w:rFonts w:hint="eastAsia" w:asciiTheme="minorEastAsia" w:hAnsiTheme="minorEastAsia" w:eastAsiaTheme="minorEastAsia" w:cstheme="minorEastAsia"/>
          <w:kern w:val="0"/>
          <w:sz w:val="24"/>
          <w:szCs w:val="24"/>
        </w:rPr>
        <w:t>★注意：</w:t>
      </w: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1、企业（银行、保险、石油石化、电力、电信等行业除外）、事业单位和社会团体法人的“单位负责人”指法定代表人，即与实际提交的“营业执照等证明文件”载明的一致。</w:t>
      </w: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4、对于接受联合体形式的磋商且供应商是联合体的，则只需要联合体的牵头方提交本授权书，在纸质响应文件正本中的本授权书应为原件。</w:t>
      </w:r>
    </w:p>
    <w:p>
      <w:pPr>
        <w:pStyle w:val="17"/>
        <w:spacing w:before="323" w:after="323" w:line="360" w:lineRule="auto"/>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5、供应商代表为非单位负责人提供《单位负责人授权书》，供应商代表为单位负责人时，只须提供身份证复印件。</w:t>
      </w: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4        营业执照等证明文件</w:t>
      </w:r>
    </w:p>
    <w:p>
      <w:pPr>
        <w:widowControl/>
        <w:spacing w:before="75" w:after="75" w:line="435" w:lineRule="atLeas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rPr>
        <w:t>致：     (采购人或采购代理机构)        </w:t>
      </w:r>
    </w:p>
    <w:p>
      <w:pPr>
        <w:widowControl/>
        <w:spacing w:before="75" w:after="75" w:line="435" w:lineRule="atLeast"/>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）供应商为法人（包括企业、事业单位和社会团体）的现附上由（填写“签发机关全称”）签发的我方统一社会信用代码（请填写法人的具体证照名称）复印件，该证明材料真实有效，否则我方负全部责任。</w:t>
      </w:r>
    </w:p>
    <w:p>
      <w:pPr>
        <w:widowControl/>
        <w:spacing w:before="75" w:after="75" w:line="435" w:lineRule="atLeast"/>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）供应商为非法人（包括个体工商户等其他组织）的</w:t>
      </w:r>
    </w:p>
    <w:p>
      <w:pPr>
        <w:widowControl/>
        <w:spacing w:before="75" w:after="75" w:line="435" w:lineRule="atLeas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□现附上由（填写“签发机关全称”）签发的我方（请填写非法人的具体证照名称）复印件，该证明材料真实有效，否则我方负全部责任。</w:t>
      </w:r>
    </w:p>
    <w:p>
      <w:pPr>
        <w:widowControl/>
        <w:spacing w:before="75" w:after="75" w:line="435" w:lineRule="atLeast"/>
        <w:jc w:val="left"/>
        <w:rPr>
          <w:rFonts w:asciiTheme="minorEastAsia" w:hAnsiTheme="minorEastAsia" w:eastAsiaTheme="minorEastAsia" w:cstheme="minorEastAsia"/>
          <w:kern w:val="0"/>
          <w:sz w:val="24"/>
        </w:rPr>
      </w:pPr>
    </w:p>
    <w:p>
      <w:pPr>
        <w:widowControl/>
        <w:spacing w:before="75" w:after="75" w:line="435" w:lineRule="atLeas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p>
      <w:pPr>
        <w:widowControl/>
        <w:spacing w:before="75" w:after="75" w:line="435" w:lineRule="atLeas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★注意：</w:t>
      </w:r>
    </w:p>
    <w:p>
      <w:pPr>
        <w:widowControl/>
        <w:spacing w:before="75" w:after="75" w:line="435" w:lineRule="atLeas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1、请供应商根据实际情况填写，在相应的（）中打“√”并选择相应的“□”（若有）后，再按照本格式的要求提供相应证明材料的复印件。</w:t>
      </w:r>
    </w:p>
    <w:p>
      <w:pPr>
        <w:widowControl/>
        <w:spacing w:before="75" w:after="75" w:line="435" w:lineRule="atLeas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2、供应商为企业的，提供有效的营业执照复印件；</w:t>
      </w:r>
    </w:p>
    <w:p>
      <w:pPr>
        <w:widowControl/>
        <w:spacing w:before="75" w:after="75" w:line="435" w:lineRule="atLeas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供应商为事业单位的，提供有效的事业单位法人证书复印件；</w:t>
      </w:r>
    </w:p>
    <w:p>
      <w:pPr>
        <w:widowControl/>
        <w:spacing w:before="75" w:after="75" w:line="435" w:lineRule="atLeas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供应商为社会团体的，提供有效的社会团体法人登记证书复印件；</w:t>
      </w:r>
    </w:p>
    <w:p>
      <w:pPr>
        <w:widowControl/>
        <w:spacing w:before="75" w:after="75" w:line="435" w:lineRule="atLeas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供应商为合伙企业、个体工商户的，提供有效的营业执照复印件；</w:t>
      </w:r>
    </w:p>
    <w:p>
      <w:pPr>
        <w:widowControl/>
        <w:spacing w:before="75" w:after="75" w:line="435" w:lineRule="atLeas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供应商为非企业专业服务机构的，提供有效的执业许可证等证明材料复印件；</w:t>
      </w:r>
    </w:p>
    <w:p>
      <w:pPr>
        <w:widowControl/>
        <w:spacing w:before="75" w:after="75" w:line="435" w:lineRule="atLeas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其他供应商应按照有关法律、法规和规章规定，提供有效的相应具体证照复印件。</w:t>
      </w:r>
    </w:p>
    <w:p>
      <w:pPr>
        <w:widowControl/>
        <w:spacing w:before="75" w:after="75" w:line="435" w:lineRule="atLeas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3、供应商提供的相应证明材料复印件均应符合：内容完整、清晰、整洁，并由供应商加盖其单位公章。</w:t>
      </w:r>
    </w:p>
    <w:p>
      <w:pPr>
        <w:widowControl/>
        <w:spacing w:before="75" w:after="75" w:line="435" w:lineRule="atLeast"/>
        <w:jc w:val="left"/>
        <w:rPr>
          <w:rFonts w:asciiTheme="minorEastAsia" w:hAnsiTheme="minorEastAsia" w:eastAsiaTheme="minorEastAsia" w:cstheme="minorEastAsia"/>
          <w:b/>
          <w:bCs/>
          <w:kern w:val="0"/>
          <w:sz w:val="24"/>
        </w:rPr>
      </w:pPr>
    </w:p>
    <w:p>
      <w:pPr>
        <w:widowControl/>
        <w:spacing w:before="75" w:after="75" w:line="435" w:lineRule="atLeas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p>
      <w:pPr>
        <w:widowControl/>
        <w:spacing w:before="75" w:after="75" w:line="435" w:lineRule="atLeas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日  期：     年    月    日</w:t>
      </w:r>
    </w:p>
    <w:p>
      <w:pPr>
        <w:widowControl/>
        <w:jc w:val="left"/>
        <w:textAlignment w:val="baseline"/>
        <w:rPr>
          <w:rFonts w:asciiTheme="minorEastAsia" w:hAnsiTheme="minorEastAsia" w:eastAsiaTheme="minorEastAsia" w:cstheme="minorEastAsia"/>
          <w:b/>
          <w:bCs/>
          <w:kern w:val="0"/>
          <w:sz w:val="24"/>
          <w:szCs w:val="24"/>
        </w:rPr>
      </w:pPr>
    </w:p>
    <w:p>
      <w:pP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br w:type="page"/>
      </w:r>
    </w:p>
    <w:p>
      <w:pPr>
        <w:widowControl/>
        <w:spacing w:before="75" w:after="75" w:line="435" w:lineRule="atLeast"/>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5、“信用中国”网站查询并打印相应的信用记录</w:t>
      </w:r>
    </w:p>
    <w:p>
      <w:pP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br w:type="page"/>
      </w:r>
    </w:p>
    <w:p>
      <w:pPr>
        <w:pStyle w:val="2"/>
      </w:pPr>
    </w:p>
    <w:p>
      <w:pPr>
        <w:widowControl/>
        <w:spacing w:before="75" w:after="75" w:line="435" w:lineRule="atLeast"/>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6、缴交磋商保证金的凭证</w:t>
      </w:r>
    </w:p>
    <w:p>
      <w:pPr>
        <w:widowControl/>
        <w:spacing w:before="75" w:after="75"/>
        <w:jc w:val="left"/>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rPr>
        <w:t>1、</w:t>
      </w:r>
      <w:r>
        <w:rPr>
          <w:rFonts w:hint="eastAsia" w:asciiTheme="minorEastAsia" w:hAnsiTheme="minorEastAsia" w:eastAsiaTheme="minorEastAsia" w:cstheme="minorEastAsia"/>
          <w:kern w:val="0"/>
          <w:sz w:val="24"/>
        </w:rPr>
        <w:t>在此项下提交的“</w:t>
      </w:r>
      <w:r>
        <w:rPr>
          <w:rFonts w:hint="eastAsia" w:asciiTheme="minorEastAsia" w:hAnsiTheme="minorEastAsia" w:eastAsiaTheme="minorEastAsia" w:cstheme="minorEastAsia"/>
          <w:b/>
          <w:bCs/>
          <w:kern w:val="0"/>
          <w:sz w:val="24"/>
        </w:rPr>
        <w:t>磋商保证金</w:t>
      </w:r>
      <w:r>
        <w:rPr>
          <w:rFonts w:hint="eastAsia" w:asciiTheme="minorEastAsia" w:hAnsiTheme="minorEastAsia" w:eastAsiaTheme="minorEastAsia" w:cstheme="minorEastAsia"/>
          <w:kern w:val="0"/>
          <w:sz w:val="24"/>
        </w:rPr>
        <w:t>”材料可使用转账凭证复印件</w:t>
      </w:r>
    </w:p>
    <w:p>
      <w:pPr>
        <w:widowControl/>
        <w:spacing w:before="75" w:after="240"/>
        <w:jc w:val="left"/>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rPr>
        <w:t>2、磋商保证金是否已提交按照磋商文件规定执行</w:t>
      </w:r>
    </w:p>
    <w:p>
      <w:pPr>
        <w:widowControl/>
        <w:spacing w:before="75" w:after="75"/>
        <w:textAlignment w:val="baseline"/>
        <w:rPr>
          <w:rFonts w:asciiTheme="minorEastAsia" w:hAnsiTheme="minorEastAsia" w:eastAsiaTheme="minorEastAsia" w:cstheme="minorEastAsia"/>
          <w:b/>
          <w:bCs/>
          <w:kern w:val="0"/>
          <w:sz w:val="32"/>
          <w:szCs w:val="32"/>
        </w:rPr>
      </w:pPr>
    </w:p>
    <w:p>
      <w:pPr>
        <w:textAlignment w:val="baseline"/>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br w:type="page"/>
      </w:r>
    </w:p>
    <w:p>
      <w:pPr>
        <w:spacing w:after="312" w:afterLines="100" w:line="360" w:lineRule="auto"/>
        <w:jc w:val="center"/>
        <w:textAlignment w:val="baseline"/>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四、技术和服务要求承诺函</w:t>
      </w:r>
    </w:p>
    <w:p>
      <w:pPr>
        <w:spacing w:line="360" w:lineRule="auto"/>
        <w:textAlignment w:val="baseline"/>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sz w:val="24"/>
          <w:szCs w:val="24"/>
        </w:rPr>
        <w:t>供应商名称：项目编号∶</w:t>
      </w:r>
    </w:p>
    <w:p>
      <w:pPr>
        <w:spacing w:line="360" w:lineRule="auto"/>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24"/>
          <w:szCs w:val="24"/>
        </w:rPr>
        <w:t>（按以下二种格式中选择一种格式进行响应）</w:t>
      </w:r>
      <w:r>
        <w:rPr>
          <w:rFonts w:hint="eastAsia" w:asciiTheme="minorEastAsia" w:hAnsiTheme="minorEastAsia" w:eastAsiaTheme="minorEastAsia" w:cstheme="minorEastAsia"/>
          <w:sz w:val="32"/>
          <w:szCs w:val="32"/>
        </w:rPr>
        <w:t>：</w:t>
      </w:r>
    </w:p>
    <w:p>
      <w:pPr>
        <w:widowControl/>
        <w:shd w:val="clear" w:color="auto" w:fill="FFFFFF"/>
        <w:spacing w:after="96" w:line="192" w:lineRule="atLeast"/>
        <w:ind w:firstLine="312"/>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（格式一）</w:t>
      </w:r>
      <w:r>
        <w:rPr>
          <w:rFonts w:hint="eastAsia" w:asciiTheme="minorEastAsia" w:hAnsiTheme="minorEastAsia" w:eastAsiaTheme="minorEastAsia" w:cstheme="minorEastAsia"/>
          <w:kern w:val="0"/>
          <w:sz w:val="24"/>
          <w:szCs w:val="24"/>
        </w:rPr>
        <w:t>完全满足要求且不存在负偏离的，承诺投报的所有产品和服务完全满足采购文件第三章“技术参数要求”的所有要求。其中有要求提供证明材料的（若有要求），须按要求提供，否则视为对应项负偏离。格式如下：</w:t>
      </w:r>
    </w:p>
    <w:tbl>
      <w:tblPr>
        <w:tblStyle w:val="21"/>
        <w:tblW w:w="8452" w:type="dxa"/>
        <w:jc w:val="center"/>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autofit"/>
        <w:tblCellMar>
          <w:top w:w="15" w:type="dxa"/>
          <w:left w:w="15" w:type="dxa"/>
          <w:bottom w:w="15" w:type="dxa"/>
          <w:right w:w="15" w:type="dxa"/>
        </w:tblCellMar>
      </w:tblPr>
      <w:tblGrid>
        <w:gridCol w:w="8452"/>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8452" w:type="dxa"/>
            <w:tcBorders>
              <w:top w:val="single" w:color="666666" w:sz="4" w:space="0"/>
              <w:left w:val="single" w:color="666666" w:sz="4" w:space="0"/>
              <w:bottom w:val="single" w:color="666666" w:sz="4" w:space="0"/>
              <w:right w:val="single" w:color="666666" w:sz="4" w:space="0"/>
            </w:tcBorders>
            <w:shd w:val="clear" w:color="auto" w:fill="FFFFFF"/>
            <w:noWrap/>
            <w:tcMar>
              <w:top w:w="0" w:type="dxa"/>
              <w:left w:w="72" w:type="dxa"/>
              <w:bottom w:w="0" w:type="dxa"/>
              <w:right w:w="72" w:type="dxa"/>
            </w:tcMar>
          </w:tcPr>
          <w:p>
            <w:pPr>
              <w:widowControl/>
              <w:spacing w:after="96" w:line="192"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连城县国有资产产权交易服务有限公司：</w:t>
            </w:r>
          </w:p>
          <w:p>
            <w:pPr>
              <w:widowControl/>
              <w:spacing w:after="96" w:line="192" w:lineRule="atLeast"/>
              <w:ind w:firstLine="612"/>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本公司承诺投报的所有产品和服务完全满足采购文件第三章“技术参数要求”的所有要求。附：第三章有要求提供的相关证明材料</w:t>
            </w:r>
          </w:p>
          <w:p>
            <w:pPr>
              <w:widowControl/>
              <w:spacing w:after="96" w:line="192"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p>
            <w:pPr>
              <w:widowControl/>
              <w:spacing w:after="96" w:line="192"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供应商名称:（全称并加盖章）</w:t>
            </w:r>
            <w:r>
              <w:rPr>
                <w:rFonts w:hint="eastAsia" w:asciiTheme="minorEastAsia" w:hAnsiTheme="minorEastAsia" w:eastAsiaTheme="minorEastAsia" w:cstheme="minorEastAsia"/>
                <w:kern w:val="0"/>
                <w:sz w:val="24"/>
                <w:szCs w:val="24"/>
                <w:u w:val="single" w:color="000000"/>
              </w:rPr>
              <w:t>             </w:t>
            </w:r>
          </w:p>
          <w:p>
            <w:pPr>
              <w:widowControl/>
              <w:spacing w:after="96" w:line="192" w:lineRule="atLeast"/>
              <w:jc w:val="left"/>
              <w:textAlignment w:val="baseline"/>
              <w:rPr>
                <w:rFonts w:asciiTheme="minorEastAsia" w:hAnsiTheme="minorEastAsia" w:eastAsiaTheme="minorEastAsia" w:cstheme="minorEastAsia"/>
                <w:kern w:val="0"/>
                <w:sz w:val="24"/>
                <w:szCs w:val="24"/>
                <w:u w:val="single" w:color="000000"/>
              </w:rPr>
            </w:pPr>
            <w:r>
              <w:rPr>
                <w:rFonts w:hint="eastAsia" w:asciiTheme="minorEastAsia" w:hAnsiTheme="minorEastAsia" w:eastAsiaTheme="minorEastAsia" w:cstheme="minorEastAsia"/>
                <w:kern w:val="0"/>
                <w:sz w:val="24"/>
                <w:szCs w:val="24"/>
              </w:rPr>
              <w:t>供应商代表签字或盖章：</w:t>
            </w:r>
            <w:r>
              <w:rPr>
                <w:rFonts w:hint="eastAsia" w:asciiTheme="minorEastAsia" w:hAnsiTheme="minorEastAsia" w:eastAsiaTheme="minorEastAsia" w:cstheme="minorEastAsia"/>
                <w:kern w:val="0"/>
                <w:sz w:val="24"/>
                <w:szCs w:val="24"/>
                <w:u w:val="single" w:color="000000"/>
              </w:rPr>
              <w:t>                   </w:t>
            </w:r>
          </w:p>
          <w:p>
            <w:pPr>
              <w:widowControl/>
              <w:spacing w:before="75" w:after="75" w:line="435" w:lineRule="atLeas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日  期：     年    月    日</w:t>
            </w:r>
          </w:p>
          <w:p>
            <w:pPr>
              <w:widowControl/>
              <w:spacing w:after="96" w:line="192" w:lineRule="atLeast"/>
              <w:jc w:val="left"/>
              <w:textAlignment w:val="baseline"/>
              <w:rPr>
                <w:rFonts w:asciiTheme="minorEastAsia" w:hAnsiTheme="minorEastAsia" w:eastAsiaTheme="minorEastAsia" w:cstheme="minorEastAsia"/>
                <w:kern w:val="0"/>
                <w:sz w:val="24"/>
                <w:szCs w:val="24"/>
                <w:u w:val="single" w:color="000000"/>
              </w:rPr>
            </w:pPr>
          </w:p>
        </w:tc>
      </w:tr>
    </w:tbl>
    <w:p>
      <w:pPr>
        <w:widowControl/>
        <w:shd w:val="clear" w:color="auto" w:fill="FFFFFF"/>
        <w:spacing w:after="96" w:line="192" w:lineRule="atLeast"/>
        <w:ind w:firstLine="312"/>
        <w:jc w:val="left"/>
        <w:textAlignment w:val="baseline"/>
        <w:rPr>
          <w:rFonts w:asciiTheme="minorEastAsia" w:hAnsiTheme="minorEastAsia" w:eastAsiaTheme="minorEastAsia" w:cstheme="minorEastAsia"/>
          <w:b/>
          <w:bCs/>
          <w:kern w:val="0"/>
          <w:sz w:val="24"/>
          <w:szCs w:val="24"/>
        </w:rPr>
      </w:pPr>
    </w:p>
    <w:p>
      <w:pPr>
        <w:widowControl/>
        <w:shd w:val="clear" w:color="auto" w:fill="FFFFFF"/>
        <w:spacing w:after="96" w:line="192" w:lineRule="atLeast"/>
        <w:ind w:firstLine="312"/>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（格式二）</w:t>
      </w:r>
      <w:r>
        <w:rPr>
          <w:rFonts w:hint="eastAsia" w:asciiTheme="minorEastAsia" w:hAnsiTheme="minorEastAsia" w:eastAsiaTheme="minorEastAsia" w:cstheme="minorEastAsia"/>
          <w:kern w:val="0"/>
          <w:sz w:val="24"/>
          <w:szCs w:val="24"/>
        </w:rPr>
        <w:t>若存在负偏离的，请按顺序单独列出并说明负偏离情况，其他无负偏离的统一作出承诺均满足要求。有要求提供证明材料的（若有要求），须按要求提供，否则视为对应项负偏离）</w:t>
      </w:r>
      <w:r>
        <w:rPr>
          <w:rFonts w:hint="eastAsia" w:asciiTheme="minorEastAsia" w:hAnsiTheme="minorEastAsia" w:eastAsiaTheme="minorEastAsia" w:cstheme="minorEastAsia"/>
          <w:b/>
          <w:bCs/>
          <w:kern w:val="0"/>
          <w:sz w:val="24"/>
          <w:szCs w:val="24"/>
        </w:rPr>
        <w:t>格式如下：</w:t>
      </w:r>
    </w:p>
    <w:tbl>
      <w:tblPr>
        <w:tblStyle w:val="21"/>
        <w:tblW w:w="8512" w:type="dxa"/>
        <w:jc w:val="center"/>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autofit"/>
        <w:tblCellMar>
          <w:top w:w="15" w:type="dxa"/>
          <w:left w:w="15" w:type="dxa"/>
          <w:bottom w:w="15" w:type="dxa"/>
          <w:right w:w="15" w:type="dxa"/>
        </w:tblCellMar>
      </w:tblPr>
      <w:tblGrid>
        <w:gridCol w:w="456"/>
        <w:gridCol w:w="2442"/>
        <w:gridCol w:w="2082"/>
        <w:gridCol w:w="3532"/>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48" w:hRule="atLeast"/>
          <w:jc w:val="center"/>
        </w:trPr>
        <w:tc>
          <w:tcPr>
            <w:tcW w:w="456" w:type="dxa"/>
            <w:tcBorders>
              <w:top w:val="single" w:color="666666" w:sz="4" w:space="0"/>
              <w:left w:val="single" w:color="666666" w:sz="4" w:space="0"/>
              <w:bottom w:val="single" w:color="666666" w:sz="4" w:space="0"/>
              <w:right w:val="single" w:color="666666" w:sz="4" w:space="0"/>
            </w:tcBorders>
            <w:shd w:val="clear" w:color="auto" w:fill="FFFFFF"/>
            <w:noWrap/>
            <w:tcMar>
              <w:top w:w="0" w:type="dxa"/>
              <w:left w:w="72" w:type="dxa"/>
              <w:bottom w:w="0" w:type="dxa"/>
              <w:right w:w="72" w:type="dxa"/>
            </w:tcMar>
            <w:vAlign w:val="center"/>
          </w:tcPr>
          <w:p>
            <w:pPr>
              <w:widowControl/>
              <w:spacing w:after="96" w:line="192" w:lineRule="atLeast"/>
              <w:jc w:val="center"/>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2442" w:type="dxa"/>
            <w:tcBorders>
              <w:top w:val="outset" w:color="auto" w:sz="4" w:space="0"/>
              <w:left w:val="single" w:color="auto" w:sz="0" w:space="0"/>
              <w:bottom w:val="outset" w:color="auto" w:sz="4" w:space="0"/>
              <w:right w:val="outset" w:color="auto" w:sz="4" w:space="0"/>
            </w:tcBorders>
            <w:shd w:val="clear" w:color="auto" w:fill="FFFFFF"/>
            <w:noWrap/>
            <w:tcMar>
              <w:top w:w="0" w:type="dxa"/>
              <w:left w:w="72" w:type="dxa"/>
              <w:bottom w:w="0" w:type="dxa"/>
              <w:right w:w="72" w:type="dxa"/>
            </w:tcMar>
            <w:vAlign w:val="center"/>
          </w:tcPr>
          <w:p>
            <w:pPr>
              <w:widowControl/>
              <w:spacing w:after="96" w:line="192" w:lineRule="atLeast"/>
              <w:jc w:val="center"/>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采购文件要求</w:t>
            </w:r>
          </w:p>
        </w:tc>
        <w:tc>
          <w:tcPr>
            <w:tcW w:w="2082" w:type="dxa"/>
            <w:tcBorders>
              <w:top w:val="outset" w:color="auto" w:sz="4" w:space="0"/>
              <w:left w:val="single" w:color="auto" w:sz="0" w:space="0"/>
              <w:bottom w:val="outset" w:color="auto" w:sz="4" w:space="0"/>
              <w:right w:val="outset" w:color="auto" w:sz="4" w:space="0"/>
            </w:tcBorders>
            <w:shd w:val="clear" w:color="auto" w:fill="FFFFFF"/>
            <w:noWrap/>
            <w:tcMar>
              <w:top w:w="0" w:type="dxa"/>
              <w:left w:w="72" w:type="dxa"/>
              <w:bottom w:w="0" w:type="dxa"/>
              <w:right w:w="72" w:type="dxa"/>
            </w:tcMar>
            <w:vAlign w:val="center"/>
          </w:tcPr>
          <w:p>
            <w:pPr>
              <w:widowControl/>
              <w:spacing w:after="96" w:line="192" w:lineRule="atLeast"/>
              <w:jc w:val="center"/>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响应内容</w:t>
            </w:r>
          </w:p>
        </w:tc>
        <w:tc>
          <w:tcPr>
            <w:tcW w:w="3532" w:type="dxa"/>
            <w:tcBorders>
              <w:top w:val="outset" w:color="auto" w:sz="4" w:space="0"/>
              <w:left w:val="single" w:color="auto" w:sz="0" w:space="0"/>
              <w:bottom w:val="outset" w:color="auto" w:sz="4" w:space="0"/>
              <w:right w:val="outset" w:color="auto" w:sz="4" w:space="0"/>
            </w:tcBorders>
            <w:shd w:val="clear" w:color="auto" w:fill="FFFFFF"/>
            <w:noWrap/>
            <w:tcMar>
              <w:top w:w="0" w:type="dxa"/>
              <w:left w:w="72" w:type="dxa"/>
              <w:bottom w:w="0" w:type="dxa"/>
              <w:right w:w="72" w:type="dxa"/>
            </w:tcMar>
            <w:vAlign w:val="center"/>
          </w:tcPr>
          <w:p>
            <w:pPr>
              <w:widowControl/>
              <w:spacing w:after="96" w:line="192" w:lineRule="atLeast"/>
              <w:jc w:val="center"/>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偏离情况</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456" w:type="dxa"/>
            <w:tcBorders>
              <w:top w:val="single" w:color="auto" w:sz="0" w:space="0"/>
              <w:left w:val="outset" w:color="auto" w:sz="4" w:space="0"/>
              <w:bottom w:val="outset" w:color="auto" w:sz="4" w:space="0"/>
              <w:right w:val="outset" w:color="auto" w:sz="4" w:space="0"/>
            </w:tcBorders>
            <w:shd w:val="clear" w:color="auto" w:fill="FFFFFF"/>
            <w:noWrap/>
            <w:tcMar>
              <w:top w:w="0" w:type="dxa"/>
              <w:left w:w="72" w:type="dxa"/>
              <w:bottom w:w="0" w:type="dxa"/>
              <w:right w:w="72" w:type="dxa"/>
            </w:tcMar>
          </w:tcPr>
          <w:p>
            <w:pPr>
              <w:widowControl/>
              <w:jc w:val="left"/>
              <w:textAlignment w:val="baseline"/>
              <w:rPr>
                <w:rFonts w:asciiTheme="minorEastAsia" w:hAnsiTheme="minorEastAsia" w:eastAsiaTheme="minorEastAsia" w:cstheme="minorEastAsia"/>
                <w:kern w:val="0"/>
                <w:sz w:val="24"/>
                <w:szCs w:val="24"/>
              </w:rPr>
            </w:pPr>
          </w:p>
        </w:tc>
        <w:tc>
          <w:tcPr>
            <w:tcW w:w="2442" w:type="dxa"/>
            <w:tcBorders>
              <w:top w:val="single" w:color="auto" w:sz="0" w:space="0"/>
              <w:left w:val="single" w:color="auto" w:sz="0" w:space="0"/>
              <w:bottom w:val="outset" w:color="auto" w:sz="4" w:space="0"/>
              <w:right w:val="outset" w:color="auto" w:sz="4" w:space="0"/>
            </w:tcBorders>
            <w:shd w:val="clear" w:color="auto" w:fill="FFFFFF"/>
            <w:noWrap/>
            <w:tcMar>
              <w:top w:w="0" w:type="dxa"/>
              <w:left w:w="72" w:type="dxa"/>
              <w:bottom w:w="0" w:type="dxa"/>
              <w:right w:w="72" w:type="dxa"/>
            </w:tcMar>
          </w:tcPr>
          <w:p>
            <w:pPr>
              <w:widowControl/>
              <w:jc w:val="left"/>
              <w:textAlignment w:val="baseline"/>
              <w:rPr>
                <w:rFonts w:asciiTheme="minorEastAsia" w:hAnsiTheme="minorEastAsia" w:eastAsiaTheme="minorEastAsia" w:cstheme="minorEastAsia"/>
                <w:kern w:val="0"/>
                <w:sz w:val="24"/>
                <w:szCs w:val="24"/>
              </w:rPr>
            </w:pPr>
          </w:p>
        </w:tc>
        <w:tc>
          <w:tcPr>
            <w:tcW w:w="2082" w:type="dxa"/>
            <w:tcBorders>
              <w:top w:val="single" w:color="auto" w:sz="0" w:space="0"/>
              <w:left w:val="single" w:color="auto" w:sz="0" w:space="0"/>
              <w:bottom w:val="outset" w:color="auto" w:sz="4" w:space="0"/>
              <w:right w:val="outset" w:color="auto" w:sz="4" w:space="0"/>
            </w:tcBorders>
            <w:shd w:val="clear" w:color="auto" w:fill="FFFFFF"/>
            <w:noWrap/>
            <w:tcMar>
              <w:top w:w="0" w:type="dxa"/>
              <w:left w:w="72" w:type="dxa"/>
              <w:bottom w:w="0" w:type="dxa"/>
              <w:right w:w="72" w:type="dxa"/>
            </w:tcMar>
          </w:tcPr>
          <w:p>
            <w:pPr>
              <w:widowControl/>
              <w:jc w:val="left"/>
              <w:textAlignment w:val="baseline"/>
              <w:rPr>
                <w:rFonts w:asciiTheme="minorEastAsia" w:hAnsiTheme="minorEastAsia" w:eastAsiaTheme="minorEastAsia" w:cstheme="minorEastAsia"/>
                <w:kern w:val="0"/>
                <w:sz w:val="24"/>
                <w:szCs w:val="24"/>
              </w:rPr>
            </w:pPr>
          </w:p>
        </w:tc>
        <w:tc>
          <w:tcPr>
            <w:tcW w:w="3532" w:type="dxa"/>
            <w:tcBorders>
              <w:top w:val="single" w:color="auto" w:sz="0" w:space="0"/>
              <w:left w:val="single" w:color="auto" w:sz="0" w:space="0"/>
              <w:bottom w:val="outset" w:color="auto" w:sz="4" w:space="0"/>
              <w:right w:val="outset" w:color="auto" w:sz="4" w:space="0"/>
            </w:tcBorders>
            <w:shd w:val="clear" w:color="auto" w:fill="FFFFFF"/>
            <w:noWrap/>
            <w:tcMar>
              <w:top w:w="0" w:type="dxa"/>
              <w:left w:w="72" w:type="dxa"/>
              <w:bottom w:w="0" w:type="dxa"/>
              <w:right w:w="72" w:type="dxa"/>
            </w:tcMar>
          </w:tcPr>
          <w:p>
            <w:pPr>
              <w:widowControl/>
              <w:jc w:val="left"/>
              <w:textAlignment w:val="baseline"/>
              <w:rPr>
                <w:rFonts w:asciiTheme="minorEastAsia" w:hAnsiTheme="minorEastAsia" w:eastAsiaTheme="minorEastAsia" w:cstheme="minorEastAsia"/>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456" w:type="dxa"/>
            <w:tcBorders>
              <w:top w:val="single" w:color="auto" w:sz="0" w:space="0"/>
              <w:left w:val="outset" w:color="auto" w:sz="4" w:space="0"/>
              <w:bottom w:val="outset" w:color="auto" w:sz="4" w:space="0"/>
              <w:right w:val="outset" w:color="auto" w:sz="4" w:space="0"/>
            </w:tcBorders>
            <w:shd w:val="clear" w:color="auto" w:fill="FFFFFF"/>
            <w:noWrap/>
            <w:tcMar>
              <w:top w:w="0" w:type="dxa"/>
              <w:left w:w="72" w:type="dxa"/>
              <w:bottom w:w="0" w:type="dxa"/>
              <w:right w:w="72" w:type="dxa"/>
            </w:tcMar>
          </w:tcPr>
          <w:p>
            <w:pPr>
              <w:widowControl/>
              <w:jc w:val="left"/>
              <w:textAlignment w:val="baseline"/>
              <w:rPr>
                <w:rFonts w:asciiTheme="minorEastAsia" w:hAnsiTheme="minorEastAsia" w:eastAsiaTheme="minorEastAsia" w:cstheme="minorEastAsia"/>
                <w:kern w:val="0"/>
                <w:sz w:val="24"/>
                <w:szCs w:val="24"/>
              </w:rPr>
            </w:pPr>
          </w:p>
        </w:tc>
        <w:tc>
          <w:tcPr>
            <w:tcW w:w="2442" w:type="dxa"/>
            <w:tcBorders>
              <w:top w:val="single" w:color="auto" w:sz="0" w:space="0"/>
              <w:left w:val="single" w:color="auto" w:sz="0" w:space="0"/>
              <w:bottom w:val="outset" w:color="auto" w:sz="4" w:space="0"/>
              <w:right w:val="outset" w:color="auto" w:sz="4" w:space="0"/>
            </w:tcBorders>
            <w:shd w:val="clear" w:color="auto" w:fill="FFFFFF"/>
            <w:noWrap/>
            <w:tcMar>
              <w:top w:w="0" w:type="dxa"/>
              <w:left w:w="72" w:type="dxa"/>
              <w:bottom w:w="0" w:type="dxa"/>
              <w:right w:w="72" w:type="dxa"/>
            </w:tcMar>
          </w:tcPr>
          <w:p>
            <w:pPr>
              <w:widowControl/>
              <w:jc w:val="left"/>
              <w:textAlignment w:val="baseline"/>
              <w:rPr>
                <w:rFonts w:asciiTheme="minorEastAsia" w:hAnsiTheme="minorEastAsia" w:eastAsiaTheme="minorEastAsia" w:cstheme="minorEastAsia"/>
                <w:kern w:val="0"/>
                <w:sz w:val="24"/>
                <w:szCs w:val="24"/>
              </w:rPr>
            </w:pPr>
          </w:p>
        </w:tc>
        <w:tc>
          <w:tcPr>
            <w:tcW w:w="2082" w:type="dxa"/>
            <w:tcBorders>
              <w:top w:val="single" w:color="auto" w:sz="0" w:space="0"/>
              <w:left w:val="single" w:color="auto" w:sz="0" w:space="0"/>
              <w:bottom w:val="outset" w:color="auto" w:sz="4" w:space="0"/>
              <w:right w:val="outset" w:color="auto" w:sz="4" w:space="0"/>
            </w:tcBorders>
            <w:shd w:val="clear" w:color="auto" w:fill="FFFFFF"/>
            <w:noWrap/>
            <w:tcMar>
              <w:top w:w="0" w:type="dxa"/>
              <w:left w:w="72" w:type="dxa"/>
              <w:bottom w:w="0" w:type="dxa"/>
              <w:right w:w="72" w:type="dxa"/>
            </w:tcMar>
          </w:tcPr>
          <w:p>
            <w:pPr>
              <w:widowControl/>
              <w:jc w:val="left"/>
              <w:textAlignment w:val="baseline"/>
              <w:rPr>
                <w:rFonts w:asciiTheme="minorEastAsia" w:hAnsiTheme="minorEastAsia" w:eastAsiaTheme="minorEastAsia" w:cstheme="minorEastAsia"/>
                <w:kern w:val="0"/>
                <w:sz w:val="24"/>
                <w:szCs w:val="24"/>
              </w:rPr>
            </w:pPr>
          </w:p>
        </w:tc>
        <w:tc>
          <w:tcPr>
            <w:tcW w:w="3532" w:type="dxa"/>
            <w:tcBorders>
              <w:top w:val="single" w:color="auto" w:sz="0" w:space="0"/>
              <w:left w:val="single" w:color="auto" w:sz="0" w:space="0"/>
              <w:bottom w:val="outset" w:color="auto" w:sz="4" w:space="0"/>
              <w:right w:val="outset" w:color="auto" w:sz="4" w:space="0"/>
            </w:tcBorders>
            <w:shd w:val="clear" w:color="auto" w:fill="FFFFFF"/>
            <w:noWrap/>
            <w:tcMar>
              <w:top w:w="0" w:type="dxa"/>
              <w:left w:w="72" w:type="dxa"/>
              <w:bottom w:w="0" w:type="dxa"/>
              <w:right w:w="72" w:type="dxa"/>
            </w:tcMar>
          </w:tcPr>
          <w:p>
            <w:pPr>
              <w:widowControl/>
              <w:jc w:val="left"/>
              <w:textAlignment w:val="baseline"/>
              <w:rPr>
                <w:rFonts w:asciiTheme="minorEastAsia" w:hAnsiTheme="minorEastAsia" w:eastAsiaTheme="minorEastAsia" w:cstheme="minorEastAsia"/>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8512" w:type="dxa"/>
            <w:gridSpan w:val="4"/>
            <w:tcBorders>
              <w:top w:val="single" w:color="auto" w:sz="0" w:space="0"/>
              <w:left w:val="outset" w:color="auto" w:sz="4" w:space="0"/>
              <w:bottom w:val="outset" w:color="auto" w:sz="4" w:space="0"/>
              <w:right w:val="outset" w:color="auto" w:sz="4" w:space="0"/>
            </w:tcBorders>
            <w:shd w:val="clear" w:color="auto" w:fill="FFFFFF"/>
            <w:noWrap/>
            <w:tcMar>
              <w:top w:w="0" w:type="dxa"/>
              <w:left w:w="72" w:type="dxa"/>
              <w:bottom w:w="0" w:type="dxa"/>
              <w:right w:w="72" w:type="dxa"/>
            </w:tcMar>
          </w:tcPr>
          <w:p>
            <w:pPr>
              <w:widowControl/>
              <w:spacing w:after="96" w:line="192" w:lineRule="atLeast"/>
              <w:ind w:firstLine="312"/>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承诺：其他投报的所有产品和服务均满足采购第三章“技术参数要求”的要求。</w:t>
            </w:r>
          </w:p>
          <w:p>
            <w:pPr>
              <w:widowControl/>
              <w:spacing w:after="96" w:line="192"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附：第三章有要求提供的相关证明材料</w:t>
            </w:r>
          </w:p>
          <w:p>
            <w:pPr>
              <w:widowControl/>
              <w:spacing w:after="96" w:line="192" w:lineRule="atLeast"/>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供应商名称:（全称并加盖章）</w:t>
            </w:r>
            <w:r>
              <w:rPr>
                <w:rFonts w:hint="eastAsia" w:asciiTheme="minorEastAsia" w:hAnsiTheme="minorEastAsia" w:eastAsiaTheme="minorEastAsia" w:cstheme="minorEastAsia"/>
                <w:kern w:val="0"/>
                <w:sz w:val="24"/>
                <w:szCs w:val="24"/>
                <w:u w:val="single" w:color="000000"/>
              </w:rPr>
              <w:t>             </w:t>
            </w:r>
          </w:p>
          <w:p>
            <w:pPr>
              <w:widowControl/>
              <w:spacing w:after="96" w:line="192" w:lineRule="atLeast"/>
              <w:jc w:val="left"/>
              <w:textAlignment w:val="baseline"/>
              <w:rPr>
                <w:rFonts w:asciiTheme="minorEastAsia" w:hAnsiTheme="minorEastAsia" w:eastAsiaTheme="minorEastAsia" w:cstheme="minorEastAsia"/>
                <w:kern w:val="0"/>
                <w:sz w:val="24"/>
                <w:szCs w:val="24"/>
                <w:u w:val="single" w:color="000000"/>
              </w:rPr>
            </w:pPr>
            <w:r>
              <w:rPr>
                <w:rFonts w:hint="eastAsia" w:asciiTheme="minorEastAsia" w:hAnsiTheme="minorEastAsia" w:eastAsiaTheme="minorEastAsia" w:cstheme="minorEastAsia"/>
                <w:kern w:val="0"/>
                <w:sz w:val="24"/>
                <w:szCs w:val="24"/>
              </w:rPr>
              <w:t>供应商代表签字或盖章：</w:t>
            </w:r>
            <w:r>
              <w:rPr>
                <w:rFonts w:hint="eastAsia" w:asciiTheme="minorEastAsia" w:hAnsiTheme="minorEastAsia" w:eastAsiaTheme="minorEastAsia" w:cstheme="minorEastAsia"/>
                <w:kern w:val="0"/>
                <w:sz w:val="24"/>
                <w:szCs w:val="24"/>
                <w:u w:val="single" w:color="000000"/>
              </w:rPr>
              <w:t>                    </w:t>
            </w:r>
          </w:p>
          <w:p>
            <w:pPr>
              <w:widowControl/>
              <w:spacing w:before="75" w:after="75" w:line="435" w:lineRule="atLeas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日  期：     年    月    日</w:t>
            </w:r>
          </w:p>
          <w:p>
            <w:pPr>
              <w:widowControl/>
              <w:spacing w:after="96" w:line="192" w:lineRule="atLeast"/>
              <w:jc w:val="left"/>
              <w:textAlignment w:val="baseline"/>
              <w:rPr>
                <w:rFonts w:asciiTheme="minorEastAsia" w:hAnsiTheme="minorEastAsia" w:eastAsiaTheme="minorEastAsia" w:cstheme="minorEastAsia"/>
                <w:kern w:val="0"/>
                <w:sz w:val="24"/>
                <w:szCs w:val="24"/>
                <w:u w:val="single" w:color="000000"/>
              </w:rPr>
            </w:pPr>
          </w:p>
        </w:tc>
      </w:tr>
    </w:tbl>
    <w:p>
      <w:pPr>
        <w:pStyle w:val="20"/>
        <w:textAlignment w:val="baseline"/>
        <w:rPr>
          <w:rFonts w:asciiTheme="minorEastAsia" w:hAnsiTheme="minorEastAsia" w:eastAsiaTheme="minorEastAsia" w:cstheme="minorEastAsia"/>
          <w:sz w:val="21"/>
          <w:szCs w:val="21"/>
        </w:rPr>
      </w:pPr>
    </w:p>
    <w:p>
      <w:pPr>
        <w:widowControl/>
        <w:jc w:val="left"/>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rPr>
        <w:br w:type="page"/>
      </w:r>
    </w:p>
    <w:p>
      <w:pPr>
        <w:widowControl/>
        <w:spacing w:before="75" w:after="75" w:line="420" w:lineRule="atLeast"/>
        <w:jc w:val="center"/>
        <w:textAlignment w:val="baseline"/>
        <w:rPr>
          <w:rFonts w:asciiTheme="minorEastAsia" w:hAnsiTheme="minorEastAsia" w:eastAsiaTheme="minorEastAsia" w:cstheme="minorEastAsia"/>
          <w:kern w:val="0"/>
          <w:sz w:val="36"/>
          <w:szCs w:val="36"/>
        </w:rPr>
      </w:pPr>
      <w:r>
        <w:rPr>
          <w:rFonts w:hint="eastAsia" w:asciiTheme="minorEastAsia" w:hAnsiTheme="minorEastAsia" w:eastAsiaTheme="minorEastAsia" w:cstheme="minorEastAsia"/>
          <w:b/>
          <w:bCs/>
          <w:kern w:val="0"/>
          <w:sz w:val="36"/>
          <w:szCs w:val="36"/>
        </w:rPr>
        <w:t>五、供应商提交的其他资料（若有）</w:t>
      </w:r>
    </w:p>
    <w:p>
      <w:pPr>
        <w:widowControl/>
        <w:spacing w:before="75" w:after="75" w:line="420" w:lineRule="atLeast"/>
        <w:jc w:val="left"/>
        <w:textAlignment w:val="baseline"/>
        <w:rPr>
          <w:rFonts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4"/>
          <w:szCs w:val="24"/>
        </w:rPr>
        <w:t> </w:t>
      </w:r>
    </w:p>
    <w:p>
      <w:pPr>
        <w:pStyle w:val="20"/>
        <w:ind w:firstLine="480"/>
        <w:textAlignment w:val="baseline"/>
        <w:rPr>
          <w:rFonts w:asciiTheme="minorEastAsia" w:hAnsiTheme="minorEastAsia" w:eastAsiaTheme="minorEastAsia" w:cstheme="minorEastAsia"/>
          <w:kern w:val="0"/>
          <w:sz w:val="24"/>
          <w:szCs w:val="24"/>
        </w:rPr>
      </w:pPr>
    </w:p>
    <w:p>
      <w:pPr>
        <w:pStyle w:val="20"/>
        <w:ind w:firstLine="480"/>
        <w:textAlignment w:val="baseline"/>
        <w:rPr>
          <w:rFonts w:asciiTheme="minorEastAsia" w:hAnsiTheme="minorEastAsia" w:eastAsiaTheme="minorEastAsia" w:cstheme="minorEastAsia"/>
          <w:kern w:val="0"/>
          <w:sz w:val="24"/>
          <w:szCs w:val="24"/>
        </w:rPr>
      </w:pPr>
    </w:p>
    <w:p>
      <w:pPr>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1、对评分标准点对点响应内容及提供的相应证明材料等，请列出清单并注明对应页码，涉及检测报告中的检测项应作标记便于评审。</w:t>
      </w:r>
    </w:p>
    <w:p>
      <w:pPr>
        <w:widowControl/>
        <w:shd w:val="clear" w:color="auto" w:fill="FFFFFF"/>
        <w:spacing w:before="75" w:after="75"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2、供应商认为需要提供的其他资料，格式自拟。</w:t>
      </w:r>
    </w:p>
    <w:p>
      <w:pPr>
        <w:pStyle w:val="20"/>
        <w:ind w:firstLine="723"/>
        <w:textAlignment w:val="baseline"/>
        <w:rPr>
          <w:rFonts w:asciiTheme="minorEastAsia" w:hAnsiTheme="minorEastAsia" w:eastAsiaTheme="minorEastAsia" w:cstheme="minorEastAsia"/>
          <w:b/>
          <w:bCs/>
          <w:kern w:val="0"/>
          <w:sz w:val="36"/>
          <w:szCs w:val="36"/>
        </w:rPr>
      </w:pPr>
    </w:p>
    <w:p>
      <w:pPr>
        <w:pStyle w:val="20"/>
        <w:ind w:firstLine="723"/>
        <w:jc w:val="center"/>
        <w:textAlignment w:val="baseline"/>
        <w:rPr>
          <w:rFonts w:asciiTheme="minorEastAsia" w:hAnsiTheme="minorEastAsia" w:eastAsiaTheme="minorEastAsia" w:cstheme="minorEastAsia"/>
          <w:b/>
          <w:bCs/>
          <w:kern w:val="0"/>
          <w:sz w:val="36"/>
          <w:szCs w:val="36"/>
        </w:rPr>
      </w:pPr>
      <w:r>
        <w:rPr>
          <w:rFonts w:hint="eastAsia" w:asciiTheme="minorEastAsia" w:hAnsiTheme="minorEastAsia" w:eastAsiaTheme="minorEastAsia" w:cstheme="minorEastAsia"/>
          <w:b/>
          <w:bCs/>
          <w:kern w:val="0"/>
          <w:sz w:val="36"/>
          <w:szCs w:val="36"/>
        </w:rPr>
        <w:t>售后服务方案及承诺</w:t>
      </w:r>
    </w:p>
    <w:p>
      <w:pPr>
        <w:spacing w:line="360" w:lineRule="auto"/>
        <w:ind w:firstLine="480" w:firstLineChars="200"/>
        <w:rPr>
          <w:rFonts w:asciiTheme="minorEastAsia" w:hAnsiTheme="minorEastAsia" w:eastAsiaTheme="minorEastAsia" w:cstheme="minorEastAsia"/>
          <w:sz w:val="24"/>
          <w:szCs w:val="24"/>
        </w:rPr>
      </w:pPr>
    </w:p>
    <w:p>
      <w:pPr>
        <w:spacing w:line="360" w:lineRule="auto"/>
        <w:ind w:left="480" w:hanging="480" w:hanging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（格式自拟）</w:t>
      </w:r>
    </w:p>
    <w:p>
      <w:pPr>
        <w:spacing w:line="360" w:lineRule="auto"/>
        <w:rPr>
          <w:rFonts w:asciiTheme="minorEastAsia" w:hAnsiTheme="minorEastAsia" w:eastAsiaTheme="minorEastAsia" w:cstheme="minorEastAsia"/>
        </w:rPr>
      </w:pPr>
    </w:p>
    <w:p>
      <w:pPr>
        <w:pStyle w:val="20"/>
        <w:spacing w:line="360" w:lineRule="auto"/>
        <w:ind w:firstLine="480"/>
        <w:textAlignment w:val="baseline"/>
        <w:rPr>
          <w:rFonts w:asciiTheme="minorEastAsia" w:hAnsiTheme="minorEastAsia" w:eastAsiaTheme="minorEastAsia" w:cstheme="minorEastAsia"/>
          <w:sz w:val="24"/>
          <w:szCs w:val="24"/>
        </w:rPr>
      </w:pPr>
    </w:p>
    <w:p>
      <w:pPr>
        <w:pStyle w:val="20"/>
        <w:spacing w:line="360" w:lineRule="auto"/>
        <w:ind w:firstLine="480"/>
        <w:textAlignment w:val="baseline"/>
        <w:rPr>
          <w:rFonts w:asciiTheme="minorEastAsia" w:hAnsiTheme="minorEastAsia" w:eastAsiaTheme="minorEastAsia" w:cstheme="minorEastAsia"/>
          <w:sz w:val="24"/>
          <w:szCs w:val="24"/>
        </w:rPr>
      </w:pPr>
    </w:p>
    <w:p>
      <w:pPr>
        <w:pStyle w:val="20"/>
        <w:spacing w:line="360" w:lineRule="auto"/>
        <w:ind w:firstLine="602"/>
        <w:textAlignment w:val="baseline"/>
        <w:rPr>
          <w:rStyle w:val="25"/>
          <w:rFonts w:asciiTheme="minorEastAsia" w:hAnsiTheme="minorEastAsia" w:eastAsiaTheme="minorEastAsia" w:cstheme="minorEastAsia"/>
          <w:b/>
          <w:bCs/>
          <w:sz w:val="30"/>
          <w:szCs w:val="30"/>
        </w:rPr>
      </w:pPr>
    </w:p>
    <w:p>
      <w:pPr>
        <w:widowControl/>
        <w:spacing w:after="96" w:line="36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供应商名称:（全称并加盖章）</w:t>
      </w:r>
      <w:r>
        <w:rPr>
          <w:rFonts w:hint="eastAsia" w:asciiTheme="minorEastAsia" w:hAnsiTheme="minorEastAsia" w:eastAsiaTheme="minorEastAsia" w:cstheme="minorEastAsia"/>
          <w:kern w:val="0"/>
          <w:sz w:val="24"/>
          <w:szCs w:val="24"/>
          <w:u w:val="single" w:color="000000"/>
        </w:rPr>
        <w:t>                         </w:t>
      </w:r>
    </w:p>
    <w:p>
      <w:pPr>
        <w:pStyle w:val="20"/>
        <w:spacing w:line="360" w:lineRule="auto"/>
        <w:ind w:firstLine="0" w:firstLineChars="0"/>
        <w:textAlignment w:val="baseline"/>
        <w:rPr>
          <w:rStyle w:val="25"/>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kern w:val="0"/>
          <w:sz w:val="24"/>
          <w:szCs w:val="24"/>
        </w:rPr>
        <w:t>供应商代表签字或盖章：</w:t>
      </w:r>
      <w:r>
        <w:rPr>
          <w:rFonts w:hint="eastAsia" w:asciiTheme="minorEastAsia" w:hAnsiTheme="minorEastAsia" w:eastAsiaTheme="minorEastAsia" w:cstheme="minorEastAsia"/>
          <w:kern w:val="0"/>
          <w:sz w:val="24"/>
          <w:szCs w:val="24"/>
          <w:u w:val="single" w:color="000000"/>
        </w:rPr>
        <w:t>            </w:t>
      </w:r>
    </w:p>
    <w:p>
      <w:pPr>
        <w:widowControl/>
        <w:spacing w:before="75" w:after="75" w:line="435" w:lineRule="atLeas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日  期：     年    月    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spacing w:line="360" w:lineRule="auto"/>
        <w:jc w:val="center"/>
        <w:outlineLvl w:val="1"/>
        <w:rPr>
          <w:rFonts w:asciiTheme="minorEastAsia" w:hAnsiTheme="minorEastAsia" w:eastAsiaTheme="minorEastAsia" w:cstheme="minorEastAsia"/>
          <w:b/>
          <w:sz w:val="36"/>
        </w:rPr>
      </w:pPr>
      <w:r>
        <w:rPr>
          <w:rFonts w:hint="eastAsia" w:asciiTheme="minorEastAsia" w:hAnsiTheme="minorEastAsia" w:eastAsiaTheme="minorEastAsia" w:cstheme="minorEastAsia"/>
          <w:b/>
          <w:sz w:val="36"/>
        </w:rPr>
        <w:t>招标服务费承诺书</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致：连城县国有资产产权交易服务有限公司</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我们在贵公司组织的项目招标中投标（项目编号：），如获成交，我们保证按采购文件的规定，以电汇、转账或经贵公司认可的其他付款方式，向贵公司缴交招标服务费。</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我方如违反上述承诺，所提交的上述项目的投标保证金将不予退还我方，我方对此无异议。</w:t>
      </w: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谈判供应商名称:（全称并加盖公章）</w:t>
      </w: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谈判供应商代表签字或盖章：</w:t>
      </w:r>
    </w:p>
    <w:p>
      <w:pPr>
        <w:ind w:firstLine="480" w:firstLineChars="200"/>
        <w:rPr>
          <w:rFonts w:asciiTheme="minorEastAsia" w:hAnsiTheme="minorEastAsia" w:eastAsiaTheme="minorEastAsia" w:cstheme="minorEastAsia"/>
          <w:sz w:val="24"/>
        </w:rPr>
      </w:pP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kern w:val="0"/>
          <w:sz w:val="24"/>
        </w:rPr>
        <w:t>     年    月    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86"/>
    <w:family w:val="auto"/>
    <w:pitch w:val="default"/>
    <w:sig w:usb0="00000000" w:usb1="00000000" w:usb2="00000010" w:usb3="00000000" w:csb0="0004009F" w:csb1="00000000"/>
  </w:font>
  <w:font w:name="monospace">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uto"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25</w:t>
    </w:r>
    <w:r>
      <w:rPr>
        <w:rStyle w:val="26"/>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88" name="文本框 1025"/>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pPr>
                            <w:pStyle w:val="14"/>
                            <w:jc w:val="center"/>
                          </w:pPr>
                          <w:r>
                            <w:rPr>
                              <w:b/>
                              <w:bCs/>
                            </w:rPr>
                            <w:fldChar w:fldCharType="begin"/>
                          </w:r>
                          <w:r>
                            <w:rPr>
                              <w:b/>
                              <w:bCs/>
                            </w:rPr>
                            <w:instrText xml:space="preserve">PAGE</w:instrText>
                          </w:r>
                          <w:r>
                            <w:rPr>
                              <w:b/>
                              <w:bCs/>
                            </w:rPr>
                            <w:fldChar w:fldCharType="separate"/>
                          </w:r>
                          <w:r>
                            <w:rPr>
                              <w:b/>
                              <w:bCs/>
                            </w:rPr>
                            <w:t>53</w:t>
                          </w:r>
                          <w:r>
                            <w:rPr>
                              <w:b/>
                              <w:bCs/>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UldDlzwAAAAMBAAAPAAAAAAAAAAEAIAAAACIAAABk&#10;cnMvZG93bnJldi54bWxQSwECFAAUAAAACACHTuJAIwdi8dYBAACpAwAADgAAAAAAAAABACAAAAAe&#10;AQAAZHJzL2Uyb0RvYy54bWxQSwUGAAAAAAYABgBZAQAAZgUAAAAA&#10;">
              <v:fill on="f" focussize="0,0"/>
              <v:stroke on="f"/>
              <v:imagedata o:title=""/>
              <o:lock v:ext="edit" aspectratio="f"/>
              <v:textbox inset="0mm,0mm,0mm,0mm" style="mso-fit-shape-to-text:t;">
                <w:txbxContent>
                  <w:p>
                    <w:pPr>
                      <w:pStyle w:val="14"/>
                      <w:jc w:val="center"/>
                    </w:pPr>
                    <w:r>
                      <w:rPr>
                        <w:b/>
                        <w:bCs/>
                      </w:rPr>
                      <w:fldChar w:fldCharType="begin"/>
                    </w:r>
                    <w:r>
                      <w:rPr>
                        <w:b/>
                        <w:bCs/>
                      </w:rPr>
                      <w:instrText xml:space="preserve">PAGE</w:instrText>
                    </w:r>
                    <w:r>
                      <w:rPr>
                        <w:b/>
                        <w:bCs/>
                      </w:rPr>
                      <w:fldChar w:fldCharType="separate"/>
                    </w:r>
                    <w:r>
                      <w:rPr>
                        <w:b/>
                        <w:bCs/>
                      </w:rPr>
                      <w:t>53</w:t>
                    </w:r>
                    <w:r>
                      <w:rPr>
                        <w:b/>
                        <w:bCs/>
                      </w:rPr>
                      <w:fldChar w:fldCharType="end"/>
                    </w: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hd w:val="pct5" w:color="auto" w:fill="auto"/>
      <w:jc w:val="both"/>
    </w:pPr>
    <w:r>
      <w:rPr>
        <w:rFonts w:hint="eastAsia" w:eastAsia="仿宋_GB2312" w:cs="仿宋_GB2312"/>
      </w:rPr>
      <w:t>政府采购采购文件</w:t>
    </w:r>
    <w:r>
      <w:rPr>
        <w:rFonts w:ascii="仿宋_GB2312" w:eastAsia="仿宋_GB2312" w:cs="仿宋_GB2312"/>
      </w:rPr>
      <w:t>2007</w:t>
    </w:r>
    <w:r>
      <w:rPr>
        <w:rFonts w:hint="eastAsia" w:ascii="仿宋_GB2312" w:eastAsia="仿宋_GB2312" w:cs="仿宋_GB2312"/>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E96C3"/>
    <w:multiLevelType w:val="singleLevel"/>
    <w:tmpl w:val="89EE96C3"/>
    <w:lvl w:ilvl="0" w:tentative="0">
      <w:start w:val="1"/>
      <w:numFmt w:val="decimal"/>
      <w:suff w:val="nothing"/>
      <w:lvlText w:val="%1、"/>
      <w:lvlJc w:val="left"/>
    </w:lvl>
  </w:abstractNum>
  <w:abstractNum w:abstractNumId="1">
    <w:nsid w:val="915AF4F7"/>
    <w:multiLevelType w:val="singleLevel"/>
    <w:tmpl w:val="915AF4F7"/>
    <w:lvl w:ilvl="0" w:tentative="0">
      <w:start w:val="1"/>
      <w:numFmt w:val="decimal"/>
      <w:lvlText w:val="(%1)"/>
      <w:lvlJc w:val="left"/>
      <w:pPr>
        <w:ind w:left="425" w:hanging="425"/>
      </w:pPr>
      <w:rPr>
        <w:rFonts w:hint="default"/>
      </w:rPr>
    </w:lvl>
  </w:abstractNum>
  <w:abstractNum w:abstractNumId="2">
    <w:nsid w:val="A3BAFFD0"/>
    <w:multiLevelType w:val="singleLevel"/>
    <w:tmpl w:val="A3BAFFD0"/>
    <w:lvl w:ilvl="0" w:tentative="0">
      <w:start w:val="1"/>
      <w:numFmt w:val="decimal"/>
      <w:lvlText w:val="(%1)"/>
      <w:lvlJc w:val="left"/>
      <w:pPr>
        <w:ind w:left="425" w:hanging="425"/>
      </w:pPr>
      <w:rPr>
        <w:rFonts w:hint="default"/>
      </w:rPr>
    </w:lvl>
  </w:abstractNum>
  <w:abstractNum w:abstractNumId="3">
    <w:nsid w:val="BC56365D"/>
    <w:multiLevelType w:val="singleLevel"/>
    <w:tmpl w:val="BC56365D"/>
    <w:lvl w:ilvl="0" w:tentative="0">
      <w:start w:val="1"/>
      <w:numFmt w:val="decimal"/>
      <w:lvlText w:val="(%1)"/>
      <w:lvlJc w:val="left"/>
      <w:pPr>
        <w:ind w:left="425" w:hanging="425"/>
      </w:pPr>
      <w:rPr>
        <w:rFonts w:hint="default"/>
      </w:rPr>
    </w:lvl>
  </w:abstractNum>
  <w:abstractNum w:abstractNumId="4">
    <w:nsid w:val="C45A8174"/>
    <w:multiLevelType w:val="singleLevel"/>
    <w:tmpl w:val="C45A8174"/>
    <w:lvl w:ilvl="0" w:tentative="0">
      <w:start w:val="1"/>
      <w:numFmt w:val="chineseCounting"/>
      <w:suff w:val="nothing"/>
      <w:lvlText w:val="%1、"/>
      <w:lvlJc w:val="left"/>
      <w:rPr>
        <w:rFonts w:hint="eastAsia" w:cs="Times New Roman"/>
      </w:rPr>
    </w:lvl>
  </w:abstractNum>
  <w:abstractNum w:abstractNumId="5">
    <w:nsid w:val="D869F3F9"/>
    <w:multiLevelType w:val="singleLevel"/>
    <w:tmpl w:val="D869F3F9"/>
    <w:lvl w:ilvl="0" w:tentative="0">
      <w:start w:val="1"/>
      <w:numFmt w:val="decimal"/>
      <w:suff w:val="nothing"/>
      <w:lvlText w:val="%1、"/>
      <w:lvlJc w:val="left"/>
      <w:rPr>
        <w:rFonts w:cs="Times New Roman"/>
      </w:rPr>
    </w:lvl>
  </w:abstractNum>
  <w:abstractNum w:abstractNumId="6">
    <w:nsid w:val="EA67B65C"/>
    <w:multiLevelType w:val="singleLevel"/>
    <w:tmpl w:val="EA67B65C"/>
    <w:lvl w:ilvl="0" w:tentative="0">
      <w:start w:val="1"/>
      <w:numFmt w:val="decimalEnclosedCircleChinese"/>
      <w:suff w:val="nothing"/>
      <w:lvlText w:val="%1　"/>
      <w:lvlJc w:val="left"/>
      <w:pPr>
        <w:ind w:left="0" w:firstLine="400"/>
      </w:pPr>
      <w:rPr>
        <w:rFonts w:hint="eastAsia"/>
      </w:rPr>
    </w:lvl>
  </w:abstractNum>
  <w:abstractNum w:abstractNumId="7">
    <w:nsid w:val="5E87D51D"/>
    <w:multiLevelType w:val="singleLevel"/>
    <w:tmpl w:val="5E87D51D"/>
    <w:lvl w:ilvl="0" w:tentative="0">
      <w:start w:val="1"/>
      <w:numFmt w:val="decimal"/>
      <w:suff w:val="nothing"/>
      <w:lvlText w:val="（%1）"/>
      <w:lvlJc w:val="left"/>
    </w:lvl>
  </w:abstractNum>
  <w:abstractNum w:abstractNumId="8">
    <w:nsid w:val="6A780F12"/>
    <w:multiLevelType w:val="singleLevel"/>
    <w:tmpl w:val="6A780F12"/>
    <w:lvl w:ilvl="0" w:tentative="0">
      <w:start w:val="1"/>
      <w:numFmt w:val="decimal"/>
      <w:lvlText w:val="(%1)"/>
      <w:lvlJc w:val="left"/>
      <w:pPr>
        <w:ind w:left="425" w:hanging="425"/>
      </w:pPr>
      <w:rPr>
        <w:rFonts w:hint="default"/>
      </w:rPr>
    </w:lvl>
  </w:abstractNum>
  <w:abstractNum w:abstractNumId="9">
    <w:nsid w:val="7451B935"/>
    <w:multiLevelType w:val="singleLevel"/>
    <w:tmpl w:val="7451B935"/>
    <w:lvl w:ilvl="0" w:tentative="0">
      <w:start w:val="1"/>
      <w:numFmt w:val="decimal"/>
      <w:lvlText w:val="%1."/>
      <w:lvlJc w:val="left"/>
      <w:pPr>
        <w:tabs>
          <w:tab w:val="left" w:pos="312"/>
        </w:tabs>
      </w:pPr>
    </w:lvl>
  </w:abstractNum>
  <w:abstractNum w:abstractNumId="10">
    <w:nsid w:val="75C25F28"/>
    <w:multiLevelType w:val="singleLevel"/>
    <w:tmpl w:val="75C25F28"/>
    <w:lvl w:ilvl="0" w:tentative="0">
      <w:start w:val="1"/>
      <w:numFmt w:val="decimal"/>
      <w:lvlText w:val="(%1)"/>
      <w:lvlJc w:val="left"/>
      <w:pPr>
        <w:ind w:left="425" w:hanging="425"/>
      </w:pPr>
      <w:rPr>
        <w:rFonts w:hint="default"/>
      </w:rPr>
    </w:lvl>
  </w:abstractNum>
  <w:num w:numId="1">
    <w:abstractNumId w:val="5"/>
  </w:num>
  <w:num w:numId="2">
    <w:abstractNumId w:val="0"/>
  </w:num>
  <w:num w:numId="3">
    <w:abstractNumId w:val="7"/>
  </w:num>
  <w:num w:numId="4">
    <w:abstractNumId w:val="9"/>
  </w:num>
  <w:num w:numId="5">
    <w:abstractNumId w:val="8"/>
  </w:num>
  <w:num w:numId="6">
    <w:abstractNumId w:val="2"/>
  </w:num>
  <w:num w:numId="7">
    <w:abstractNumId w:val="3"/>
  </w:num>
  <w:num w:numId="8">
    <w:abstractNumId w:val="6"/>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dit="trackedChanges" w:enforcement="1" w:cryptProviderType="rsaAES" w:cryptAlgorithmClass="hash" w:cryptAlgorithmType="typeAny" w:cryptAlgorithmSid="14" w:cryptSpinCount="100000" w:hash="vWUsh3yuUlDshWlySvCKdtbkWiI0saae3lz/uUNXRGNNhqdbRlzOCxt2EXGQEvA31NuXfM7dCNZ50P8AY+4bQQ==" w:salt="NFojnU9uzP+cFbh4P8Sjt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78A0005C"/>
    <w:rsid w:val="004D12D4"/>
    <w:rsid w:val="00A025B0"/>
    <w:rsid w:val="1AD96481"/>
    <w:rsid w:val="1B6C3995"/>
    <w:rsid w:val="1CE10BAF"/>
    <w:rsid w:val="22661670"/>
    <w:rsid w:val="339451B1"/>
    <w:rsid w:val="357821F8"/>
    <w:rsid w:val="47EB3B9C"/>
    <w:rsid w:val="4E7B77EC"/>
    <w:rsid w:val="69917969"/>
    <w:rsid w:val="78A0005C"/>
    <w:rsid w:val="7BC26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qFormat/>
    <w:uiPriority w:val="99"/>
    <w:pPr>
      <w:keepNext/>
      <w:keepLines/>
      <w:spacing w:before="340" w:after="330" w:line="578" w:lineRule="auto"/>
      <w:outlineLvl w:val="0"/>
    </w:pPr>
    <w:rPr>
      <w:b/>
      <w:bCs/>
      <w:kern w:val="44"/>
      <w:sz w:val="44"/>
      <w:szCs w:val="44"/>
    </w:rPr>
  </w:style>
  <w:style w:type="paragraph" w:styleId="7">
    <w:name w:val="heading 2"/>
    <w:basedOn w:val="1"/>
    <w:next w:val="1"/>
    <w:qFormat/>
    <w:uiPriority w:val="99"/>
    <w:pPr>
      <w:keepNext/>
      <w:spacing w:line="400" w:lineRule="exact"/>
      <w:ind w:left="870" w:hanging="360"/>
      <w:outlineLvl w:val="1"/>
    </w:pPr>
    <w:rPr>
      <w:rFonts w:ascii="宋体" w:cs="宋体"/>
      <w:b/>
      <w:bCs/>
    </w:rPr>
  </w:style>
  <w:style w:type="paragraph" w:styleId="8">
    <w:name w:val="heading 3"/>
    <w:basedOn w:val="1"/>
    <w:next w:val="1"/>
    <w:qFormat/>
    <w:uiPriority w:val="99"/>
    <w:pPr>
      <w:keepNext/>
      <w:keepLines/>
      <w:spacing w:line="413" w:lineRule="auto"/>
      <w:outlineLvl w:val="2"/>
    </w:pPr>
    <w:rPr>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6"/>
    <w:qFormat/>
    <w:uiPriority w:val="99"/>
    <w:pPr>
      <w:spacing w:line="320" w:lineRule="atLeast"/>
    </w:pPr>
    <w:rPr>
      <w:sz w:val="24"/>
      <w:szCs w:val="24"/>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9">
    <w:name w:val="Normal Indent"/>
    <w:basedOn w:val="1"/>
    <w:next w:val="10"/>
    <w:qFormat/>
    <w:uiPriority w:val="0"/>
    <w:pPr>
      <w:ind w:firstLine="420" w:firstLineChars="200"/>
    </w:pPr>
    <w:rPr>
      <w:rFonts w:ascii="Calibri" w:hAnsi="Calibri"/>
      <w:szCs w:val="24"/>
    </w:rPr>
  </w:style>
  <w:style w:type="paragraph" w:styleId="10">
    <w:name w:val="header"/>
    <w:basedOn w:val="1"/>
    <w:next w:val="9"/>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w:basedOn w:val="1"/>
    <w:next w:val="12"/>
    <w:qFormat/>
    <w:uiPriority w:val="99"/>
    <w:pPr>
      <w:ind w:firstLine="200" w:firstLineChars="200"/>
    </w:pPr>
    <w:rPr>
      <w:rFonts w:eastAsia="华文中宋"/>
      <w:sz w:val="28"/>
      <w:szCs w:val="28"/>
    </w:rPr>
  </w:style>
  <w:style w:type="paragraph" w:styleId="12">
    <w:name w:val="toc 6"/>
    <w:basedOn w:val="1"/>
    <w:next w:val="1"/>
    <w:qFormat/>
    <w:uiPriority w:val="0"/>
    <w:pPr>
      <w:ind w:left="1050"/>
      <w:jc w:val="left"/>
    </w:pPr>
    <w:rPr>
      <w:rFonts w:ascii="Calibri" w:hAnsi="Calibri"/>
      <w:sz w:val="18"/>
    </w:rPr>
  </w:style>
  <w:style w:type="paragraph" w:styleId="13">
    <w:name w:val="Plain Text"/>
    <w:basedOn w:val="1"/>
    <w:next w:val="1"/>
    <w:qFormat/>
    <w:uiPriority w:val="99"/>
    <w:rPr>
      <w:rFonts w:ascii="宋体" w:cs="宋体"/>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semiHidden/>
    <w:qFormat/>
    <w:uiPriority w:val="99"/>
    <w:pPr>
      <w:spacing w:before="120" w:after="120"/>
      <w:jc w:val="left"/>
    </w:pPr>
    <w:rPr>
      <w:rFonts w:ascii="Calibri" w:hAnsi="Calibri" w:cs="Calibri"/>
      <w:b/>
      <w:bCs/>
      <w:caps/>
      <w:sz w:val="20"/>
      <w:szCs w:val="20"/>
    </w:rPr>
  </w:style>
  <w:style w:type="paragraph" w:styleId="16">
    <w:name w:val="toc 2"/>
    <w:basedOn w:val="1"/>
    <w:next w:val="1"/>
    <w:semiHidden/>
    <w:qFormat/>
    <w:uiPriority w:val="99"/>
    <w:pPr>
      <w:ind w:left="210"/>
      <w:jc w:val="left"/>
    </w:pPr>
    <w:rPr>
      <w:rFonts w:ascii="Calibri" w:hAnsi="Calibri" w:cs="Calibri"/>
      <w:smallCaps/>
      <w:sz w:val="20"/>
      <w:szCs w:val="20"/>
    </w:rPr>
  </w:style>
  <w:style w:type="paragraph" w:styleId="17">
    <w:name w:val="Normal (Web)"/>
    <w:basedOn w:val="1"/>
    <w:next w:val="18"/>
    <w:qFormat/>
    <w:uiPriority w:val="99"/>
    <w:pPr>
      <w:widowControl/>
      <w:spacing w:before="100" w:beforeAutospacing="1" w:after="100" w:afterAutospacing="1"/>
      <w:jc w:val="left"/>
    </w:pPr>
    <w:rPr>
      <w:rFonts w:ascii="宋体" w:cs="宋体"/>
      <w:kern w:val="0"/>
      <w:sz w:val="24"/>
      <w:szCs w:val="24"/>
    </w:rPr>
  </w:style>
  <w:style w:type="paragraph" w:customStyle="1" w:styleId="18">
    <w:name w:val="样式 标题 3 + (中文) 黑体 小四 非加粗 段前: 7.8 磅 段后: 0 磅 行距: 固定值 20 磅"/>
    <w:basedOn w:val="8"/>
    <w:qFormat/>
    <w:uiPriority w:val="99"/>
    <w:pPr>
      <w:spacing w:line="400" w:lineRule="exact"/>
    </w:pPr>
    <w:rPr>
      <w:rFonts w:eastAsia="黑体"/>
    </w:rPr>
  </w:style>
  <w:style w:type="paragraph" w:styleId="19">
    <w:name w:val="Body Text First Indent"/>
    <w:basedOn w:val="2"/>
    <w:next w:val="20"/>
    <w:qFormat/>
    <w:uiPriority w:val="0"/>
    <w:pPr>
      <w:spacing w:after="120"/>
      <w:ind w:firstLine="420"/>
    </w:pPr>
    <w:rPr>
      <w:sz w:val="32"/>
    </w:rPr>
  </w:style>
  <w:style w:type="paragraph" w:styleId="20">
    <w:name w:val="Body Text First Indent 2"/>
    <w:basedOn w:val="11"/>
    <w:qFormat/>
    <w:uiPriority w:val="99"/>
    <w:pPr>
      <w:ind w:firstLine="42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5"/>
    <w:qFormat/>
    <w:uiPriority w:val="99"/>
    <w:rPr>
      <w:rFonts w:ascii="Times New Roman" w:hAnsi="Times New Roman" w:eastAsia="宋体" w:cs="Times New Roman"/>
      <w:kern w:val="2"/>
      <w:sz w:val="24"/>
      <w:lang w:val="en-US" w:eastAsia="zh-CN"/>
    </w:rPr>
  </w:style>
  <w:style w:type="character" w:customStyle="1" w:styleId="25">
    <w:name w:val="NormalCharacter"/>
    <w:semiHidden/>
    <w:qFormat/>
    <w:uiPriority w:val="99"/>
    <w:rPr>
      <w:rFonts w:ascii="Times New Roman" w:hAnsi="Times New Roman" w:eastAsia="宋体"/>
      <w:kern w:val="2"/>
      <w:sz w:val="24"/>
      <w:lang w:val="en-US" w:eastAsia="zh-CN"/>
    </w:rPr>
  </w:style>
  <w:style w:type="character" w:styleId="26">
    <w:name w:val="page number"/>
    <w:basedOn w:val="23"/>
    <w:qFormat/>
    <w:uiPriority w:val="99"/>
    <w:rPr>
      <w:rFonts w:cs="Times New Roman"/>
    </w:rPr>
  </w:style>
  <w:style w:type="character" w:styleId="27">
    <w:name w:val="FollowedHyperlink"/>
    <w:basedOn w:val="23"/>
    <w:qFormat/>
    <w:uiPriority w:val="0"/>
    <w:rPr>
      <w:color w:val="5C5C5C"/>
      <w:u w:val="none"/>
    </w:rPr>
  </w:style>
  <w:style w:type="character" w:styleId="28">
    <w:name w:val="Emphasis"/>
    <w:basedOn w:val="23"/>
    <w:qFormat/>
    <w:uiPriority w:val="0"/>
    <w:rPr>
      <w:b/>
      <w:bCs/>
    </w:rPr>
  </w:style>
  <w:style w:type="character" w:styleId="29">
    <w:name w:val="HTML Definition"/>
    <w:basedOn w:val="23"/>
    <w:qFormat/>
    <w:uiPriority w:val="0"/>
  </w:style>
  <w:style w:type="character" w:styleId="30">
    <w:name w:val="HTML Typewriter"/>
    <w:basedOn w:val="23"/>
    <w:qFormat/>
    <w:uiPriority w:val="0"/>
    <w:rPr>
      <w:rFonts w:ascii="monospace" w:hAnsi="monospace" w:eastAsia="monospace" w:cs="monospace"/>
      <w:sz w:val="20"/>
    </w:rPr>
  </w:style>
  <w:style w:type="character" w:styleId="31">
    <w:name w:val="HTML Acronym"/>
    <w:basedOn w:val="23"/>
    <w:qFormat/>
    <w:uiPriority w:val="0"/>
  </w:style>
  <w:style w:type="character" w:styleId="32">
    <w:name w:val="HTML Variable"/>
    <w:basedOn w:val="23"/>
    <w:qFormat/>
    <w:uiPriority w:val="0"/>
  </w:style>
  <w:style w:type="character" w:styleId="33">
    <w:name w:val="Hyperlink"/>
    <w:basedOn w:val="23"/>
    <w:qFormat/>
    <w:uiPriority w:val="99"/>
    <w:rPr>
      <w:rFonts w:cs="Times New Roman"/>
      <w:color w:val="0000FF"/>
      <w:u w:val="none"/>
    </w:rPr>
  </w:style>
  <w:style w:type="character" w:styleId="34">
    <w:name w:val="HTML Code"/>
    <w:basedOn w:val="23"/>
    <w:qFormat/>
    <w:uiPriority w:val="0"/>
    <w:rPr>
      <w:rFonts w:hint="default" w:ascii="monospace" w:hAnsi="monospace" w:eastAsia="monospace" w:cs="monospace"/>
      <w:sz w:val="20"/>
    </w:rPr>
  </w:style>
  <w:style w:type="character" w:styleId="35">
    <w:name w:val="HTML Cite"/>
    <w:basedOn w:val="23"/>
    <w:qFormat/>
    <w:uiPriority w:val="0"/>
  </w:style>
  <w:style w:type="character" w:styleId="36">
    <w:name w:val="HTML Keyboard"/>
    <w:basedOn w:val="23"/>
    <w:qFormat/>
    <w:uiPriority w:val="0"/>
    <w:rPr>
      <w:rFonts w:hint="default" w:ascii="monospace" w:hAnsi="monospace" w:eastAsia="monospace" w:cs="monospace"/>
      <w:sz w:val="20"/>
    </w:rPr>
  </w:style>
  <w:style w:type="character" w:styleId="37">
    <w:name w:val="HTML Sample"/>
    <w:basedOn w:val="23"/>
    <w:qFormat/>
    <w:uiPriority w:val="0"/>
    <w:rPr>
      <w:rFonts w:hint="default" w:ascii="monospace" w:hAnsi="monospace" w:eastAsia="monospace" w:cs="monospace"/>
    </w:rPr>
  </w:style>
  <w:style w:type="paragraph" w:customStyle="1" w:styleId="38">
    <w:name w:val="样式3"/>
    <w:basedOn w:val="13"/>
    <w:qFormat/>
    <w:uiPriority w:val="99"/>
    <w:pPr>
      <w:spacing w:line="240" w:lineRule="atLeast"/>
      <w:outlineLvl w:val="0"/>
    </w:pPr>
    <w:rPr>
      <w:sz w:val="28"/>
      <w:szCs w:val="28"/>
    </w:rPr>
  </w:style>
  <w:style w:type="paragraph" w:customStyle="1" w:styleId="3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UserStyle_9"/>
    <w:basedOn w:val="1"/>
    <w:qFormat/>
    <w:uiPriority w:val="99"/>
    <w:pPr>
      <w:widowControl/>
      <w:spacing w:line="240" w:lineRule="atLeast"/>
    </w:pPr>
    <w:rPr>
      <w:rFonts w:ascii="宋体" w:hAnsi="Courier New" w:cs="宋体"/>
      <w:sz w:val="28"/>
      <w:szCs w:val="28"/>
    </w:rPr>
  </w:style>
  <w:style w:type="paragraph" w:customStyle="1" w:styleId="41">
    <w:name w:val="BodyTextIndent2"/>
    <w:basedOn w:val="1"/>
    <w:qFormat/>
    <w:uiPriority w:val="99"/>
    <w:pPr>
      <w:ind w:firstLine="570"/>
      <w:textAlignment w:val="baseline"/>
    </w:pPr>
    <w:rPr>
      <w:rFonts w:ascii="Calibri" w:hAnsi="Calibri" w:cs="Calibri"/>
      <w:sz w:val="32"/>
      <w:szCs w:val="32"/>
    </w:rPr>
  </w:style>
  <w:style w:type="character" w:customStyle="1" w:styleId="42">
    <w:name w:val="hover"/>
    <w:basedOn w:val="23"/>
    <w:qFormat/>
    <w:uiPriority w:val="0"/>
    <w:rPr>
      <w:color w:val="2590EB"/>
    </w:rPr>
  </w:style>
  <w:style w:type="character" w:customStyle="1" w:styleId="43">
    <w:name w:val="hover1"/>
    <w:basedOn w:val="23"/>
    <w:qFormat/>
    <w:uiPriority w:val="0"/>
    <w:rPr>
      <w:color w:val="2590EB"/>
    </w:rPr>
  </w:style>
  <w:style w:type="character" w:customStyle="1" w:styleId="44">
    <w:name w:val="hover2"/>
    <w:basedOn w:val="23"/>
    <w:qFormat/>
    <w:uiPriority w:val="0"/>
  </w:style>
  <w:style w:type="character" w:customStyle="1" w:styleId="45">
    <w:name w:val="hover3"/>
    <w:basedOn w:val="23"/>
    <w:qFormat/>
    <w:uiPriority w:val="0"/>
    <w:rPr>
      <w:color w:val="2590EB"/>
      <w:shd w:val="clear" w:color="auto" w:fill="E9F4FD"/>
    </w:rPr>
  </w:style>
  <w:style w:type="character" w:customStyle="1" w:styleId="46">
    <w:name w:val="正文文本 字符"/>
    <w:basedOn w:val="23"/>
    <w:link w:val="2"/>
    <w:qFormat/>
    <w:uiPriority w:val="0"/>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44988</Words>
  <Characters>10872</Characters>
  <Lines>90</Lines>
  <Paragraphs>111</Paragraphs>
  <TotalTime>9</TotalTime>
  <ScaleCrop>false</ScaleCrop>
  <LinksUpToDate>false</LinksUpToDate>
  <CharactersWithSpaces>55749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2023-09-26T01:53:00Z</dcterms:created>
  <dc:creator>土豆排骨的滋味</dc:creator>
  <cp:lastModifiedBy>土豆排骨的滋味</cp:lastModifiedBy>
  <dcterms:modified xsi:type="dcterms:W3CDTF">2023-10-12T07:57:32Z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7C3C394B9F074D678532BC8AA889062E_13</vt:lpwstr>
  </property>
</Properties>
</file>