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33300">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网络竞价须知</w:t>
      </w:r>
    </w:p>
    <w:p w14:paraId="3FD51CAD">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auto"/>
          <w:kern w:val="2"/>
          <w:sz w:val="24"/>
          <w:szCs w:val="24"/>
          <w:highlight w:val="none"/>
          <w:shd w:val="clear"/>
          <w:lang w:eastAsia="zh-CN"/>
        </w:rPr>
        <w:t>LCCQJJ20241230</w:t>
      </w:r>
      <w:r>
        <w:rPr>
          <w:rFonts w:hint="eastAsia" w:asciiTheme="minorEastAsia" w:hAnsiTheme="minorEastAsia" w:eastAsiaTheme="minorEastAsia" w:cstheme="minorEastAsia"/>
          <w:b w:val="0"/>
          <w:bCs w:val="0"/>
          <w:color w:val="auto"/>
          <w:kern w:val="2"/>
          <w:sz w:val="24"/>
          <w:szCs w:val="24"/>
          <w:highlight w:val="none"/>
          <w:shd w:val="clear"/>
        </w:rPr>
        <w:t>）</w:t>
      </w:r>
    </w:p>
    <w:p w14:paraId="5CD8168E">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5F6DE53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一、公开竞价、报名时间、地点</w:t>
      </w:r>
    </w:p>
    <w:p w14:paraId="24F326D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2024年</w:t>
      </w:r>
      <w:r>
        <w:rPr>
          <w:rFonts w:hint="eastAsia" w:asciiTheme="minorEastAsia" w:hAnsiTheme="minorEastAsia" w:eastAsiaTheme="minorEastAsia" w:cstheme="minorEastAsia"/>
          <w:color w:val="auto"/>
          <w:kern w:val="2"/>
          <w:sz w:val="24"/>
          <w:szCs w:val="24"/>
          <w:highlight w:val="none"/>
          <w:shd w:val="clear"/>
          <w:lang w:val="en-US" w:eastAsia="zh-CN"/>
        </w:rPr>
        <w:t>12月30日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150A8E99">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617DD1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12月25日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12月29日</w:t>
      </w:r>
      <w:r>
        <w:rPr>
          <w:rFonts w:hint="eastAsia" w:asciiTheme="minorEastAsia" w:hAnsiTheme="minorEastAsia" w:eastAsiaTheme="minorEastAsia" w:cstheme="minorEastAsia"/>
          <w:color w:val="auto"/>
          <w:kern w:val="2"/>
          <w:sz w:val="24"/>
          <w:szCs w:val="24"/>
          <w:highlight w:val="none"/>
          <w:shd w:val="clear"/>
        </w:rPr>
        <w:t>17时(节假日除外)</w:t>
      </w:r>
    </w:p>
    <w:p w14:paraId="4FAF59D7">
      <w:pPr>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1B5B720B">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B551620">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71AFC964">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u w:val="none"/>
          <w:lang w:eastAsia="zh-CN"/>
        </w:rPr>
        <w:t>2025年连城连聚物业服务公司绿化养护服务采购项目（二次）</w:t>
      </w:r>
      <w:r>
        <w:rPr>
          <w:rFonts w:hint="eastAsia" w:asciiTheme="minorEastAsia" w:hAnsiTheme="minorEastAsia" w:eastAsiaTheme="minorEastAsia" w:cstheme="minorEastAsia"/>
          <w:color w:val="auto"/>
          <w:sz w:val="24"/>
          <w:szCs w:val="24"/>
          <w:highlight w:val="none"/>
        </w:rPr>
        <w:t>。</w:t>
      </w:r>
    </w:p>
    <w:p w14:paraId="0DAA3AA9">
      <w:pPr>
        <w:widowControl w:val="0"/>
        <w:overflowPunct w:val="0"/>
        <w:autoSpaceDE w:val="0"/>
        <w:autoSpaceDN w:val="0"/>
        <w:adjustRightInd w:val="0"/>
        <w:spacing w:line="360" w:lineRule="auto"/>
        <w:ind w:firstLine="482" w:firstLineChars="200"/>
        <w:jc w:val="both"/>
        <w:textAlignment w:val="baseline"/>
        <w:rPr>
          <w:rFonts w:hint="eastAsia" w:asciiTheme="minorEastAsia" w:hAnsiTheme="minorEastAsia" w:eastAsiaTheme="minorEastAsia" w:cstheme="minorEastAsia"/>
          <w:b/>
          <w:bCs/>
          <w:color w:val="auto"/>
          <w:kern w:val="28"/>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w:t>
      </w:r>
      <w:r>
        <w:rPr>
          <w:rFonts w:hint="eastAsia" w:asciiTheme="minorEastAsia" w:hAnsiTheme="minorEastAsia" w:eastAsiaTheme="minorEastAsia" w:cstheme="minorEastAsia"/>
          <w:b/>
          <w:bCs/>
          <w:color w:val="auto"/>
          <w:kern w:val="28"/>
          <w:sz w:val="24"/>
          <w:szCs w:val="24"/>
          <w:highlight w:val="none"/>
          <w:lang w:val="en-US" w:eastAsia="zh-CN" w:bidi="ar-SA"/>
        </w:rPr>
        <w:t>服务范围：</w:t>
      </w:r>
    </w:p>
    <w:tbl>
      <w:tblPr>
        <w:tblStyle w:val="9"/>
        <w:tblW w:w="955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65"/>
        <w:gridCol w:w="1710"/>
        <w:gridCol w:w="5175"/>
      </w:tblGrid>
      <w:tr w14:paraId="0862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top"/>
          </w:tcPr>
          <w:p w14:paraId="39DCDB87">
            <w:pPr>
              <w:pageBreakBefore w:val="0"/>
              <w:widowControl w:val="0"/>
              <w:numPr>
                <w:ilvl w:val="0"/>
                <w:numId w:val="0"/>
              </w:numPr>
              <w:kinsoku/>
              <w:wordWrap/>
              <w:overflowPunct/>
              <w:topLinePunct w:val="0"/>
              <w:autoSpaceDE/>
              <w:autoSpaceDN/>
              <w:bidi w:val="0"/>
              <w:spacing w:line="440" w:lineRule="exact"/>
              <w:ind w:left="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序号</w:t>
            </w:r>
          </w:p>
        </w:tc>
        <w:tc>
          <w:tcPr>
            <w:tcW w:w="1965" w:type="dxa"/>
            <w:noWrap w:val="0"/>
            <w:vAlign w:val="top"/>
          </w:tcPr>
          <w:p w14:paraId="7BAE4102">
            <w:pPr>
              <w:pageBreakBefore w:val="0"/>
              <w:widowControl w:val="0"/>
              <w:numPr>
                <w:ilvl w:val="0"/>
                <w:numId w:val="0"/>
              </w:numPr>
              <w:kinsoku/>
              <w:wordWrap/>
              <w:overflowPunct/>
              <w:topLinePunct w:val="0"/>
              <w:autoSpaceDE/>
              <w:autoSpaceDN/>
              <w:bidi w:val="0"/>
              <w:spacing w:line="440" w:lineRule="exact"/>
              <w:ind w:left="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小区名称</w:t>
            </w:r>
          </w:p>
        </w:tc>
        <w:tc>
          <w:tcPr>
            <w:tcW w:w="1710" w:type="dxa"/>
            <w:noWrap w:val="0"/>
            <w:vAlign w:val="top"/>
          </w:tcPr>
          <w:p w14:paraId="09EDF414">
            <w:pPr>
              <w:pageBreakBefore w:val="0"/>
              <w:widowControl w:val="0"/>
              <w:numPr>
                <w:ilvl w:val="0"/>
                <w:numId w:val="0"/>
              </w:numPr>
              <w:kinsoku/>
              <w:wordWrap/>
              <w:overflowPunct/>
              <w:topLinePunct w:val="0"/>
              <w:autoSpaceDE/>
              <w:autoSpaceDN/>
              <w:bidi w:val="0"/>
              <w:spacing w:line="440" w:lineRule="exact"/>
              <w:ind w:left="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绿化面积</w:t>
            </w:r>
          </w:p>
        </w:tc>
        <w:tc>
          <w:tcPr>
            <w:tcW w:w="5175" w:type="dxa"/>
            <w:noWrap w:val="0"/>
            <w:vAlign w:val="top"/>
          </w:tcPr>
          <w:p w14:paraId="24A49F78">
            <w:pPr>
              <w:pageBreakBefore w:val="0"/>
              <w:widowControl w:val="0"/>
              <w:numPr>
                <w:ilvl w:val="0"/>
                <w:numId w:val="0"/>
              </w:numPr>
              <w:kinsoku/>
              <w:wordWrap/>
              <w:overflowPunct/>
              <w:topLinePunct w:val="0"/>
              <w:autoSpaceDE/>
              <w:autoSpaceDN/>
              <w:bidi w:val="0"/>
              <w:spacing w:line="440" w:lineRule="exact"/>
              <w:ind w:left="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地址</w:t>
            </w:r>
          </w:p>
        </w:tc>
      </w:tr>
      <w:tr w14:paraId="4E4E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679A9BD1">
            <w:pPr>
              <w:keepNext w:val="0"/>
              <w:keepLines w:val="0"/>
              <w:pageBreakBefore w:val="0"/>
              <w:widowControl w:val="0"/>
              <w:numPr>
                <w:ilvl w:val="0"/>
                <w:numId w:val="0"/>
              </w:numPr>
              <w:tabs>
                <w:tab w:val="center" w:pos="327"/>
                <w:tab w:val="left" w:pos="478"/>
              </w:tabs>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w:t>
            </w:r>
          </w:p>
        </w:tc>
        <w:tc>
          <w:tcPr>
            <w:tcW w:w="1965" w:type="dxa"/>
            <w:noWrap w:val="0"/>
            <w:vAlign w:val="center"/>
          </w:tcPr>
          <w:p w14:paraId="7D51B1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西康住宅小区</w:t>
            </w:r>
          </w:p>
        </w:tc>
        <w:tc>
          <w:tcPr>
            <w:tcW w:w="1710" w:type="dxa"/>
            <w:noWrap w:val="0"/>
            <w:vAlign w:val="center"/>
          </w:tcPr>
          <w:p w14:paraId="42C9E1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5872.36㎡</w:t>
            </w:r>
          </w:p>
        </w:tc>
        <w:tc>
          <w:tcPr>
            <w:tcW w:w="5175" w:type="dxa"/>
            <w:noWrap w:val="0"/>
            <w:vAlign w:val="top"/>
          </w:tcPr>
          <w:p w14:paraId="7BE30E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连城县莲峰镇西康住宅小区</w:t>
            </w:r>
          </w:p>
        </w:tc>
      </w:tr>
      <w:tr w14:paraId="3E5E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04BE77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w:t>
            </w:r>
          </w:p>
        </w:tc>
        <w:tc>
          <w:tcPr>
            <w:tcW w:w="1965" w:type="dxa"/>
            <w:noWrap w:val="0"/>
            <w:vAlign w:val="center"/>
          </w:tcPr>
          <w:p w14:paraId="1E5DF1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百花金城小区</w:t>
            </w:r>
          </w:p>
        </w:tc>
        <w:tc>
          <w:tcPr>
            <w:tcW w:w="1710" w:type="dxa"/>
            <w:noWrap w:val="0"/>
            <w:vAlign w:val="center"/>
          </w:tcPr>
          <w:p w14:paraId="7289B0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4456.25㎡</w:t>
            </w:r>
          </w:p>
        </w:tc>
        <w:tc>
          <w:tcPr>
            <w:tcW w:w="5175" w:type="dxa"/>
            <w:noWrap w:val="0"/>
            <w:vAlign w:val="top"/>
          </w:tcPr>
          <w:p w14:paraId="69263C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连城县莲峰镇百花金城小区</w:t>
            </w:r>
          </w:p>
        </w:tc>
      </w:tr>
      <w:tr w14:paraId="207A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464EDF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w:t>
            </w:r>
          </w:p>
        </w:tc>
        <w:tc>
          <w:tcPr>
            <w:tcW w:w="1965" w:type="dxa"/>
            <w:noWrap w:val="0"/>
            <w:vAlign w:val="center"/>
          </w:tcPr>
          <w:p w14:paraId="61D440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莲南小区公（廉）租房</w:t>
            </w:r>
          </w:p>
        </w:tc>
        <w:tc>
          <w:tcPr>
            <w:tcW w:w="1710" w:type="dxa"/>
            <w:noWrap w:val="0"/>
            <w:vAlign w:val="center"/>
          </w:tcPr>
          <w:p w14:paraId="36D73A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4127.14㎡</w:t>
            </w:r>
          </w:p>
        </w:tc>
        <w:tc>
          <w:tcPr>
            <w:tcW w:w="5175" w:type="dxa"/>
            <w:noWrap w:val="0"/>
            <w:vAlign w:val="top"/>
          </w:tcPr>
          <w:p w14:paraId="52ADAA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连城县莲峰镇莲中南路72号莲南小区廉租房</w:t>
            </w:r>
          </w:p>
        </w:tc>
      </w:tr>
      <w:tr w14:paraId="4269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61C28F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w:t>
            </w:r>
          </w:p>
        </w:tc>
        <w:tc>
          <w:tcPr>
            <w:tcW w:w="1965" w:type="dxa"/>
            <w:noWrap w:val="0"/>
            <w:vAlign w:val="center"/>
          </w:tcPr>
          <w:p w14:paraId="50FB85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南前花园安置小区（一期）</w:t>
            </w:r>
          </w:p>
        </w:tc>
        <w:tc>
          <w:tcPr>
            <w:tcW w:w="1710" w:type="dxa"/>
            <w:noWrap w:val="0"/>
            <w:vAlign w:val="center"/>
          </w:tcPr>
          <w:p w14:paraId="37A7FF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8163.92㎡</w:t>
            </w:r>
          </w:p>
        </w:tc>
        <w:tc>
          <w:tcPr>
            <w:tcW w:w="5175" w:type="dxa"/>
            <w:noWrap w:val="0"/>
            <w:vAlign w:val="top"/>
          </w:tcPr>
          <w:p w14:paraId="71DF74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连城县莲峰镇南前村南前花园安置小区</w:t>
            </w:r>
          </w:p>
        </w:tc>
      </w:tr>
      <w:tr w14:paraId="0F72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5F7BE268">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center"/>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5</w:t>
            </w:r>
          </w:p>
        </w:tc>
        <w:tc>
          <w:tcPr>
            <w:tcW w:w="1965" w:type="dxa"/>
            <w:noWrap w:val="0"/>
            <w:vAlign w:val="center"/>
          </w:tcPr>
          <w:p w14:paraId="6C297BC1">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鹧鸪花园</w:t>
            </w:r>
          </w:p>
        </w:tc>
        <w:tc>
          <w:tcPr>
            <w:tcW w:w="1710" w:type="dxa"/>
            <w:noWrap w:val="0"/>
            <w:vAlign w:val="center"/>
          </w:tcPr>
          <w:p w14:paraId="02B5A378">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5191.71㎡</w:t>
            </w:r>
          </w:p>
        </w:tc>
        <w:tc>
          <w:tcPr>
            <w:tcW w:w="5175" w:type="dxa"/>
            <w:noWrap w:val="0"/>
            <w:vAlign w:val="top"/>
          </w:tcPr>
          <w:p w14:paraId="6CD43E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连城县莲峰镇西台路98号鹧鸪花园</w:t>
            </w:r>
          </w:p>
        </w:tc>
      </w:tr>
      <w:tr w14:paraId="73B0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4CF783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6</w:t>
            </w:r>
          </w:p>
        </w:tc>
        <w:tc>
          <w:tcPr>
            <w:tcW w:w="1965" w:type="dxa"/>
            <w:noWrap w:val="0"/>
            <w:vAlign w:val="center"/>
          </w:tcPr>
          <w:p w14:paraId="1E4E3E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莲冠花园</w:t>
            </w:r>
          </w:p>
        </w:tc>
        <w:tc>
          <w:tcPr>
            <w:tcW w:w="1710" w:type="dxa"/>
            <w:noWrap w:val="0"/>
            <w:vAlign w:val="center"/>
          </w:tcPr>
          <w:p w14:paraId="336DEF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8988.7㎡</w:t>
            </w:r>
          </w:p>
        </w:tc>
        <w:tc>
          <w:tcPr>
            <w:tcW w:w="5175" w:type="dxa"/>
            <w:noWrap w:val="0"/>
            <w:vAlign w:val="top"/>
          </w:tcPr>
          <w:p w14:paraId="15A71B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连城县莲峰镇莲北大道3号</w:t>
            </w:r>
          </w:p>
        </w:tc>
      </w:tr>
      <w:tr w14:paraId="75E8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6186C982">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center"/>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7</w:t>
            </w:r>
          </w:p>
        </w:tc>
        <w:tc>
          <w:tcPr>
            <w:tcW w:w="1965" w:type="dxa"/>
            <w:noWrap w:val="0"/>
            <w:vAlign w:val="center"/>
          </w:tcPr>
          <w:p w14:paraId="747ADEC5">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姚坊花园</w:t>
            </w:r>
          </w:p>
        </w:tc>
        <w:tc>
          <w:tcPr>
            <w:tcW w:w="1710" w:type="dxa"/>
            <w:noWrap w:val="0"/>
            <w:vAlign w:val="center"/>
          </w:tcPr>
          <w:p w14:paraId="43BEDCFB">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5938.71㎡</w:t>
            </w:r>
          </w:p>
        </w:tc>
        <w:tc>
          <w:tcPr>
            <w:tcW w:w="5175" w:type="dxa"/>
            <w:noWrap w:val="0"/>
            <w:vAlign w:val="top"/>
          </w:tcPr>
          <w:p w14:paraId="59566F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w:t>
            </w:r>
            <w:r>
              <w:rPr>
                <w:rFonts w:hint="eastAsia" w:ascii="宋体" w:hAnsi="宋体" w:cs="宋体"/>
                <w:color w:val="auto"/>
                <w:kern w:val="2"/>
                <w:sz w:val="24"/>
                <w:szCs w:val="24"/>
                <w:highlight w:val="none"/>
                <w:vertAlign w:val="baseline"/>
                <w:lang w:val="en-US" w:eastAsia="zh-CN" w:bidi="ar-SA"/>
              </w:rPr>
              <w:t>莲峰镇</w:t>
            </w:r>
            <w:r>
              <w:rPr>
                <w:rFonts w:hint="eastAsia" w:ascii="宋体" w:hAnsi="宋体" w:eastAsia="宋体" w:cs="宋体"/>
                <w:color w:val="auto"/>
                <w:kern w:val="2"/>
                <w:sz w:val="24"/>
                <w:szCs w:val="24"/>
                <w:highlight w:val="none"/>
                <w:vertAlign w:val="baseline"/>
                <w:lang w:val="en-US" w:eastAsia="zh-CN" w:bidi="ar-SA"/>
              </w:rPr>
              <w:t>姚坊村保障性住房姚坊花园</w:t>
            </w:r>
          </w:p>
        </w:tc>
      </w:tr>
      <w:tr w14:paraId="4FF0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164E1402">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center"/>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8</w:t>
            </w:r>
          </w:p>
        </w:tc>
        <w:tc>
          <w:tcPr>
            <w:tcW w:w="1965" w:type="dxa"/>
            <w:noWrap w:val="0"/>
            <w:vAlign w:val="center"/>
          </w:tcPr>
          <w:p w14:paraId="10979285">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莲嘉首府</w:t>
            </w:r>
            <w:r>
              <w:rPr>
                <w:rFonts w:hint="eastAsia" w:ascii="宋体" w:hAnsi="宋体" w:cs="宋体"/>
                <w:b w:val="0"/>
                <w:bCs/>
                <w:color w:val="auto"/>
                <w:kern w:val="2"/>
                <w:sz w:val="24"/>
                <w:szCs w:val="24"/>
                <w:highlight w:val="none"/>
                <w:vertAlign w:val="baseline"/>
                <w:lang w:val="en-US" w:eastAsia="zh-CN" w:bidi="ar-SA"/>
              </w:rPr>
              <w:t>售楼部</w:t>
            </w:r>
          </w:p>
        </w:tc>
        <w:tc>
          <w:tcPr>
            <w:tcW w:w="1710" w:type="dxa"/>
            <w:noWrap w:val="0"/>
            <w:vAlign w:val="center"/>
          </w:tcPr>
          <w:p w14:paraId="2A8B62FD">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2602㎡</w:t>
            </w:r>
          </w:p>
        </w:tc>
        <w:tc>
          <w:tcPr>
            <w:tcW w:w="5175" w:type="dxa"/>
            <w:noWrap w:val="0"/>
            <w:vAlign w:val="top"/>
          </w:tcPr>
          <w:p w14:paraId="36A97D67">
            <w:pPr>
              <w:pageBreakBefore w:val="0"/>
              <w:widowControl w:val="0"/>
              <w:numPr>
                <w:ilvl w:val="0"/>
                <w:numId w:val="0"/>
              </w:numPr>
              <w:kinsoku/>
              <w:wordWrap/>
              <w:topLinePunct w:val="0"/>
              <w:bidi w:val="0"/>
              <w:spacing w:line="440" w:lineRule="exact"/>
              <w:ind w:left="0" w:leftChars="0" w:right="0" w:firstLine="0" w:firstLineChars="0"/>
              <w:jc w:val="both"/>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连城县莲峰镇大坪村廖屋山路33号</w:t>
            </w:r>
          </w:p>
        </w:tc>
      </w:tr>
      <w:tr w14:paraId="5EB5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0A30F110">
            <w:pPr>
              <w:pageBreakBefore w:val="0"/>
              <w:widowControl w:val="0"/>
              <w:numPr>
                <w:ilvl w:val="0"/>
                <w:numId w:val="0"/>
              </w:numPr>
              <w:kinsoku/>
              <w:wordWrap/>
              <w:overflowPunct/>
              <w:topLinePunct w:val="0"/>
              <w:autoSpaceDE/>
              <w:autoSpaceDN/>
              <w:bidi w:val="0"/>
              <w:spacing w:line="44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9</w:t>
            </w:r>
          </w:p>
        </w:tc>
        <w:tc>
          <w:tcPr>
            <w:tcW w:w="1965" w:type="dxa"/>
            <w:noWrap w:val="0"/>
            <w:vAlign w:val="center"/>
          </w:tcPr>
          <w:p w14:paraId="121F185F">
            <w:pPr>
              <w:pageBreakBefore w:val="0"/>
              <w:widowControl w:val="0"/>
              <w:numPr>
                <w:ilvl w:val="0"/>
                <w:numId w:val="0"/>
              </w:numPr>
              <w:kinsoku/>
              <w:wordWrap/>
              <w:overflowPunct/>
              <w:topLinePunct w:val="0"/>
              <w:autoSpaceDE/>
              <w:autoSpaceDN/>
              <w:bidi w:val="0"/>
              <w:spacing w:line="440" w:lineRule="exact"/>
              <w:ind w:left="0" w:leftChars="0" w:right="0" w:rightChars="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莲发大楼</w:t>
            </w:r>
          </w:p>
        </w:tc>
        <w:tc>
          <w:tcPr>
            <w:tcW w:w="1710" w:type="dxa"/>
            <w:noWrap w:val="0"/>
            <w:vAlign w:val="center"/>
          </w:tcPr>
          <w:p w14:paraId="368170C8">
            <w:pPr>
              <w:pageBreakBefore w:val="0"/>
              <w:widowControl w:val="0"/>
              <w:numPr>
                <w:ilvl w:val="0"/>
                <w:numId w:val="0"/>
              </w:numPr>
              <w:kinsoku/>
              <w:wordWrap/>
              <w:overflowPunct/>
              <w:topLinePunct w:val="0"/>
              <w:autoSpaceDE/>
              <w:autoSpaceDN/>
              <w:bidi w:val="0"/>
              <w:spacing w:line="440" w:lineRule="exact"/>
              <w:ind w:left="0" w:leftChars="0" w:right="0" w:rightChars="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1538.02㎡</w:t>
            </w:r>
          </w:p>
        </w:tc>
        <w:tc>
          <w:tcPr>
            <w:tcW w:w="5175" w:type="dxa"/>
            <w:noWrap w:val="0"/>
            <w:vAlign w:val="top"/>
          </w:tcPr>
          <w:p w14:paraId="00CC0758">
            <w:pPr>
              <w:pageBreakBefore w:val="0"/>
              <w:widowControl w:val="0"/>
              <w:numPr>
                <w:ilvl w:val="0"/>
                <w:numId w:val="0"/>
              </w:numPr>
              <w:kinsoku/>
              <w:wordWrap/>
              <w:topLinePunct w:val="0"/>
              <w:bidi w:val="0"/>
              <w:spacing w:line="440" w:lineRule="exact"/>
              <w:ind w:left="0" w:leftChars="0" w:right="0" w:rightChars="0" w:firstLine="0" w:firstLineChars="0"/>
              <w:jc w:val="both"/>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连城县莲峰镇西环北路218号</w:t>
            </w:r>
          </w:p>
        </w:tc>
      </w:tr>
      <w:tr w14:paraId="44AE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7E78CC3A">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合计</w:t>
            </w:r>
          </w:p>
        </w:tc>
        <w:tc>
          <w:tcPr>
            <w:tcW w:w="1965" w:type="dxa"/>
            <w:noWrap w:val="0"/>
            <w:vAlign w:val="center"/>
          </w:tcPr>
          <w:p w14:paraId="37BE2D5F">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p>
        </w:tc>
        <w:tc>
          <w:tcPr>
            <w:tcW w:w="1710" w:type="dxa"/>
            <w:noWrap w:val="0"/>
            <w:vAlign w:val="center"/>
          </w:tcPr>
          <w:p w14:paraId="3C6B517E">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cs="宋体"/>
                <w:b w:val="0"/>
                <w:bCs/>
                <w:color w:val="auto"/>
                <w:kern w:val="2"/>
                <w:sz w:val="24"/>
                <w:szCs w:val="24"/>
                <w:highlight w:val="none"/>
                <w:vertAlign w:val="baseline"/>
                <w:lang w:val="en-US" w:eastAsia="zh-CN" w:bidi="ar-SA"/>
              </w:rPr>
              <w:t>46878.81</w:t>
            </w:r>
            <w:r>
              <w:rPr>
                <w:rFonts w:hint="eastAsia" w:ascii="宋体" w:hAnsi="宋体" w:eastAsia="宋体" w:cs="宋体"/>
                <w:b w:val="0"/>
                <w:bCs/>
                <w:color w:val="auto"/>
                <w:kern w:val="2"/>
                <w:sz w:val="24"/>
                <w:szCs w:val="24"/>
                <w:highlight w:val="none"/>
                <w:vertAlign w:val="baseline"/>
                <w:lang w:val="en-US" w:eastAsia="zh-CN" w:bidi="ar-SA"/>
              </w:rPr>
              <w:t>㎡</w:t>
            </w:r>
          </w:p>
        </w:tc>
        <w:tc>
          <w:tcPr>
            <w:tcW w:w="5175" w:type="dxa"/>
            <w:noWrap w:val="0"/>
            <w:vAlign w:val="top"/>
          </w:tcPr>
          <w:p w14:paraId="66ECA4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p>
        </w:tc>
      </w:tr>
    </w:tbl>
    <w:p w14:paraId="083C5F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300" w:firstLine="482" w:firstLineChars="200"/>
        <w:jc w:val="both"/>
        <w:rPr>
          <w:rFonts w:hint="eastAsia" w:asciiTheme="minorEastAsia" w:hAnsiTheme="minorEastAsia" w:eastAsiaTheme="minorEastAsia" w:cstheme="minorEastAsia"/>
          <w:b/>
          <w:bCs/>
          <w:color w:val="auto"/>
          <w:kern w:val="28"/>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w:t>
      </w:r>
      <w:r>
        <w:rPr>
          <w:rFonts w:hint="eastAsia" w:asciiTheme="minorEastAsia" w:hAnsiTheme="minorEastAsia" w:eastAsiaTheme="minorEastAsia" w:cstheme="minorEastAsia"/>
          <w:b/>
          <w:bCs/>
          <w:color w:val="auto"/>
          <w:kern w:val="28"/>
          <w:sz w:val="24"/>
          <w:szCs w:val="24"/>
          <w:highlight w:val="none"/>
          <w:lang w:val="en-US" w:eastAsia="zh-CN" w:bidi="ar-SA"/>
        </w:rPr>
        <w:t>技术和服务要求：</w:t>
      </w:r>
    </w:p>
    <w:p w14:paraId="42EBFEEE">
      <w:pPr>
        <w:pageBreakBefore w:val="0"/>
        <w:kinsoku/>
        <w:wordWrap/>
        <w:topLinePunct w:val="0"/>
        <w:bidi w:val="0"/>
        <w:spacing w:line="440" w:lineRule="exact"/>
        <w:ind w:left="0" w:right="0" w:firstLine="240" w:firstLineChars="100"/>
        <w:jc w:val="both"/>
        <w:outlineLvl w:val="9"/>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val="en-US" w:eastAsia="zh-CN"/>
        </w:rPr>
        <w:t>3.1</w:t>
      </w:r>
      <w:r>
        <w:rPr>
          <w:rFonts w:hint="eastAsia" w:ascii="宋体" w:hAnsi="宋体" w:eastAsia="宋体" w:cs="Times New Roman"/>
          <w:b w:val="0"/>
          <w:bCs/>
          <w:color w:val="auto"/>
          <w:sz w:val="24"/>
          <w:szCs w:val="24"/>
          <w:highlight w:val="none"/>
          <w:lang w:eastAsia="zh-CN"/>
        </w:rPr>
        <w:t>绿地养护作业要求：</w:t>
      </w:r>
    </w:p>
    <w:p w14:paraId="72AD36F8">
      <w:pPr>
        <w:pageBreakBefore w:val="0"/>
        <w:kinsoku/>
        <w:wordWrap/>
        <w:topLinePunct w:val="0"/>
        <w:bidi w:val="0"/>
        <w:spacing w:line="440" w:lineRule="exact"/>
        <w:ind w:left="0" w:right="0" w:firstLine="240" w:firstLineChars="100"/>
        <w:jc w:val="both"/>
        <w:outlineLvl w:val="9"/>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val="en-US" w:eastAsia="zh-CN"/>
        </w:rPr>
        <w:t>3.1.1</w:t>
      </w:r>
      <w:r>
        <w:rPr>
          <w:rFonts w:hint="eastAsia" w:ascii="宋体" w:hAnsi="宋体" w:eastAsia="宋体" w:cs="Times New Roman"/>
          <w:b w:val="0"/>
          <w:bCs/>
          <w:color w:val="auto"/>
          <w:sz w:val="24"/>
          <w:szCs w:val="24"/>
          <w:highlight w:val="none"/>
          <w:lang w:eastAsia="zh-CN"/>
        </w:rPr>
        <w:t xml:space="preserve">. 中标人应严格按照招标人提出的要求进行绿化养护工作，对招标人的树木、花卉、草皮进行定期浇水、除草、松土、施肥、整形修剪、防治病虫害等，保证苗木、草地长势良好无虫害和枯黄现象的发生。 </w:t>
      </w:r>
    </w:p>
    <w:p w14:paraId="7DBD6A84">
      <w:pPr>
        <w:pageBreakBefore w:val="0"/>
        <w:kinsoku/>
        <w:wordWrap/>
        <w:topLinePunct w:val="0"/>
        <w:bidi w:val="0"/>
        <w:spacing w:line="440" w:lineRule="exact"/>
        <w:ind w:left="0" w:right="0" w:firstLine="240" w:firstLineChars="100"/>
        <w:jc w:val="both"/>
        <w:outlineLvl w:val="9"/>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val="en-US" w:eastAsia="zh-CN"/>
        </w:rPr>
        <w:t>3.1</w:t>
      </w:r>
      <w:r>
        <w:rPr>
          <w:rFonts w:hint="eastAsia" w:ascii="宋体" w:hAnsi="宋体" w:eastAsia="宋体" w:cs="Times New Roman"/>
          <w:b w:val="0"/>
          <w:bCs/>
          <w:color w:val="auto"/>
          <w:sz w:val="24"/>
          <w:szCs w:val="24"/>
          <w:highlight w:val="none"/>
          <w:lang w:eastAsia="zh-CN"/>
        </w:rPr>
        <w:t>.</w:t>
      </w:r>
      <w:r>
        <w:rPr>
          <w:rFonts w:hint="eastAsia" w:ascii="宋体" w:hAnsi="宋体" w:eastAsia="宋体" w:cs="Times New Roman"/>
          <w:b w:val="0"/>
          <w:bCs/>
          <w:color w:val="auto"/>
          <w:sz w:val="24"/>
          <w:szCs w:val="24"/>
          <w:highlight w:val="none"/>
          <w:lang w:val="en-US" w:eastAsia="zh-CN"/>
        </w:rPr>
        <w:t>2</w:t>
      </w:r>
      <w:r>
        <w:rPr>
          <w:rFonts w:hint="eastAsia" w:ascii="宋体" w:hAnsi="宋体" w:eastAsia="宋体" w:cs="Times New Roman"/>
          <w:b w:val="0"/>
          <w:bCs/>
          <w:color w:val="auto"/>
          <w:sz w:val="24"/>
          <w:szCs w:val="24"/>
          <w:highlight w:val="none"/>
          <w:lang w:eastAsia="zh-CN"/>
        </w:rPr>
        <w:t>施肥:</w:t>
      </w:r>
    </w:p>
    <w:p w14:paraId="4B5085CD">
      <w:pPr>
        <w:pageBreakBefore w:val="0"/>
        <w:kinsoku/>
        <w:wordWrap/>
        <w:topLinePunct w:val="0"/>
        <w:bidi w:val="0"/>
        <w:spacing w:line="440" w:lineRule="exact"/>
        <w:ind w:left="0" w:right="0" w:firstLine="240" w:firstLineChars="100"/>
        <w:jc w:val="both"/>
        <w:outlineLvl w:val="9"/>
        <w:rPr>
          <w:rFonts w:hint="default"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val="en-US" w:eastAsia="zh-CN"/>
        </w:rPr>
        <w:t>①</w:t>
      </w:r>
      <w:r>
        <w:rPr>
          <w:rFonts w:hint="eastAsia" w:ascii="宋体" w:hAnsi="宋体" w:eastAsia="宋体" w:cs="Times New Roman"/>
          <w:b w:val="0"/>
          <w:bCs/>
          <w:color w:val="auto"/>
          <w:sz w:val="24"/>
          <w:szCs w:val="24"/>
          <w:highlight w:val="none"/>
          <w:lang w:eastAsia="zh-CN"/>
        </w:rPr>
        <w:t>草皮每年施复合肥3次（第1次春季返春肥；第2次夏秋季追肥；第3次冬季施肥）。</w:t>
      </w:r>
    </w:p>
    <w:p w14:paraId="1C3D731B">
      <w:pPr>
        <w:pageBreakBefore w:val="0"/>
        <w:kinsoku/>
        <w:wordWrap/>
        <w:topLinePunct w:val="0"/>
        <w:bidi w:val="0"/>
        <w:spacing w:line="440" w:lineRule="exact"/>
        <w:ind w:left="0" w:right="0" w:firstLine="240" w:firstLineChars="100"/>
        <w:jc w:val="both"/>
        <w:outlineLvl w:val="9"/>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val="en-US" w:eastAsia="zh-CN"/>
        </w:rPr>
        <w:t>②</w:t>
      </w:r>
      <w:r>
        <w:rPr>
          <w:rFonts w:hint="eastAsia" w:ascii="宋体" w:hAnsi="宋体" w:eastAsia="宋体" w:cs="Times New Roman"/>
          <w:b w:val="0"/>
          <w:bCs/>
          <w:color w:val="auto"/>
          <w:sz w:val="24"/>
          <w:szCs w:val="24"/>
          <w:highlight w:val="none"/>
          <w:lang w:eastAsia="zh-CN"/>
        </w:rPr>
        <w:t>每年松土1次，深度5--10cm，。</w:t>
      </w:r>
    </w:p>
    <w:p w14:paraId="7DFA9B0A">
      <w:pPr>
        <w:pageBreakBefore w:val="0"/>
        <w:kinsoku/>
        <w:wordWrap/>
        <w:topLinePunct w:val="0"/>
        <w:bidi w:val="0"/>
        <w:spacing w:line="440" w:lineRule="exact"/>
        <w:ind w:left="0" w:right="0" w:firstLine="240" w:firstLineChars="100"/>
        <w:jc w:val="both"/>
        <w:outlineLvl w:val="9"/>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val="en-US" w:eastAsia="zh-CN"/>
        </w:rPr>
        <w:t>③</w:t>
      </w:r>
      <w:r>
        <w:rPr>
          <w:rFonts w:hint="eastAsia" w:ascii="宋体" w:hAnsi="宋体" w:eastAsia="宋体" w:cs="Times New Roman"/>
          <w:b w:val="0"/>
          <w:bCs/>
          <w:color w:val="auto"/>
          <w:sz w:val="24"/>
          <w:szCs w:val="24"/>
          <w:highlight w:val="none"/>
          <w:lang w:eastAsia="zh-CN"/>
        </w:rPr>
        <w:t>乔灌木每年施复合肥2次。（第1次7-8月夏秋追肥；第2次冬季）。</w:t>
      </w:r>
    </w:p>
    <w:p w14:paraId="2A0671F9">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④</w:t>
      </w:r>
      <w:r>
        <w:rPr>
          <w:rFonts w:hint="eastAsia" w:ascii="宋体" w:hAnsi="宋体" w:eastAsia="宋体"/>
          <w:color w:val="auto"/>
          <w:sz w:val="24"/>
          <w:szCs w:val="24"/>
          <w:highlight w:val="none"/>
        </w:rPr>
        <w:t>每年冬季施改良土壤有机肥1次。</w:t>
      </w:r>
    </w:p>
    <w:p w14:paraId="5AEEB614">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3.1.3</w:t>
      </w:r>
      <w:r>
        <w:rPr>
          <w:rFonts w:hint="eastAsia" w:ascii="宋体" w:hAnsi="宋体" w:eastAsia="宋体"/>
          <w:color w:val="auto"/>
          <w:sz w:val="24"/>
          <w:szCs w:val="24"/>
          <w:highlight w:val="none"/>
        </w:rPr>
        <w:t>修剪:</w:t>
      </w:r>
    </w:p>
    <w:p w14:paraId="752C964D">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①</w:t>
      </w:r>
      <w:r>
        <w:rPr>
          <w:rFonts w:hint="eastAsia" w:ascii="宋体" w:hAnsi="宋体" w:eastAsia="宋体"/>
          <w:color w:val="auto"/>
          <w:sz w:val="24"/>
          <w:szCs w:val="24"/>
          <w:highlight w:val="none"/>
        </w:rPr>
        <w:t>1草皮适时修剪</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每年</w:t>
      </w:r>
      <w:r>
        <w:rPr>
          <w:rFonts w:hint="eastAsia" w:ascii="宋体" w:hAnsi="宋体" w:eastAsia="宋体"/>
          <w:color w:val="auto"/>
          <w:sz w:val="24"/>
          <w:szCs w:val="24"/>
          <w:highlight w:val="none"/>
          <w:lang w:eastAsia="zh-CN"/>
        </w:rPr>
        <w:t>至少</w:t>
      </w:r>
      <w:r>
        <w:rPr>
          <w:rFonts w:hint="eastAsia" w:ascii="宋体" w:hAnsi="宋体" w:eastAsia="宋体"/>
          <w:color w:val="auto"/>
          <w:sz w:val="24"/>
          <w:szCs w:val="24"/>
          <w:highlight w:val="none"/>
        </w:rPr>
        <w:t>修剪</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次。</w:t>
      </w:r>
    </w:p>
    <w:p w14:paraId="0128ED48">
      <w:pPr>
        <w:pageBreakBefore w:val="0"/>
        <w:tabs>
          <w:tab w:val="left" w:pos="840"/>
          <w:tab w:val="left" w:pos="945"/>
          <w:tab w:val="left" w:pos="1050"/>
        </w:tabs>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②</w:t>
      </w:r>
      <w:r>
        <w:rPr>
          <w:rFonts w:hint="eastAsia" w:ascii="宋体" w:hAnsi="宋体" w:eastAsia="宋体"/>
          <w:color w:val="auto"/>
          <w:sz w:val="24"/>
          <w:szCs w:val="24"/>
          <w:highlight w:val="none"/>
        </w:rPr>
        <w:t>乔灌木适时修剪</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每年修剪</w:t>
      </w: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rPr>
        <w:t>次。</w:t>
      </w:r>
    </w:p>
    <w:p w14:paraId="386E3128">
      <w:pPr>
        <w:pageBreakBefore w:val="0"/>
        <w:tabs>
          <w:tab w:val="left" w:pos="840"/>
          <w:tab w:val="left" w:pos="945"/>
          <w:tab w:val="left" w:pos="1050"/>
        </w:tabs>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③</w:t>
      </w:r>
      <w:r>
        <w:rPr>
          <w:rFonts w:hint="eastAsia" w:ascii="宋体" w:hAnsi="宋体"/>
          <w:color w:val="auto"/>
          <w:sz w:val="24"/>
          <w:szCs w:val="24"/>
          <w:highlight w:val="none"/>
          <w:lang w:val="en-US" w:eastAsia="zh-CN"/>
        </w:rPr>
        <w:t>根据各小区情况</w:t>
      </w:r>
      <w:r>
        <w:rPr>
          <w:rFonts w:hint="eastAsia" w:ascii="宋体" w:hAnsi="宋体" w:eastAsia="宋体"/>
          <w:color w:val="auto"/>
          <w:sz w:val="24"/>
          <w:szCs w:val="24"/>
          <w:highlight w:val="none"/>
        </w:rPr>
        <w:t>适时对大型乔木进行斩根</w:t>
      </w:r>
      <w:r>
        <w:rPr>
          <w:rFonts w:hint="eastAsia" w:ascii="宋体" w:hAnsi="宋体"/>
          <w:color w:val="auto"/>
          <w:sz w:val="24"/>
          <w:szCs w:val="24"/>
          <w:highlight w:val="none"/>
          <w:lang w:val="en-US" w:eastAsia="zh-CN"/>
        </w:rPr>
        <w:t>及修剪枝干</w:t>
      </w:r>
      <w:r>
        <w:rPr>
          <w:rFonts w:hint="eastAsia" w:ascii="宋体" w:hAnsi="宋体" w:eastAsia="宋体"/>
          <w:color w:val="auto"/>
          <w:sz w:val="24"/>
          <w:szCs w:val="24"/>
          <w:highlight w:val="none"/>
        </w:rPr>
        <w:t>，以减少根系对路沿石、路面、墙体造成破坏</w:t>
      </w:r>
      <w:r>
        <w:rPr>
          <w:rFonts w:hint="eastAsia" w:ascii="宋体" w:hAnsi="宋体"/>
          <w:color w:val="auto"/>
          <w:sz w:val="24"/>
          <w:szCs w:val="24"/>
          <w:highlight w:val="none"/>
          <w:lang w:val="en-US" w:eastAsia="zh-CN"/>
        </w:rPr>
        <w:t>和避免影响业主日常生活</w:t>
      </w:r>
      <w:r>
        <w:rPr>
          <w:rFonts w:hint="eastAsia" w:ascii="宋体" w:hAnsi="宋体" w:eastAsia="宋体"/>
          <w:color w:val="auto"/>
          <w:sz w:val="24"/>
          <w:szCs w:val="24"/>
          <w:highlight w:val="none"/>
        </w:rPr>
        <w:t>。</w:t>
      </w:r>
    </w:p>
    <w:p w14:paraId="57EC8A46">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④</w:t>
      </w:r>
      <w:r>
        <w:rPr>
          <w:rFonts w:hint="eastAsia" w:ascii="宋体" w:hAnsi="宋体" w:eastAsia="宋体"/>
          <w:color w:val="auto"/>
          <w:sz w:val="24"/>
          <w:szCs w:val="24"/>
          <w:highlight w:val="none"/>
        </w:rPr>
        <w:t>地被、色块类整齐、美观，徒长枝条不得超过5cm。</w:t>
      </w:r>
    </w:p>
    <w:p w14:paraId="36EC2BF4">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⑤</w:t>
      </w:r>
      <w:r>
        <w:rPr>
          <w:rFonts w:hint="eastAsia" w:ascii="宋体" w:hAnsi="宋体" w:eastAsia="宋体" w:cs="宋体"/>
          <w:color w:val="auto"/>
          <w:sz w:val="24"/>
          <w:szCs w:val="24"/>
          <w:highlight w:val="none"/>
          <w:lang w:bidi="ar"/>
        </w:rPr>
        <w:t>厂区及</w:t>
      </w:r>
      <w:r>
        <w:rPr>
          <w:rFonts w:hint="eastAsia" w:ascii="宋体" w:hAnsi="宋体" w:eastAsia="宋体" w:cs="宋体"/>
          <w:color w:val="auto"/>
          <w:sz w:val="24"/>
          <w:szCs w:val="24"/>
          <w:highlight w:val="none"/>
          <w:lang w:val="en-US" w:eastAsia="zh-CN" w:bidi="ar"/>
        </w:rPr>
        <w:t>小</w:t>
      </w:r>
      <w:r>
        <w:rPr>
          <w:rFonts w:hint="eastAsia" w:ascii="宋体" w:hAnsi="宋体" w:eastAsia="宋体" w:cs="宋体"/>
          <w:color w:val="auto"/>
          <w:sz w:val="24"/>
          <w:szCs w:val="24"/>
          <w:highlight w:val="none"/>
          <w:lang w:eastAsia="zh-CN" w:bidi="ar"/>
        </w:rPr>
        <w:t>区</w:t>
      </w:r>
      <w:r>
        <w:rPr>
          <w:rFonts w:hint="eastAsia" w:ascii="宋体" w:hAnsi="宋体" w:eastAsia="宋体" w:cs="宋体"/>
          <w:color w:val="auto"/>
          <w:sz w:val="24"/>
          <w:szCs w:val="24"/>
          <w:highlight w:val="none"/>
          <w:lang w:bidi="ar"/>
        </w:rPr>
        <w:t>围墙周界的杂草、树木、攀爬植物若</w:t>
      </w:r>
      <w:r>
        <w:rPr>
          <w:rFonts w:hint="eastAsia" w:ascii="宋体" w:hAnsi="宋体" w:eastAsia="宋体" w:cs="宋体"/>
          <w:color w:val="auto"/>
          <w:sz w:val="24"/>
          <w:szCs w:val="24"/>
          <w:highlight w:val="none"/>
          <w:lang w:eastAsia="zh-CN" w:bidi="ar"/>
        </w:rPr>
        <w:t>要及时</w:t>
      </w:r>
      <w:r>
        <w:rPr>
          <w:rFonts w:hint="eastAsia" w:ascii="宋体" w:hAnsi="宋体" w:eastAsia="宋体" w:cs="宋体"/>
          <w:color w:val="auto"/>
          <w:sz w:val="24"/>
          <w:szCs w:val="24"/>
          <w:highlight w:val="none"/>
          <w:lang w:bidi="ar"/>
        </w:rPr>
        <w:t>修剪，</w:t>
      </w:r>
      <w:r>
        <w:rPr>
          <w:rFonts w:hint="eastAsia" w:ascii="宋体" w:hAnsi="宋体" w:eastAsia="宋体" w:cs="宋体"/>
          <w:color w:val="auto"/>
          <w:sz w:val="24"/>
          <w:szCs w:val="24"/>
          <w:highlight w:val="none"/>
          <w:lang w:eastAsia="zh-CN" w:bidi="ar"/>
        </w:rPr>
        <w:t>不能影响</w:t>
      </w:r>
      <w:r>
        <w:rPr>
          <w:rFonts w:hint="eastAsia" w:ascii="宋体" w:hAnsi="宋体" w:eastAsia="宋体" w:cs="宋体"/>
          <w:color w:val="auto"/>
          <w:sz w:val="24"/>
          <w:szCs w:val="24"/>
          <w:highlight w:val="none"/>
          <w:lang w:bidi="ar"/>
        </w:rPr>
        <w:t>红外报警系统</w:t>
      </w:r>
      <w:r>
        <w:rPr>
          <w:rFonts w:hint="eastAsia" w:ascii="宋体" w:hAnsi="宋体" w:eastAsia="宋体" w:cs="宋体"/>
          <w:color w:val="auto"/>
          <w:sz w:val="24"/>
          <w:szCs w:val="24"/>
          <w:highlight w:val="none"/>
          <w:lang w:eastAsia="zh-CN" w:bidi="ar"/>
        </w:rPr>
        <w:t>正常使用。</w:t>
      </w:r>
    </w:p>
    <w:p w14:paraId="59824B8B">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3.1.4</w:t>
      </w:r>
      <w:r>
        <w:rPr>
          <w:rFonts w:hint="eastAsia" w:ascii="宋体" w:hAnsi="宋体" w:eastAsia="宋体"/>
          <w:color w:val="auto"/>
          <w:sz w:val="24"/>
          <w:szCs w:val="24"/>
          <w:highlight w:val="none"/>
        </w:rPr>
        <w:t>病虫害防治:</w:t>
      </w:r>
    </w:p>
    <w:p w14:paraId="35F9D638">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①</w:t>
      </w:r>
      <w:r>
        <w:rPr>
          <w:rFonts w:hint="eastAsia" w:ascii="宋体" w:hAnsi="宋体" w:eastAsia="宋体"/>
          <w:color w:val="auto"/>
          <w:sz w:val="24"/>
          <w:szCs w:val="24"/>
          <w:highlight w:val="none"/>
          <w:lang w:eastAsia="zh-CN"/>
        </w:rPr>
        <w:t>根据</w:t>
      </w:r>
      <w:r>
        <w:rPr>
          <w:rFonts w:hint="eastAsia" w:ascii="宋体" w:hAnsi="宋体" w:eastAsia="宋体"/>
          <w:color w:val="auto"/>
          <w:sz w:val="24"/>
          <w:szCs w:val="24"/>
          <w:highlight w:val="none"/>
          <w:shd w:val="clear" w:color="auto" w:fill="FFFFFF"/>
        </w:rPr>
        <w:t>根据不同病虫害发生规律</w:t>
      </w:r>
      <w:r>
        <w:rPr>
          <w:rFonts w:ascii="宋体" w:eastAsia="宋体"/>
          <w:color w:val="auto"/>
          <w:sz w:val="24"/>
          <w:szCs w:val="24"/>
          <w:highlight w:val="none"/>
          <w:shd w:val="clear" w:color="auto" w:fill="FFFFFF"/>
        </w:rPr>
        <w:t>,</w:t>
      </w:r>
      <w:r>
        <w:rPr>
          <w:rFonts w:hint="eastAsia" w:ascii="宋体" w:hAnsi="宋体" w:eastAsia="宋体"/>
          <w:color w:val="auto"/>
          <w:sz w:val="24"/>
          <w:szCs w:val="24"/>
          <w:highlight w:val="none"/>
          <w:shd w:val="clear" w:color="auto" w:fill="FFFFFF"/>
        </w:rPr>
        <w:t>预防为主、综合治理，</w:t>
      </w:r>
      <w:r>
        <w:rPr>
          <w:rFonts w:hint="eastAsia" w:ascii="宋体" w:hAnsi="宋体" w:eastAsia="宋体"/>
          <w:color w:val="auto"/>
          <w:sz w:val="24"/>
          <w:szCs w:val="24"/>
          <w:highlight w:val="none"/>
        </w:rPr>
        <w:t>适时对病虫害进行监控及防治。</w:t>
      </w:r>
    </w:p>
    <w:p w14:paraId="202EBFB5">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highlight w:val="none"/>
          <w:shd w:val="clear" w:color="auto" w:fill="FFFFFF"/>
        </w:rPr>
      </w:pPr>
      <w:r>
        <w:rPr>
          <w:rFonts w:hint="eastAsia" w:ascii="宋体" w:hAnsi="宋体" w:eastAsia="宋体"/>
          <w:color w:val="auto"/>
          <w:sz w:val="24"/>
          <w:szCs w:val="24"/>
          <w:highlight w:val="none"/>
          <w:lang w:val="en-US" w:eastAsia="zh-CN"/>
        </w:rPr>
        <w:t>② 根据情况进行杀虫作业，</w:t>
      </w:r>
      <w:r>
        <w:rPr>
          <w:rFonts w:hint="eastAsia" w:ascii="宋体" w:hAnsi="宋体" w:eastAsia="宋体"/>
          <w:color w:val="auto"/>
          <w:sz w:val="24"/>
          <w:szCs w:val="24"/>
          <w:highlight w:val="none"/>
          <w:shd w:val="clear" w:color="auto" w:fill="FFFFFF"/>
        </w:rPr>
        <w:t>保证植株健壮，无明显生理性病症。</w:t>
      </w:r>
    </w:p>
    <w:p w14:paraId="3CAD51CD">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3.1.5</w:t>
      </w:r>
      <w:r>
        <w:rPr>
          <w:rFonts w:ascii="宋体" w:hAnsi="宋体" w:eastAsia="宋体"/>
          <w:b/>
          <w:color w:val="auto"/>
          <w:sz w:val="24"/>
          <w:szCs w:val="24"/>
          <w:highlight w:val="none"/>
        </w:rPr>
        <w:t xml:space="preserve"> </w:t>
      </w:r>
      <w:r>
        <w:rPr>
          <w:rFonts w:hint="eastAsia" w:ascii="宋体" w:hAnsi="宋体" w:eastAsia="宋体"/>
          <w:b w:val="0"/>
          <w:bCs/>
          <w:color w:val="auto"/>
          <w:sz w:val="24"/>
          <w:szCs w:val="24"/>
          <w:highlight w:val="none"/>
          <w:lang w:eastAsia="zh-CN"/>
        </w:rPr>
        <w:t>做好日常养护工作，及时浇水，</w:t>
      </w:r>
      <w:r>
        <w:rPr>
          <w:rFonts w:hint="eastAsia" w:ascii="宋体" w:hAnsi="宋体" w:eastAsia="宋体"/>
          <w:color w:val="auto"/>
          <w:sz w:val="24"/>
          <w:szCs w:val="24"/>
          <w:highlight w:val="none"/>
        </w:rPr>
        <w:t>及时清扫并运</w:t>
      </w:r>
      <w:r>
        <w:rPr>
          <w:rFonts w:ascii="宋体" w:hAnsi="宋体" w:eastAsia="宋体"/>
          <w:color w:val="auto"/>
          <w:sz w:val="24"/>
          <w:szCs w:val="24"/>
          <w:highlight w:val="none"/>
        </w:rPr>
        <w:t>走</w:t>
      </w:r>
      <w:r>
        <w:rPr>
          <w:rFonts w:hint="eastAsia" w:ascii="宋体" w:hAnsi="宋体" w:eastAsia="宋体"/>
          <w:color w:val="auto"/>
          <w:sz w:val="24"/>
          <w:szCs w:val="24"/>
          <w:highlight w:val="none"/>
        </w:rPr>
        <w:t>绿地上的枯枝落叶及杂物（绿化带内的垃圾清理属绿化养护范围），及时拔除杂草，保证绿地的整洁、美观。</w:t>
      </w:r>
      <w:r>
        <w:rPr>
          <w:rFonts w:hint="eastAsia" w:ascii="宋体" w:hAnsi="宋体" w:eastAsia="宋体"/>
          <w:color w:val="auto"/>
          <w:sz w:val="24"/>
          <w:szCs w:val="24"/>
          <w:highlight w:val="none"/>
          <w:lang w:eastAsia="zh-CN"/>
        </w:rPr>
        <w:t>同时保证</w:t>
      </w:r>
      <w:r>
        <w:rPr>
          <w:rFonts w:hint="eastAsia" w:ascii="宋体" w:hAnsi="宋体" w:eastAsia="宋体" w:cs="宋体"/>
          <w:color w:val="auto"/>
          <w:sz w:val="24"/>
          <w:szCs w:val="24"/>
          <w:highlight w:val="none"/>
          <w:lang w:eastAsia="zh-CN" w:bidi="ar"/>
        </w:rPr>
        <w:t>小区及厂区</w:t>
      </w:r>
      <w:r>
        <w:rPr>
          <w:rFonts w:hint="eastAsia" w:ascii="宋体" w:hAnsi="宋体" w:eastAsia="宋体" w:cs="宋体"/>
          <w:color w:val="auto"/>
          <w:sz w:val="24"/>
          <w:szCs w:val="24"/>
          <w:highlight w:val="none"/>
          <w:lang w:bidi="ar"/>
        </w:rPr>
        <w:t>清洁</w:t>
      </w:r>
      <w:r>
        <w:rPr>
          <w:rFonts w:hint="eastAsia" w:ascii="宋体" w:hAnsi="宋体" w:eastAsia="宋体" w:cs="宋体"/>
          <w:color w:val="auto"/>
          <w:sz w:val="24"/>
          <w:szCs w:val="24"/>
          <w:highlight w:val="none"/>
          <w:lang w:eastAsia="zh-CN" w:bidi="ar"/>
        </w:rPr>
        <w:t>。</w:t>
      </w:r>
    </w:p>
    <w:p w14:paraId="35F1B80B">
      <w:pPr>
        <w:pageBreakBefore w:val="0"/>
        <w:kinsoku/>
        <w:wordWrap/>
        <w:topLinePunct w:val="0"/>
        <w:bidi w:val="0"/>
        <w:spacing w:line="440" w:lineRule="exact"/>
        <w:ind w:left="0" w:right="0" w:firstLine="240" w:firstLineChars="100"/>
        <w:jc w:val="both"/>
        <w:outlineLvl w:val="9"/>
        <w:rPr>
          <w:rFonts w:eastAsia="宋体"/>
          <w:color w:val="auto"/>
          <w:sz w:val="24"/>
          <w:szCs w:val="24"/>
          <w:highlight w:val="none"/>
        </w:rPr>
      </w:pPr>
      <w:r>
        <w:rPr>
          <w:rFonts w:hint="eastAsia" w:ascii="宋体" w:hAnsi="宋体" w:eastAsia="宋体"/>
          <w:color w:val="auto"/>
          <w:sz w:val="24"/>
          <w:szCs w:val="24"/>
          <w:highlight w:val="none"/>
          <w:lang w:val="en-US" w:eastAsia="zh-CN"/>
        </w:rPr>
        <w:t>3.1.6</w:t>
      </w:r>
      <w:r>
        <w:rPr>
          <w:rFonts w:hint="eastAsia" w:ascii="宋体" w:hAnsi="宋体" w:eastAsia="宋体"/>
          <w:b/>
          <w:color w:val="auto"/>
          <w:sz w:val="24"/>
          <w:szCs w:val="24"/>
          <w:highlight w:val="none"/>
        </w:rPr>
        <w:t xml:space="preserve"> </w:t>
      </w:r>
      <w:r>
        <w:rPr>
          <w:rFonts w:hint="eastAsia" w:ascii="宋体" w:hAnsi="宋体" w:eastAsia="宋体" w:cs="Times New Roman"/>
          <w:b w:val="0"/>
          <w:bCs/>
          <w:color w:val="auto"/>
          <w:sz w:val="24"/>
          <w:szCs w:val="24"/>
          <w:highlight w:val="none"/>
          <w:lang w:eastAsia="zh-CN"/>
        </w:rPr>
        <w:t>中标人</w:t>
      </w:r>
      <w:r>
        <w:rPr>
          <w:rFonts w:hint="eastAsia" w:eastAsia="宋体"/>
          <w:color w:val="auto"/>
          <w:sz w:val="24"/>
          <w:szCs w:val="24"/>
          <w:highlight w:val="none"/>
        </w:rPr>
        <w:t>应对养护范围内的大型植物进行特殊的护理，保证其不干不涝、不缺肥等，长势良好。</w:t>
      </w:r>
    </w:p>
    <w:p w14:paraId="713C7CEA">
      <w:pPr>
        <w:pageBreakBefore w:val="0"/>
        <w:kinsoku/>
        <w:wordWrap/>
        <w:topLinePunct w:val="0"/>
        <w:bidi w:val="0"/>
        <w:spacing w:line="440" w:lineRule="exact"/>
        <w:ind w:left="0" w:right="0" w:rightChars="0" w:firstLine="240" w:firstLineChars="1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3.1.7.</w:t>
      </w:r>
      <w:r>
        <w:rPr>
          <w:rFonts w:hint="eastAsia" w:ascii="宋体" w:hAnsi="宋体" w:eastAsia="宋体" w:cs="宋体"/>
          <w:color w:val="auto"/>
          <w:sz w:val="24"/>
          <w:szCs w:val="24"/>
          <w:highlight w:val="none"/>
        </w:rPr>
        <w:t>公司范围内的高价值树种（包括但不限于高杆香樟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银杏等）按特殊树种进行养护。</w:t>
      </w:r>
    </w:p>
    <w:p w14:paraId="3915047D">
      <w:pPr>
        <w:pageBreakBefore w:val="0"/>
        <w:kinsoku/>
        <w:wordWrap/>
        <w:topLinePunct w:val="0"/>
        <w:bidi w:val="0"/>
        <w:spacing w:line="440" w:lineRule="exact"/>
        <w:ind w:left="0" w:right="0" w:firstLine="240" w:firstLineChars="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3.1.8冬季对乔木底部进行刷白处理。</w:t>
      </w:r>
    </w:p>
    <w:p w14:paraId="0F790996">
      <w:pPr>
        <w:pageBreakBefore w:val="0"/>
        <w:kinsoku/>
        <w:wordWrap/>
        <w:topLinePunct w:val="0"/>
        <w:bidi w:val="0"/>
        <w:spacing w:line="440" w:lineRule="exact"/>
        <w:ind w:left="0" w:right="0" w:firstLine="240" w:firstLineChars="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3.1.9绿地与道路边缘要修整出边沟。</w:t>
      </w:r>
    </w:p>
    <w:p w14:paraId="53F6E99E">
      <w:pPr>
        <w:pageBreakBefore w:val="0"/>
        <w:kinsoku/>
        <w:wordWrap/>
        <w:topLinePunct w:val="0"/>
        <w:bidi w:val="0"/>
        <w:spacing w:line="440" w:lineRule="exact"/>
        <w:ind w:left="0" w:right="0" w:firstLine="240" w:firstLineChars="1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3.2</w:t>
      </w:r>
      <w:r>
        <w:rPr>
          <w:rFonts w:hint="eastAsia" w:ascii="宋体" w:hAnsi="宋体" w:eastAsia="宋体" w:cs="宋体"/>
          <w:color w:val="auto"/>
          <w:sz w:val="24"/>
          <w:szCs w:val="24"/>
          <w:highlight w:val="none"/>
        </w:rPr>
        <w:t>草坪</w:t>
      </w:r>
      <w:r>
        <w:rPr>
          <w:rFonts w:hint="eastAsia" w:ascii="宋体" w:hAnsi="宋体" w:eastAsia="宋体" w:cs="宋体"/>
          <w:color w:val="auto"/>
          <w:sz w:val="24"/>
          <w:szCs w:val="24"/>
          <w:highlight w:val="none"/>
          <w:lang w:eastAsia="zh-CN"/>
        </w:rPr>
        <w:t>养护要求：生长旺盛，</w:t>
      </w:r>
      <w:r>
        <w:rPr>
          <w:rFonts w:hint="eastAsia" w:ascii="宋体" w:hAnsi="宋体" w:eastAsia="宋体" w:cs="宋体"/>
          <w:color w:val="auto"/>
          <w:sz w:val="24"/>
          <w:szCs w:val="24"/>
          <w:highlight w:val="none"/>
        </w:rPr>
        <w:t>无黄化现象，无杂草、无斑秃、无裸露地面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shd w:val="clear" w:color="auto" w:fill="FFFFFF"/>
        </w:rPr>
        <w:t>杂草率低于5%</w:t>
      </w:r>
      <w:r>
        <w:rPr>
          <w:rFonts w:hint="eastAsia" w:ascii="宋体" w:hAnsi="宋体" w:eastAsia="宋体" w:cs="宋体"/>
          <w:color w:val="auto"/>
          <w:sz w:val="24"/>
          <w:szCs w:val="24"/>
          <w:highlight w:val="none"/>
        </w:rPr>
        <w:t>。</w:t>
      </w:r>
    </w:p>
    <w:p w14:paraId="010802A7">
      <w:pPr>
        <w:pageBreakBefore w:val="0"/>
        <w:kinsoku/>
        <w:wordWrap/>
        <w:topLinePunct w:val="0"/>
        <w:bidi w:val="0"/>
        <w:spacing w:line="440" w:lineRule="exact"/>
        <w:ind w:left="0" w:right="0" w:firstLine="240" w:firstLineChars="100"/>
        <w:jc w:val="both"/>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shd w:val="clear" w:color="auto" w:fill="FFFFFF"/>
        </w:rPr>
        <w:t>乔木</w:t>
      </w:r>
      <w:r>
        <w:rPr>
          <w:rFonts w:hint="eastAsia" w:ascii="宋体" w:hAnsi="宋体" w:eastAsia="宋体" w:cs="宋体"/>
          <w:color w:val="auto"/>
          <w:sz w:val="24"/>
          <w:szCs w:val="24"/>
          <w:highlight w:val="none"/>
          <w:lang w:eastAsia="zh-CN"/>
        </w:rPr>
        <w:t>养护要求</w:t>
      </w:r>
      <w:r>
        <w:rPr>
          <w:rFonts w:hint="eastAsia" w:ascii="宋体" w:hAnsi="宋体" w:eastAsia="宋体" w:cs="宋体"/>
          <w:color w:val="auto"/>
          <w:sz w:val="24"/>
          <w:szCs w:val="24"/>
          <w:highlight w:val="none"/>
          <w:shd w:val="clear" w:color="auto" w:fill="FFFFFF"/>
        </w:rPr>
        <w:t>：生长旺盛，枝干健壮，树形美观，无倾斜、倒歪现象；高大乔木在大风来临时应采取防倒有效措施，因台风等灾害天气造成树木倒伏时，应及时扶正支撑倒伏树木；因极端天气（如低温冻害天气）来临时提前做好防护措施，因极端天气过后造成的枯枝落叶及时修剪清除。</w:t>
      </w:r>
    </w:p>
    <w:p w14:paraId="529B5855">
      <w:pPr>
        <w:pageBreakBefore w:val="0"/>
        <w:kinsoku/>
        <w:wordWrap/>
        <w:topLinePunct w:val="0"/>
        <w:bidi w:val="0"/>
        <w:spacing w:line="440" w:lineRule="exact"/>
        <w:ind w:left="0" w:right="0" w:firstLine="240" w:firstLineChars="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lang w:val="en-US" w:eastAsia="zh-CN"/>
        </w:rPr>
        <w:t>3.4</w:t>
      </w:r>
      <w:r>
        <w:rPr>
          <w:rFonts w:hint="eastAsia" w:ascii="宋体" w:hAnsi="宋体" w:eastAsia="宋体" w:cs="宋体"/>
          <w:color w:val="auto"/>
          <w:sz w:val="24"/>
          <w:szCs w:val="24"/>
          <w:highlight w:val="none"/>
          <w:shd w:val="clear" w:color="auto" w:fill="FFFFFF"/>
        </w:rPr>
        <w:t>灌木</w:t>
      </w:r>
      <w:r>
        <w:rPr>
          <w:rFonts w:hint="eastAsia" w:ascii="宋体" w:hAnsi="宋体" w:eastAsia="宋体" w:cs="宋体"/>
          <w:color w:val="auto"/>
          <w:sz w:val="24"/>
          <w:szCs w:val="24"/>
          <w:highlight w:val="none"/>
          <w:lang w:eastAsia="zh-CN"/>
        </w:rPr>
        <w:t>养护要求</w:t>
      </w:r>
      <w:r>
        <w:rPr>
          <w:rFonts w:hint="eastAsia" w:ascii="宋体" w:hAnsi="宋体" w:eastAsia="宋体" w:cs="宋体"/>
          <w:color w:val="auto"/>
          <w:sz w:val="24"/>
          <w:szCs w:val="24"/>
          <w:highlight w:val="none"/>
          <w:shd w:val="clear" w:color="auto" w:fill="FFFFFF"/>
        </w:rPr>
        <w:t>：生长旺盛，花繁叶茂，具有造型美观。灌木无残缺，绿篱无断层；灌木丛中无垃圾、无病枝枯枝和落叶堆积，无厚重粉尘覆盖</w:t>
      </w:r>
      <w:r>
        <w:rPr>
          <w:rFonts w:hint="eastAsia" w:ascii="宋体" w:hAnsi="宋体" w:eastAsia="宋体" w:cs="宋体"/>
          <w:color w:val="auto"/>
          <w:sz w:val="24"/>
          <w:szCs w:val="24"/>
          <w:highlight w:val="none"/>
          <w:shd w:val="clear" w:color="auto" w:fill="FFFFFF"/>
          <w:lang w:eastAsia="zh-CN"/>
        </w:rPr>
        <w:t>。</w:t>
      </w:r>
    </w:p>
    <w:p w14:paraId="0BA7F64A">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3.5</w:t>
      </w:r>
      <w:r>
        <w:rPr>
          <w:rFonts w:hint="eastAsia" w:ascii="宋体" w:hAnsi="宋体" w:eastAsia="宋体"/>
          <w:color w:val="auto"/>
          <w:sz w:val="24"/>
          <w:szCs w:val="24"/>
          <w:highlight w:val="none"/>
        </w:rPr>
        <w:t>其他要求</w:t>
      </w:r>
    </w:p>
    <w:p w14:paraId="13BCB80E">
      <w:pPr>
        <w:pageBreakBefore w:val="0"/>
        <w:kinsoku/>
        <w:wordWrap/>
        <w:topLinePunct w:val="0"/>
        <w:bidi w:val="0"/>
        <w:spacing w:line="440" w:lineRule="exact"/>
        <w:ind w:left="0" w:right="0" w:firstLine="0" w:firstLineChars="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  3.5.1</w:t>
      </w:r>
      <w:r>
        <w:rPr>
          <w:rFonts w:hint="eastAsia" w:ascii="宋体" w:hAnsi="宋体" w:eastAsia="宋体" w:cs="Times New Roman"/>
          <w:b w:val="0"/>
          <w:bCs/>
          <w:color w:val="auto"/>
          <w:sz w:val="24"/>
          <w:szCs w:val="24"/>
          <w:highlight w:val="none"/>
          <w:lang w:eastAsia="zh-CN"/>
        </w:rPr>
        <w:t>中标人</w:t>
      </w:r>
      <w:r>
        <w:rPr>
          <w:rFonts w:hint="eastAsia" w:ascii="宋体" w:hAnsi="宋体" w:eastAsia="宋体"/>
          <w:color w:val="auto"/>
          <w:sz w:val="24"/>
          <w:szCs w:val="24"/>
          <w:highlight w:val="none"/>
        </w:rPr>
        <w:t>使用的绿化养护药品必须是以安全、环保、微毒为主的环保生物杀虫剂。</w:t>
      </w:r>
    </w:p>
    <w:p w14:paraId="1930E37F">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3.5.2施</w:t>
      </w:r>
      <w:r>
        <w:rPr>
          <w:rFonts w:hint="eastAsia" w:ascii="宋体" w:hAnsi="宋体" w:eastAsia="宋体"/>
          <w:color w:val="auto"/>
          <w:sz w:val="24"/>
          <w:szCs w:val="24"/>
          <w:highlight w:val="none"/>
        </w:rPr>
        <w:t>肥时</w:t>
      </w:r>
      <w:r>
        <w:rPr>
          <w:rFonts w:hint="eastAsia" w:ascii="宋体" w:hAnsi="宋体" w:eastAsia="宋体" w:cs="Times New Roman"/>
          <w:b w:val="0"/>
          <w:bCs/>
          <w:color w:val="auto"/>
          <w:sz w:val="24"/>
          <w:szCs w:val="24"/>
          <w:highlight w:val="none"/>
          <w:lang w:eastAsia="zh-CN"/>
        </w:rPr>
        <w:t>中标人</w:t>
      </w:r>
      <w:r>
        <w:rPr>
          <w:rFonts w:hint="eastAsia" w:ascii="宋体" w:hAnsi="宋体" w:eastAsia="宋体"/>
          <w:color w:val="auto"/>
          <w:sz w:val="24"/>
          <w:szCs w:val="24"/>
          <w:highlight w:val="none"/>
        </w:rPr>
        <w:t>应先</w:t>
      </w:r>
      <w:r>
        <w:rPr>
          <w:rFonts w:hint="eastAsia" w:ascii="宋体" w:hAnsi="宋体" w:eastAsia="宋体"/>
          <w:color w:val="auto"/>
          <w:sz w:val="24"/>
          <w:szCs w:val="24"/>
          <w:highlight w:val="none"/>
          <w:lang w:val="en-US" w:eastAsia="zh-CN"/>
        </w:rPr>
        <w:t>将肥料类型上报招标人</w:t>
      </w:r>
      <w:r>
        <w:rPr>
          <w:rFonts w:hint="eastAsia" w:ascii="宋体" w:hAnsi="宋体" w:eastAsia="宋体"/>
          <w:color w:val="auto"/>
          <w:sz w:val="24"/>
          <w:szCs w:val="24"/>
          <w:highlight w:val="none"/>
        </w:rPr>
        <w:t>，由</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 xml:space="preserve">确定后方可施工； </w:t>
      </w:r>
    </w:p>
    <w:p w14:paraId="31666FA0">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3.5.3</w:t>
      </w:r>
      <w:r>
        <w:rPr>
          <w:rFonts w:hint="eastAsia" w:ascii="宋体" w:hAnsi="宋体" w:eastAsia="宋体" w:cs="Times New Roman"/>
          <w:b w:val="0"/>
          <w:bCs/>
          <w:color w:val="auto"/>
          <w:sz w:val="24"/>
          <w:szCs w:val="24"/>
          <w:highlight w:val="none"/>
          <w:lang w:eastAsia="zh-CN"/>
        </w:rPr>
        <w:t>中标人</w:t>
      </w:r>
      <w:r>
        <w:rPr>
          <w:rFonts w:hint="eastAsia" w:ascii="宋体" w:hAnsi="宋体" w:eastAsia="宋体"/>
          <w:color w:val="auto"/>
          <w:sz w:val="24"/>
          <w:szCs w:val="24"/>
          <w:highlight w:val="none"/>
        </w:rPr>
        <w:t>应如实填写《绿地养护工作日志》</w:t>
      </w:r>
      <w:r>
        <w:rPr>
          <w:rFonts w:hint="eastAsia" w:ascii="宋体" w:hAnsi="宋体" w:eastAsia="宋体"/>
          <w:color w:val="auto"/>
          <w:sz w:val="24"/>
          <w:szCs w:val="24"/>
          <w:highlight w:val="none"/>
          <w:lang w:eastAsia="zh-CN"/>
        </w:rPr>
        <w:t>，日志必须记录详实（含并不限作业人数、作业内容，</w:t>
      </w:r>
      <w:r>
        <w:rPr>
          <w:rFonts w:hint="eastAsia" w:ascii="宋体" w:hAnsi="宋体" w:eastAsia="宋体"/>
          <w:color w:val="auto"/>
          <w:sz w:val="24"/>
          <w:szCs w:val="24"/>
          <w:highlight w:val="none"/>
        </w:rPr>
        <w:t>按月提供给</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w:t>
      </w:r>
    </w:p>
    <w:p w14:paraId="59DBDD5F">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3.5.4</w:t>
      </w:r>
      <w:r>
        <w:rPr>
          <w:rFonts w:hint="eastAsia" w:ascii="宋体" w:hAnsi="宋体" w:eastAsia="宋体" w:cs="Times New Roman"/>
          <w:b w:val="0"/>
          <w:bCs/>
          <w:color w:val="auto"/>
          <w:sz w:val="24"/>
          <w:szCs w:val="24"/>
          <w:highlight w:val="none"/>
          <w:lang w:eastAsia="zh-CN"/>
        </w:rPr>
        <w:t>中标人</w:t>
      </w:r>
      <w:r>
        <w:rPr>
          <w:rFonts w:hint="eastAsia" w:ascii="宋体" w:hAnsi="宋体" w:eastAsia="宋体"/>
          <w:color w:val="auto"/>
          <w:sz w:val="24"/>
          <w:szCs w:val="24"/>
          <w:highlight w:val="none"/>
        </w:rPr>
        <w:t>作为</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的重点相关方，需对员工做好相关方安全等管理培训。</w:t>
      </w:r>
    </w:p>
    <w:p w14:paraId="1E8C31DC">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3.5.5</w:t>
      </w:r>
      <w:r>
        <w:rPr>
          <w:rFonts w:hint="eastAsia" w:ascii="宋体" w:hAnsi="宋体" w:eastAsia="宋体"/>
          <w:color w:val="auto"/>
          <w:sz w:val="24"/>
          <w:szCs w:val="24"/>
          <w:highlight w:val="none"/>
        </w:rPr>
        <w:t>在杀虫前，</w:t>
      </w:r>
      <w:r>
        <w:rPr>
          <w:rFonts w:hint="eastAsia" w:ascii="宋体" w:hAnsi="宋体" w:eastAsia="宋体" w:cs="Times New Roman"/>
          <w:b w:val="0"/>
          <w:bCs/>
          <w:color w:val="auto"/>
          <w:sz w:val="24"/>
          <w:szCs w:val="24"/>
          <w:highlight w:val="none"/>
          <w:lang w:eastAsia="zh-CN"/>
        </w:rPr>
        <w:t>中标人</w:t>
      </w:r>
      <w:r>
        <w:rPr>
          <w:rFonts w:hint="eastAsia" w:ascii="宋体" w:hAnsi="宋体" w:eastAsia="宋体"/>
          <w:color w:val="auto"/>
          <w:sz w:val="24"/>
          <w:szCs w:val="24"/>
          <w:highlight w:val="none"/>
        </w:rPr>
        <w:t>应事先通知</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，经</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同意后方可杀虫喷药。另喷洒杀虫剂时应特别注意风向，在风吹向车间大门时不准喷洒，立即停止作业，另一方面注意防止对周边的污染。</w:t>
      </w:r>
    </w:p>
    <w:p w14:paraId="30A468BC">
      <w:pPr>
        <w:pageBreakBefore w:val="0"/>
        <w:widowControl w:val="0"/>
        <w:kinsoku/>
        <w:wordWrap/>
        <w:topLinePunct w:val="0"/>
        <w:bidi w:val="0"/>
        <w:spacing w:line="440" w:lineRule="exact"/>
        <w:ind w:left="0" w:right="0" w:firstLine="240" w:firstLineChars="100"/>
        <w:jc w:val="both"/>
        <w:outlineLvl w:val="9"/>
        <w:rPr>
          <w:rFonts w:hint="default" w:ascii="Calibri" w:hAnsi="Calibri"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3.5.6中标人</w:t>
      </w:r>
      <w:r>
        <w:rPr>
          <w:rFonts w:hint="eastAsia" w:ascii="宋体" w:hAnsi="宋体" w:eastAsia="宋体" w:cs="宋体"/>
          <w:color w:val="auto"/>
          <w:kern w:val="2"/>
          <w:sz w:val="24"/>
          <w:szCs w:val="24"/>
          <w:highlight w:val="none"/>
          <w:lang w:val="en-US" w:eastAsia="zh-CN" w:bidi="ar-SA"/>
        </w:rPr>
        <w:t>须具备：小货车、草坪机</w:t>
      </w:r>
      <w:r>
        <w:rPr>
          <w:rFonts w:hint="eastAsia" w:ascii="宋体" w:hAnsi="宋体" w:cs="宋体"/>
          <w:color w:val="auto"/>
          <w:kern w:val="2"/>
          <w:sz w:val="24"/>
          <w:szCs w:val="24"/>
          <w:highlight w:val="none"/>
          <w:lang w:val="en-US" w:eastAsia="zh-CN" w:bidi="ar-SA"/>
        </w:rPr>
        <w:t>或割草机</w:t>
      </w:r>
      <w:r>
        <w:rPr>
          <w:rFonts w:hint="eastAsia" w:ascii="宋体" w:hAnsi="宋体" w:eastAsia="宋体" w:cs="宋体"/>
          <w:color w:val="auto"/>
          <w:kern w:val="2"/>
          <w:sz w:val="24"/>
          <w:szCs w:val="24"/>
          <w:highlight w:val="none"/>
          <w:lang w:val="en-US" w:eastAsia="zh-CN" w:bidi="ar-SA"/>
        </w:rPr>
        <w:t>、绿篱机、浇灌类作业车、喷药机、打孔机等设备</w:t>
      </w:r>
      <w:r>
        <w:rPr>
          <w:rFonts w:hint="eastAsia" w:ascii="宋体" w:hAnsi="宋体" w:cs="宋体"/>
          <w:color w:val="auto"/>
          <w:kern w:val="2"/>
          <w:sz w:val="24"/>
          <w:szCs w:val="24"/>
          <w:highlight w:val="none"/>
          <w:lang w:val="en-US" w:eastAsia="zh-CN" w:bidi="ar-SA"/>
        </w:rPr>
        <w:t>（其中</w:t>
      </w:r>
      <w:r>
        <w:rPr>
          <w:rFonts w:hint="eastAsia" w:ascii="宋体" w:hAnsi="宋体" w:eastAsia="宋体" w:cs="宋体"/>
          <w:color w:val="auto"/>
          <w:kern w:val="2"/>
          <w:sz w:val="24"/>
          <w:szCs w:val="24"/>
          <w:highlight w:val="none"/>
          <w:lang w:val="en-US" w:eastAsia="zh-CN" w:bidi="ar-SA"/>
        </w:rPr>
        <w:t>小货车、草坪机</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浇灌类作业车至少一部</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p>
    <w:p w14:paraId="01BFB14E">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3.5.7</w:t>
      </w:r>
      <w:r>
        <w:rPr>
          <w:rFonts w:hint="eastAsia" w:ascii="宋体" w:hAnsi="宋体" w:eastAsia="宋体"/>
          <w:color w:val="auto"/>
          <w:sz w:val="24"/>
          <w:szCs w:val="24"/>
          <w:highlight w:val="none"/>
        </w:rPr>
        <w:t>遇应急任务时，</w:t>
      </w:r>
      <w:r>
        <w:rPr>
          <w:rFonts w:hint="eastAsia" w:ascii="宋体" w:hAnsi="宋体" w:eastAsia="宋体" w:cs="Times New Roman"/>
          <w:b w:val="0"/>
          <w:bCs/>
          <w:color w:val="auto"/>
          <w:sz w:val="24"/>
          <w:szCs w:val="24"/>
          <w:highlight w:val="none"/>
          <w:lang w:eastAsia="zh-CN"/>
        </w:rPr>
        <w:t>中标人</w:t>
      </w:r>
      <w:r>
        <w:rPr>
          <w:rFonts w:hint="eastAsia" w:ascii="宋体" w:hAnsi="宋体" w:eastAsia="宋体"/>
          <w:color w:val="auto"/>
          <w:sz w:val="24"/>
          <w:szCs w:val="24"/>
          <w:highlight w:val="none"/>
        </w:rPr>
        <w:t>应无条件服从</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安排协助工作，不另计费。</w:t>
      </w:r>
    </w:p>
    <w:p w14:paraId="74AC52B4">
      <w:pPr>
        <w:pageBreakBefore w:val="0"/>
        <w:kinsoku/>
        <w:wordWrap/>
        <w:topLinePunct w:val="0"/>
        <w:bidi w:val="0"/>
        <w:adjustRightInd w:val="0"/>
        <w:snapToGrid w:val="0"/>
        <w:spacing w:line="440" w:lineRule="exact"/>
        <w:ind w:left="0" w:right="0" w:firstLine="240" w:firstLineChars="100"/>
        <w:jc w:val="both"/>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3.5.8</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lang w:val="en-US" w:eastAsia="zh-CN"/>
        </w:rPr>
        <w:t>定期对养护质量进行考核评定，不合格将扣罚违约金。</w:t>
      </w:r>
    </w:p>
    <w:p w14:paraId="4467C2D0">
      <w:pPr>
        <w:pageBreakBefore w:val="0"/>
        <w:kinsoku/>
        <w:wordWrap/>
        <w:topLinePunct w:val="0"/>
        <w:bidi w:val="0"/>
        <w:adjustRightInd w:val="0"/>
        <w:snapToGrid w:val="0"/>
        <w:spacing w:line="440" w:lineRule="exact"/>
        <w:ind w:left="0" w:right="0" w:firstLine="240" w:firstLineChars="100"/>
        <w:jc w:val="both"/>
        <w:outlineLvl w:val="9"/>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3.5.9</w:t>
      </w:r>
      <w:r>
        <w:rPr>
          <w:rFonts w:hint="eastAsia" w:ascii="宋体" w:hAnsi="宋体" w:eastAsia="宋体" w:cs="宋体"/>
          <w:b w:val="0"/>
          <w:bCs w:val="0"/>
          <w:color w:val="auto"/>
          <w:kern w:val="28"/>
          <w:sz w:val="24"/>
          <w:szCs w:val="24"/>
          <w:highlight w:val="none"/>
          <w:lang w:val="en-US" w:eastAsia="zh-CN" w:bidi="ar-SA"/>
        </w:rPr>
        <w:t>各小区</w:t>
      </w:r>
      <w:r>
        <w:rPr>
          <w:rFonts w:hint="eastAsia" w:ascii="宋体" w:hAnsi="宋体" w:cs="宋体"/>
          <w:b w:val="0"/>
          <w:bCs w:val="0"/>
          <w:color w:val="auto"/>
          <w:kern w:val="28"/>
          <w:sz w:val="24"/>
          <w:szCs w:val="24"/>
          <w:highlight w:val="none"/>
          <w:lang w:val="en-US" w:eastAsia="zh-CN" w:bidi="ar-SA"/>
        </w:rPr>
        <w:t>绿化</w:t>
      </w:r>
      <w:r>
        <w:rPr>
          <w:rFonts w:hint="eastAsia" w:ascii="宋体" w:hAnsi="宋体" w:eastAsia="宋体"/>
          <w:color w:val="auto"/>
          <w:sz w:val="24"/>
          <w:szCs w:val="24"/>
          <w:highlight w:val="none"/>
        </w:rPr>
        <w:t>乔灌木修剪</w:t>
      </w: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rPr>
        <w:t>次</w:t>
      </w:r>
      <w:r>
        <w:rPr>
          <w:rFonts w:hint="eastAsia" w:ascii="宋体" w:hAnsi="宋体" w:eastAsia="宋体" w:cs="宋体"/>
          <w:b w:val="0"/>
          <w:bCs w:val="0"/>
          <w:color w:val="auto"/>
          <w:kern w:val="28"/>
          <w:sz w:val="24"/>
          <w:szCs w:val="24"/>
          <w:highlight w:val="none"/>
          <w:lang w:val="en-US" w:eastAsia="zh-CN" w:bidi="ar-SA"/>
        </w:rPr>
        <w:t>在1月底、5月底、9月底要完成</w:t>
      </w:r>
      <w:r>
        <w:rPr>
          <w:rFonts w:hint="eastAsia" w:ascii="宋体" w:hAnsi="宋体" w:cs="宋体"/>
          <w:b w:val="0"/>
          <w:bCs w:val="0"/>
          <w:color w:val="auto"/>
          <w:kern w:val="28"/>
          <w:sz w:val="24"/>
          <w:szCs w:val="24"/>
          <w:highlight w:val="none"/>
          <w:lang w:val="en-US" w:eastAsia="zh-CN" w:bidi="ar-SA"/>
        </w:rPr>
        <w:t>。</w:t>
      </w:r>
    </w:p>
    <w:p w14:paraId="74727CB9">
      <w:pPr>
        <w:pageBreakBefore w:val="0"/>
        <w:numPr>
          <w:ilvl w:val="0"/>
          <w:numId w:val="0"/>
        </w:numPr>
        <w:kinsoku/>
        <w:wordWrap/>
        <w:topLinePunct w:val="0"/>
        <w:bidi w:val="0"/>
        <w:adjustRightInd w:val="0"/>
        <w:snapToGrid w:val="0"/>
        <w:spacing w:line="440" w:lineRule="exact"/>
        <w:ind w:left="0" w:leftChars="0" w:right="0" w:rightChars="0" w:firstLine="240" w:firstLineChars="100"/>
        <w:jc w:val="both"/>
        <w:outlineLvl w:val="9"/>
        <w:rPr>
          <w:rFonts w:hint="eastAsia" w:ascii="宋体" w:hAnsi="宋体" w:eastAsia="宋体" w:cs="宋体"/>
          <w:b w:val="0"/>
          <w:bCs w:val="0"/>
          <w:strike w:val="0"/>
          <w:dstrike w:val="0"/>
          <w:color w:val="auto"/>
          <w:sz w:val="24"/>
          <w:szCs w:val="24"/>
          <w:highlight w:val="none"/>
          <w:lang w:eastAsia="zh-CN"/>
        </w:rPr>
      </w:pPr>
      <w:r>
        <w:rPr>
          <w:rFonts w:hint="eastAsia" w:ascii="宋体" w:hAnsi="宋体" w:eastAsia="宋体" w:cs="宋体"/>
          <w:b w:val="0"/>
          <w:bCs w:val="0"/>
          <w:strike w:val="0"/>
          <w:dstrike w:val="0"/>
          <w:color w:val="auto"/>
          <w:kern w:val="2"/>
          <w:sz w:val="24"/>
          <w:szCs w:val="24"/>
          <w:highlight w:val="none"/>
          <w:lang w:val="en-US" w:eastAsia="zh-CN" w:bidi="ar-SA"/>
        </w:rPr>
        <w:t>4.</w:t>
      </w:r>
      <w:r>
        <w:rPr>
          <w:rFonts w:hint="eastAsia" w:ascii="宋体" w:hAnsi="宋体" w:eastAsia="宋体" w:cs="宋体"/>
          <w:b/>
          <w:bCs/>
          <w:strike w:val="0"/>
          <w:dstrike w:val="0"/>
          <w:color w:val="auto"/>
          <w:sz w:val="24"/>
          <w:szCs w:val="24"/>
          <w:highlight w:val="none"/>
          <w:lang w:eastAsia="zh-CN"/>
        </w:rPr>
        <w:t>人员配备应包含</w:t>
      </w:r>
      <w:r>
        <w:rPr>
          <w:rFonts w:hint="eastAsia" w:ascii="宋体" w:hAnsi="宋体" w:eastAsia="宋体" w:cs="宋体"/>
          <w:b w:val="0"/>
          <w:bCs w:val="0"/>
          <w:strike w:val="0"/>
          <w:dstrike w:val="0"/>
          <w:color w:val="auto"/>
          <w:sz w:val="24"/>
          <w:szCs w:val="24"/>
          <w:highlight w:val="none"/>
          <w:lang w:eastAsia="zh-CN"/>
        </w:rPr>
        <w:t>：</w:t>
      </w:r>
    </w:p>
    <w:p w14:paraId="0B2052EF">
      <w:pPr>
        <w:pageBreakBefore w:val="0"/>
        <w:numPr>
          <w:ilvl w:val="0"/>
          <w:numId w:val="0"/>
        </w:numPr>
        <w:kinsoku/>
        <w:wordWrap/>
        <w:topLinePunct w:val="0"/>
        <w:bidi w:val="0"/>
        <w:adjustRightInd w:val="0"/>
        <w:snapToGrid w:val="0"/>
        <w:spacing w:line="440" w:lineRule="exact"/>
        <w:ind w:leftChars="100" w:right="0" w:rightChars="0"/>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strike w:val="0"/>
          <w:dstrike w:val="0"/>
          <w:color w:val="auto"/>
          <w:sz w:val="24"/>
          <w:szCs w:val="24"/>
          <w:highlight w:val="none"/>
          <w:lang w:val="en-US" w:eastAsia="zh-CN"/>
        </w:rPr>
        <w:t>4.</w:t>
      </w:r>
      <w:r>
        <w:rPr>
          <w:rFonts w:hint="eastAsia" w:ascii="宋体" w:hAnsi="宋体" w:eastAsia="宋体" w:cs="宋体"/>
          <w:color w:val="auto"/>
          <w:kern w:val="2"/>
          <w:sz w:val="24"/>
          <w:szCs w:val="24"/>
          <w:highlight w:val="none"/>
          <w:lang w:val="en-US" w:eastAsia="zh-CN" w:bidi="ar-SA"/>
        </w:rPr>
        <w:t>1.投标人必须按劳动法规定聘请各绿化养护工作人员，保证合法合规用工。男员工年龄≤60周岁，女员工年龄≤55周岁。为员工购买团体意外伤害保险，优先选择原有团队人员。</w:t>
      </w:r>
    </w:p>
    <w:p w14:paraId="04ACB506">
      <w:pPr>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0" w:right="0" w:firstLine="240" w:firstLineChars="100"/>
        <w:jc w:val="both"/>
        <w:textAlignment w:val="auto"/>
        <w:outlineLvl w:val="9"/>
        <w:rPr>
          <w:rFonts w:hint="eastAsia" w:ascii="宋体" w:hAnsi="宋体" w:eastAsia="宋体" w:cs="宋体"/>
          <w:b w:val="0"/>
          <w:bCs w:val="0"/>
          <w:strike w:val="0"/>
          <w:dstrike w:val="0"/>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4.2.投标人</w:t>
      </w:r>
      <w:r>
        <w:rPr>
          <w:rFonts w:hint="eastAsia" w:ascii="宋体" w:hAnsi="宋体" w:eastAsia="宋体" w:cs="宋体"/>
          <w:b w:val="0"/>
          <w:bCs/>
          <w:color w:val="auto"/>
          <w:spacing w:val="0"/>
          <w:kern w:val="0"/>
          <w:sz w:val="24"/>
          <w:szCs w:val="24"/>
          <w:highlight w:val="none"/>
          <w:lang w:val="en-US" w:eastAsia="zh-CN" w:bidi="ar-SA"/>
        </w:rPr>
        <w:t>设立至少一名项目负责人，具备绿化养护相关经验，负责各小区绿化养护问题的协调及处理，遇突发情况（如政府检查）需在接到通知2小时内抵达现场进行绿化处理。</w:t>
      </w:r>
    </w:p>
    <w:p w14:paraId="7E86494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firstLine="241" w:firstLineChars="1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5.</w:t>
      </w:r>
      <w:r>
        <w:rPr>
          <w:rFonts w:hint="eastAsia" w:ascii="宋体" w:hAnsi="宋体" w:eastAsia="宋体" w:cs="宋体"/>
          <w:b/>
          <w:bCs/>
          <w:color w:val="auto"/>
          <w:sz w:val="24"/>
          <w:szCs w:val="24"/>
          <w:highlight w:val="none"/>
          <w:lang w:val="en-US" w:eastAsia="zh-CN"/>
        </w:rPr>
        <w:t>日常绿化养护方案</w:t>
      </w:r>
      <w:r>
        <w:rPr>
          <w:rFonts w:hint="eastAsia" w:ascii="宋体" w:hAnsi="宋体" w:eastAsia="宋体" w:cs="宋体"/>
          <w:b w:val="0"/>
          <w:bCs w:val="0"/>
          <w:color w:val="auto"/>
          <w:sz w:val="24"/>
          <w:szCs w:val="24"/>
          <w:highlight w:val="none"/>
          <w:lang w:val="en-US" w:eastAsia="zh-CN"/>
        </w:rPr>
        <w:t>：中标人应提供针对本项目的日常绿化养护方案(含并不限于工作计划、养护方法、技术措施、人员设备配备、农药化肥使用管理等)。</w:t>
      </w:r>
    </w:p>
    <w:p w14:paraId="1DA3469D">
      <w:pPr>
        <w:pageBreakBefore w:val="0"/>
        <w:widowControl w:val="0"/>
        <w:kinsoku/>
        <w:wordWrap/>
        <w:overflowPunct/>
        <w:topLinePunct w:val="0"/>
        <w:autoSpaceDE/>
        <w:autoSpaceDN/>
        <w:bidi w:val="0"/>
        <w:adjustRightInd/>
        <w:snapToGrid/>
        <w:spacing w:before="0" w:after="0" w:line="440" w:lineRule="exact"/>
        <w:ind w:left="0" w:right="0" w:firstLine="241" w:firstLineChars="100"/>
        <w:jc w:val="both"/>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病虫害预防治理方案</w:t>
      </w:r>
      <w:r>
        <w:rPr>
          <w:rFonts w:hint="eastAsia" w:ascii="宋体" w:hAnsi="宋体" w:eastAsia="宋体" w:cs="宋体"/>
          <w:b w:val="0"/>
          <w:bCs w:val="0"/>
          <w:color w:val="auto"/>
          <w:sz w:val="24"/>
          <w:szCs w:val="24"/>
          <w:highlight w:val="none"/>
          <w:lang w:eastAsia="zh-CN"/>
        </w:rPr>
        <w:t>：中标人应提供</w:t>
      </w:r>
      <w:r>
        <w:rPr>
          <w:rFonts w:hint="eastAsia" w:ascii="宋体" w:hAnsi="宋体" w:eastAsia="宋体" w:cs="宋体"/>
          <w:b w:val="0"/>
          <w:bCs w:val="0"/>
          <w:color w:val="auto"/>
          <w:sz w:val="24"/>
          <w:szCs w:val="24"/>
          <w:highlight w:val="none"/>
        </w:rPr>
        <w:t>针对本项目的</w:t>
      </w:r>
      <w:r>
        <w:rPr>
          <w:rFonts w:hint="eastAsia" w:ascii="宋体" w:hAnsi="宋体" w:eastAsia="宋体" w:cs="宋体"/>
          <w:b w:val="0"/>
          <w:bCs w:val="0"/>
          <w:color w:val="auto"/>
          <w:sz w:val="24"/>
          <w:szCs w:val="24"/>
          <w:highlight w:val="none"/>
          <w:lang w:eastAsia="zh-CN"/>
        </w:rPr>
        <w:t>病虫害预防治理方案。</w:t>
      </w:r>
    </w:p>
    <w:p w14:paraId="7CB9F2B9">
      <w:pPr>
        <w:pageBreakBefore w:val="0"/>
        <w:widowControl w:val="0"/>
        <w:kinsoku/>
        <w:wordWrap/>
        <w:overflowPunct/>
        <w:topLinePunct w:val="0"/>
        <w:autoSpaceDE/>
        <w:autoSpaceDN/>
        <w:bidi w:val="0"/>
        <w:adjustRightInd/>
        <w:snapToGrid/>
        <w:spacing w:line="440" w:lineRule="exact"/>
        <w:ind w:left="0" w:right="0" w:firstLine="241" w:firstLineChars="1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极端天气养护方案及应急预案</w:t>
      </w:r>
      <w:r>
        <w:rPr>
          <w:rFonts w:hint="eastAsia" w:ascii="宋体" w:hAnsi="宋体" w:eastAsia="宋体" w:cs="宋体"/>
          <w:b w:val="0"/>
          <w:bCs w:val="0"/>
          <w:color w:val="auto"/>
          <w:sz w:val="24"/>
          <w:szCs w:val="24"/>
          <w:highlight w:val="none"/>
          <w:lang w:eastAsia="zh-CN"/>
        </w:rPr>
        <w:t>：中标人应提供</w:t>
      </w:r>
      <w:r>
        <w:rPr>
          <w:rFonts w:hint="eastAsia" w:ascii="宋体" w:hAnsi="宋体" w:eastAsia="宋体" w:cs="宋体"/>
          <w:b w:val="0"/>
          <w:bCs w:val="0"/>
          <w:color w:val="auto"/>
          <w:sz w:val="24"/>
          <w:szCs w:val="24"/>
          <w:highlight w:val="none"/>
        </w:rPr>
        <w:t>针对本</w:t>
      </w:r>
      <w:r>
        <w:rPr>
          <w:rFonts w:hint="eastAsia" w:ascii="宋体" w:hAnsi="宋体" w:eastAsia="宋体" w:cs="宋体"/>
          <w:b w:val="0"/>
          <w:bCs w:val="0"/>
          <w:color w:val="auto"/>
          <w:sz w:val="24"/>
          <w:szCs w:val="24"/>
          <w:highlight w:val="none"/>
          <w:lang w:val="en-US" w:eastAsia="zh-CN" w:bidi="ar-SA"/>
        </w:rPr>
        <w:t>项目的极端天气养护方案及应急预案。</w:t>
      </w:r>
    </w:p>
    <w:p w14:paraId="59F5CF71">
      <w:pPr>
        <w:pStyle w:val="11"/>
        <w:pageBreakBefore w:val="0"/>
        <w:kinsoku/>
        <w:wordWrap/>
        <w:overflowPunct/>
        <w:topLinePunct w:val="0"/>
        <w:autoSpaceDE/>
        <w:autoSpaceDN/>
        <w:bidi w:val="0"/>
        <w:adjustRightInd/>
        <w:snapToGrid/>
        <w:spacing w:beforeAutospacing="0" w:afterAutospacing="0" w:line="440" w:lineRule="exact"/>
        <w:ind w:left="0" w:right="0" w:firstLine="241" w:firstLineChars="100"/>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8.</w:t>
      </w:r>
      <w:r>
        <w:rPr>
          <w:rFonts w:hint="eastAsia" w:ascii="宋体" w:hAnsi="宋体" w:eastAsia="宋体" w:cs="宋体"/>
          <w:b/>
          <w:bCs w:val="0"/>
          <w:color w:val="auto"/>
          <w:sz w:val="24"/>
          <w:szCs w:val="24"/>
          <w:highlight w:val="none"/>
          <w:lang w:eastAsia="zh-CN"/>
        </w:rPr>
        <w:t>绿化服务</w:t>
      </w:r>
      <w:r>
        <w:rPr>
          <w:rFonts w:hint="eastAsia" w:ascii="宋体" w:hAnsi="宋体" w:eastAsia="宋体" w:cs="宋体"/>
          <w:b/>
          <w:bCs w:val="0"/>
          <w:color w:val="auto"/>
          <w:sz w:val="24"/>
          <w:szCs w:val="24"/>
          <w:highlight w:val="none"/>
        </w:rPr>
        <w:t>质量考核管理办法</w:t>
      </w:r>
    </w:p>
    <w:p w14:paraId="49ADA20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采购人将根据</w:t>
      </w:r>
      <w:r>
        <w:rPr>
          <w:rFonts w:hint="eastAsia" w:ascii="宋体" w:hAnsi="宋体" w:eastAsia="宋体" w:cs="宋体"/>
          <w:b w:val="0"/>
          <w:bCs/>
          <w:color w:val="auto"/>
          <w:sz w:val="24"/>
          <w:szCs w:val="24"/>
          <w:highlight w:val="none"/>
          <w:lang w:eastAsia="zh-CN"/>
        </w:rPr>
        <w:t>物业</w:t>
      </w:r>
      <w:r>
        <w:rPr>
          <w:rFonts w:hint="eastAsia" w:ascii="宋体" w:hAnsi="宋体" w:eastAsia="宋体" w:cs="宋体"/>
          <w:b w:val="0"/>
          <w:bCs/>
          <w:color w:val="auto"/>
          <w:sz w:val="24"/>
          <w:szCs w:val="24"/>
          <w:highlight w:val="none"/>
        </w:rPr>
        <w:t>相关管理规定对绿化养护服务整体情况进行考评。检查分为</w:t>
      </w:r>
      <w:r>
        <w:rPr>
          <w:rFonts w:hint="eastAsia" w:ascii="宋体" w:hAnsi="宋体" w:eastAsia="宋体" w:cs="宋体"/>
          <w:b w:val="0"/>
          <w:bCs/>
          <w:color w:val="auto"/>
          <w:sz w:val="24"/>
          <w:szCs w:val="24"/>
          <w:highlight w:val="none"/>
          <w:lang w:eastAsia="zh-CN"/>
        </w:rPr>
        <w:t>季</w:t>
      </w:r>
      <w:r>
        <w:rPr>
          <w:rFonts w:hint="eastAsia" w:ascii="宋体" w:hAnsi="宋体" w:eastAsia="宋体" w:cs="宋体"/>
          <w:b w:val="0"/>
          <w:bCs/>
          <w:color w:val="auto"/>
          <w:sz w:val="24"/>
          <w:szCs w:val="24"/>
          <w:highlight w:val="none"/>
        </w:rPr>
        <w:t>度检查及抽查。检查考核的结果将作为对中标人的养护质量评价、合同价款</w:t>
      </w:r>
    </w:p>
    <w:p w14:paraId="03ADBBCA">
      <w:pPr>
        <w:keepNext w:val="0"/>
        <w:keepLines w:val="0"/>
        <w:pageBreakBefore w:val="0"/>
        <w:widowControl w:val="0"/>
        <w:suppressLineNumbers w:val="0"/>
        <w:kinsoku/>
        <w:wordWrap/>
        <w:topLinePunct w:val="0"/>
        <w:bidi w:val="0"/>
        <w:spacing w:beforeAutospacing="0" w:afterAutospacing="0" w:line="440" w:lineRule="exact"/>
        <w:ind w:right="0" w:rightChars="0"/>
        <w:jc w:val="both"/>
        <w:textAlignment w:val="auto"/>
        <w:outlineLvl w:val="9"/>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sz w:val="24"/>
          <w:szCs w:val="24"/>
          <w:highlight w:val="none"/>
        </w:rPr>
        <w:t>支付以及其他奖惩的依据。</w:t>
      </w:r>
      <w:r>
        <w:rPr>
          <w:rFonts w:hint="eastAsia" w:ascii="宋体" w:hAnsi="宋体" w:eastAsia="宋体" w:cs="宋体"/>
          <w:b w:val="0"/>
          <w:bCs/>
          <w:color w:val="auto"/>
          <w:kern w:val="0"/>
          <w:sz w:val="24"/>
          <w:szCs w:val="24"/>
          <w:highlight w:val="none"/>
          <w:lang w:val="en-US" w:eastAsia="zh-CN" w:bidi="ar"/>
        </w:rPr>
        <w:t>《绿化养护工作季考核表》详见附件1。</w:t>
      </w:r>
    </w:p>
    <w:p w14:paraId="55076CEB">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241" w:firstLineChars="100"/>
        <w:jc w:val="both"/>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9.奖罚措施</w:t>
      </w:r>
    </w:p>
    <w:p w14:paraId="3A4B3D67">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供应商季度得分=各小区每季度得分之和÷小区个数，</w:t>
      </w:r>
      <w:r>
        <w:rPr>
          <w:rFonts w:hint="eastAsia" w:ascii="宋体" w:hAnsi="宋体" w:eastAsia="宋体" w:cs="宋体"/>
          <w:b w:val="0"/>
          <w:bCs w:val="0"/>
          <w:color w:val="auto"/>
          <w:kern w:val="0"/>
          <w:sz w:val="24"/>
          <w:szCs w:val="24"/>
          <w:highlight w:val="none"/>
          <w:lang w:val="en-US" w:eastAsia="zh-CN" w:bidi="ar"/>
        </w:rPr>
        <w:t>采购人根据中标人每季的考核分数支付相应比例的服务费。供</w:t>
      </w:r>
      <w:r>
        <w:rPr>
          <w:rFonts w:hint="eastAsia" w:ascii="宋体" w:hAnsi="宋体" w:eastAsia="宋体" w:cs="宋体"/>
          <w:b w:val="0"/>
          <w:bCs w:val="0"/>
          <w:color w:val="auto"/>
          <w:kern w:val="2"/>
          <w:sz w:val="24"/>
          <w:szCs w:val="24"/>
          <w:highlight w:val="none"/>
          <w:lang w:val="en-US" w:eastAsia="zh-CN" w:bidi="ar-SA"/>
        </w:rPr>
        <w:t xml:space="preserve">应商每季得分分为优秀（90分以上）、合格（89分～80分）、基本合格（79分～75分）、不合格（75分以下），并给予相应奖惩。 </w:t>
      </w:r>
    </w:p>
    <w:p w14:paraId="704644F4">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1.对成交人的奖惩规定：</w:t>
      </w:r>
    </w:p>
    <w:p w14:paraId="3FABA4DA">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服务费处罚规定，按照下列比例扣除：</w:t>
      </w:r>
    </w:p>
    <w:p w14:paraId="1C6B9E1B">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①成交人季得分90分（含）以上为优秀，全额核拨当季服务费；</w:t>
      </w:r>
    </w:p>
    <w:p w14:paraId="05237928">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②成交人季得分89分～80分的，扣当季服务费3%的标准进行扣除；</w:t>
      </w:r>
    </w:p>
    <w:p w14:paraId="753CB494">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③成交人季得分79分～75分的，扣当季服务费5%的标准进行扣除，同时对成交人发整改通知书通报批评；</w:t>
      </w:r>
    </w:p>
    <w:p w14:paraId="2933D611">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④成交人季得分75分以下的扣当季服务费10%。</w:t>
      </w:r>
    </w:p>
    <w:p w14:paraId="5B2352A9">
      <w:pPr>
        <w:pStyle w:val="6"/>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440" w:lineRule="exact"/>
        <w:ind w:left="0" w:right="0" w:rightChars="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2.终止合同规定：有</w:t>
      </w:r>
      <w:r>
        <w:rPr>
          <w:rFonts w:hint="eastAsia" w:ascii="宋体" w:hAnsi="宋体" w:eastAsia="宋体" w:cs="宋体"/>
          <w:color w:val="auto"/>
          <w:kern w:val="2"/>
          <w:sz w:val="24"/>
          <w:szCs w:val="24"/>
          <w:highlight w:val="none"/>
          <w:lang w:val="en-US" w:eastAsia="zh-CN" w:bidi="ar-SA"/>
        </w:rPr>
        <w:t>下列情形之一的，采购人有权随时终止中标合同，并没收履约保证金。</w:t>
      </w:r>
    </w:p>
    <w:p w14:paraId="0BC727A7">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①经考评，成交人连续二季度考评得分低于85分或连续一季度考评得分低于75分，采购人有权单方解除合同，责令成交人退出。</w:t>
      </w:r>
    </w:p>
    <w:p w14:paraId="02C63C82">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②如成交人聘任的绿化服务一年内出现三次以上违背小区物业管理等行为，经查属实的。</w:t>
      </w:r>
    </w:p>
    <w:p w14:paraId="18899D33">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③成交人非法转包、分包或以其它任何形式转分包的。</w:t>
      </w:r>
    </w:p>
    <w:p w14:paraId="6135B7FF">
      <w:pPr>
        <w:pageBreakBefore w:val="0"/>
        <w:widowControl w:val="0"/>
        <w:kinsoku/>
        <w:wordWrap/>
        <w:overflowPunct w:val="0"/>
        <w:topLinePunct w:val="0"/>
        <w:autoSpaceDE w:val="0"/>
        <w:autoSpaceDN w:val="0"/>
        <w:bidi w:val="0"/>
        <w:adjustRightInd w:val="0"/>
        <w:spacing w:line="440" w:lineRule="exact"/>
        <w:ind w:left="0" w:right="0" w:firstLine="482" w:firstLineChars="200"/>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10.服务费最高限价：</w:t>
      </w:r>
    </w:p>
    <w:p w14:paraId="47FE9950">
      <w:pPr>
        <w:pageBreakBefore w:val="0"/>
        <w:kinsoku/>
        <w:wordWrap/>
        <w:topLinePunct w:val="0"/>
        <w:bidi w:val="0"/>
        <w:spacing w:line="440" w:lineRule="exact"/>
        <w:ind w:left="0" w:right="0" w:firstLine="480" w:firstLineChars="200"/>
        <w:jc w:val="both"/>
        <w:outlineLvl w:val="9"/>
        <w:rPr>
          <w:rFonts w:hint="eastAsia" w:ascii="宋体" w:hAnsi="宋体" w:eastAsia="宋体" w:cs="宋体"/>
          <w:b w:val="0"/>
          <w:bCs w:val="0"/>
          <w:color w:val="auto"/>
          <w:kern w:val="28"/>
          <w:sz w:val="24"/>
          <w:szCs w:val="24"/>
          <w:highlight w:val="none"/>
          <w:lang w:val="en-US" w:eastAsia="zh-CN" w:bidi="ar-SA"/>
        </w:rPr>
      </w:pPr>
      <w:r>
        <w:rPr>
          <w:rFonts w:hint="eastAsia" w:ascii="宋体" w:hAnsi="宋体" w:eastAsia="宋体" w:cs="宋体"/>
          <w:b w:val="0"/>
          <w:bCs w:val="0"/>
          <w:color w:val="auto"/>
          <w:kern w:val="28"/>
          <w:sz w:val="24"/>
          <w:szCs w:val="24"/>
          <w:highlight w:val="none"/>
          <w:lang w:val="en-US" w:eastAsia="zh-CN" w:bidi="ar-SA"/>
        </w:rPr>
        <w:t>10.1. 绿化养护服务费：最高限价不高于</w:t>
      </w:r>
      <w:r>
        <w:rPr>
          <w:rFonts w:hint="eastAsia" w:ascii="宋体" w:hAnsi="宋体" w:cs="宋体"/>
          <w:b/>
          <w:bCs/>
          <w:color w:val="auto"/>
          <w:kern w:val="28"/>
          <w:sz w:val="24"/>
          <w:szCs w:val="24"/>
          <w:highlight w:val="none"/>
          <w:lang w:val="en-US" w:eastAsia="zh-CN" w:bidi="ar-SA"/>
        </w:rPr>
        <w:t>140636.43</w:t>
      </w:r>
      <w:r>
        <w:rPr>
          <w:rFonts w:hint="eastAsia" w:ascii="宋体" w:hAnsi="宋体" w:eastAsia="宋体" w:cs="宋体"/>
          <w:b/>
          <w:bCs/>
          <w:color w:val="auto"/>
          <w:kern w:val="28"/>
          <w:sz w:val="24"/>
          <w:szCs w:val="24"/>
          <w:highlight w:val="none"/>
          <w:lang w:val="en-US" w:eastAsia="zh-CN" w:bidi="ar-SA"/>
        </w:rPr>
        <w:t>元（含税）</w:t>
      </w:r>
      <w:r>
        <w:rPr>
          <w:rFonts w:hint="eastAsia" w:ascii="宋体" w:hAnsi="宋体" w:eastAsia="宋体" w:cs="宋体"/>
          <w:b w:val="0"/>
          <w:bCs w:val="0"/>
          <w:color w:val="auto"/>
          <w:kern w:val="28"/>
          <w:sz w:val="24"/>
          <w:szCs w:val="24"/>
          <w:highlight w:val="none"/>
          <w:lang w:val="en-US" w:eastAsia="zh-CN" w:bidi="ar-SA"/>
        </w:rPr>
        <w:t>，即每月0.25元/平方米，面积约</w:t>
      </w:r>
      <w:r>
        <w:rPr>
          <w:rFonts w:hint="eastAsia" w:ascii="宋体" w:hAnsi="宋体" w:cs="宋体"/>
          <w:b w:val="0"/>
          <w:bCs/>
          <w:color w:val="auto"/>
          <w:sz w:val="24"/>
          <w:szCs w:val="24"/>
          <w:highlight w:val="none"/>
          <w:vertAlign w:val="baseline"/>
          <w:lang w:val="en-US" w:eastAsia="zh-CN"/>
        </w:rPr>
        <w:t>46878.81</w:t>
      </w:r>
      <w:r>
        <w:rPr>
          <w:rFonts w:hint="eastAsia" w:ascii="宋体" w:hAnsi="宋体" w:eastAsia="宋体" w:cs="宋体"/>
          <w:b w:val="0"/>
          <w:bCs w:val="0"/>
          <w:color w:val="auto"/>
          <w:kern w:val="28"/>
          <w:sz w:val="24"/>
          <w:szCs w:val="24"/>
          <w:highlight w:val="none"/>
          <w:lang w:val="en-US" w:eastAsia="zh-CN" w:bidi="ar-SA"/>
        </w:rPr>
        <w:t>㎡（具体面积以实际面积为准）。</w:t>
      </w:r>
      <w:r>
        <w:rPr>
          <w:rFonts w:hint="eastAsia" w:ascii="宋体" w:hAnsi="宋体" w:eastAsia="宋体" w:cs="宋体"/>
          <w:b/>
          <w:bCs/>
          <w:color w:val="auto"/>
          <w:kern w:val="28"/>
          <w:sz w:val="24"/>
          <w:szCs w:val="24"/>
          <w:highlight w:val="none"/>
          <w:lang w:val="en-US" w:eastAsia="zh-CN" w:bidi="ar-SA"/>
        </w:rPr>
        <w:t>合同期内涉及新增或减少绿化养护面积的，合同价按实结算。</w:t>
      </w:r>
    </w:p>
    <w:p w14:paraId="50187DF8">
      <w:pPr>
        <w:pageBreakBefore w:val="0"/>
        <w:kinsoku/>
        <w:wordWrap/>
        <w:topLinePunct w:val="0"/>
        <w:bidi w:val="0"/>
        <w:spacing w:line="440" w:lineRule="exact"/>
        <w:ind w:left="0" w:right="0" w:firstLine="480" w:firstLineChars="200"/>
        <w:jc w:val="both"/>
        <w:outlineLvl w:val="9"/>
        <w:rPr>
          <w:rFonts w:hint="eastAsia" w:ascii="宋体" w:hAnsi="宋体" w:eastAsia="宋体" w:cs="宋体"/>
          <w:b w:val="0"/>
          <w:bCs w:val="0"/>
          <w:color w:val="auto"/>
          <w:kern w:val="28"/>
          <w:sz w:val="24"/>
          <w:szCs w:val="24"/>
          <w:highlight w:val="none"/>
          <w:lang w:val="en-US" w:eastAsia="zh-CN" w:bidi="ar-SA"/>
        </w:rPr>
      </w:pPr>
      <w:r>
        <w:rPr>
          <w:rFonts w:hint="eastAsia" w:ascii="宋体" w:hAnsi="宋体" w:eastAsia="宋体" w:cs="宋体"/>
          <w:b w:val="0"/>
          <w:bCs w:val="0"/>
          <w:color w:val="auto"/>
          <w:kern w:val="28"/>
          <w:sz w:val="24"/>
          <w:szCs w:val="24"/>
          <w:highlight w:val="none"/>
          <w:lang w:val="en-US" w:eastAsia="zh-CN" w:bidi="ar-SA"/>
        </w:rPr>
        <w:t>10.2. 本项目不集中组织现场踏勘，投标人可根据招标文件所提供的内容要求自行踏勘现场(相关责任由投标人自行承担)，投标人对本次绿化养护服务范围的现状应有充分认识，自行判断能够完成本项目的作业服务工作所需的费用。中标后，成交人不得以实际情况与现场不一致而要求采购人给予以补偿。</w:t>
      </w:r>
    </w:p>
    <w:p w14:paraId="083FFFA5">
      <w:pPr>
        <w:pStyle w:val="6"/>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8"/>
          <w:sz w:val="24"/>
          <w:szCs w:val="24"/>
          <w:highlight w:val="none"/>
          <w:lang w:val="en-US" w:eastAsia="zh-CN" w:bidi="ar-SA"/>
        </w:rPr>
        <w:t>10.3.本项目实行以绿化面积综合单价为结算基础的总价包工包料制（承包费用包含内容：包工包料包安全风险全包的方式，即承包总费用中包含各种直接和间接费用，如公司税费、服务人员的工资和教育福利费、服装费、各项社会医疗劳动保险、意外伤害保险项目、绿化日常修剪垃圾的清运处理，绿化养护所有工具、机器、肥料、农药等等，以及在服务过程中所需的低值易耗品等所有均包含在承包费中）。</w:t>
      </w:r>
    </w:p>
    <w:p w14:paraId="1FDC016B">
      <w:pPr>
        <w:pStyle w:val="6"/>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10.4.本项目报价包含成交人完成本项目及其他一切不可预见的费用，采购人不再另行支付其它费用。</w:t>
      </w:r>
    </w:p>
    <w:p w14:paraId="129637DD">
      <w:pPr>
        <w:pStyle w:val="6"/>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10.5.除由于采购人需求变更外，成交人应承担本文件规定的所有费用和不可预见费用。</w:t>
      </w:r>
    </w:p>
    <w:p w14:paraId="5138AF0E">
      <w:pPr>
        <w:pageBreakBefore w:val="0"/>
        <w:numPr>
          <w:ilvl w:val="0"/>
          <w:numId w:val="0"/>
        </w:numPr>
        <w:kinsoku/>
        <w:wordWrap/>
        <w:topLinePunct w:val="0"/>
        <w:bidi w:val="0"/>
        <w:spacing w:line="440" w:lineRule="exact"/>
        <w:ind w:left="0" w:right="0" w:firstLine="482" w:firstLineChars="200"/>
        <w:jc w:val="both"/>
        <w:outlineLvl w:val="9"/>
        <w:rPr>
          <w:rFonts w:hint="eastAsia" w:ascii="宋体" w:hAnsi="宋体" w:eastAsia="宋体" w:cs="宋体"/>
          <w:b w:val="0"/>
          <w:bCs w:val="0"/>
          <w:color w:val="auto"/>
          <w:kern w:val="28"/>
          <w:sz w:val="24"/>
          <w:szCs w:val="24"/>
          <w:highlight w:val="none"/>
          <w:lang w:val="en-US" w:eastAsia="zh-CN" w:bidi="ar-SA"/>
        </w:rPr>
      </w:pPr>
      <w:r>
        <w:rPr>
          <w:rFonts w:hint="eastAsia" w:ascii="宋体" w:hAnsi="宋体" w:eastAsia="宋体" w:cs="宋体"/>
          <w:b/>
          <w:bCs/>
          <w:color w:val="auto"/>
          <w:kern w:val="28"/>
          <w:sz w:val="24"/>
          <w:szCs w:val="24"/>
          <w:highlight w:val="none"/>
          <w:lang w:val="en-US" w:eastAsia="zh-CN" w:bidi="ar-SA"/>
        </w:rPr>
        <w:t>11.服务期限：</w:t>
      </w:r>
      <w:r>
        <w:rPr>
          <w:rFonts w:hint="eastAsia" w:ascii="宋体" w:hAnsi="宋体" w:eastAsia="宋体" w:cs="宋体"/>
          <w:b w:val="0"/>
          <w:bCs w:val="0"/>
          <w:color w:val="auto"/>
          <w:kern w:val="28"/>
          <w:sz w:val="24"/>
          <w:szCs w:val="24"/>
          <w:highlight w:val="none"/>
          <w:lang w:val="en-US" w:eastAsia="zh-CN" w:bidi="ar-SA"/>
        </w:rPr>
        <w:t>壹年。</w:t>
      </w:r>
      <w:r>
        <w:rPr>
          <w:rFonts w:hint="eastAsia" w:ascii="宋体" w:hAnsi="宋体" w:cs="宋体"/>
          <w:b w:val="0"/>
          <w:bCs w:val="0"/>
          <w:color w:val="auto"/>
          <w:kern w:val="28"/>
          <w:sz w:val="24"/>
          <w:szCs w:val="24"/>
          <w:highlight w:val="none"/>
          <w:lang w:val="en-US" w:eastAsia="zh-CN" w:bidi="ar-SA"/>
        </w:rPr>
        <w:t>成交人在中标通知书发出后7天内与采购人签订合同；合同签订后3天内项目负责人应与采购单位联系人进行对接</w:t>
      </w:r>
      <w:r>
        <w:rPr>
          <w:rFonts w:hint="eastAsia" w:ascii="宋体" w:hAnsi="宋体" w:eastAsia="宋体" w:cs="宋体"/>
          <w:b w:val="0"/>
          <w:bCs w:val="0"/>
          <w:color w:val="auto"/>
          <w:kern w:val="28"/>
          <w:sz w:val="24"/>
          <w:szCs w:val="24"/>
          <w:highlight w:val="none"/>
          <w:lang w:val="en-US" w:eastAsia="zh-CN" w:bidi="ar-SA"/>
        </w:rPr>
        <w:t>。</w:t>
      </w:r>
    </w:p>
    <w:p w14:paraId="0478D60F">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482"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8"/>
          <w:sz w:val="24"/>
          <w:szCs w:val="24"/>
          <w:highlight w:val="none"/>
          <w:lang w:val="en-US" w:eastAsia="zh-CN" w:bidi="ar-SA"/>
        </w:rPr>
        <w:t>12.履约保证金：</w:t>
      </w:r>
      <w:r>
        <w:rPr>
          <w:rFonts w:hint="eastAsia" w:ascii="宋体" w:hAnsi="宋体" w:eastAsia="宋体" w:cs="宋体"/>
          <w:b w:val="0"/>
          <w:bCs w:val="0"/>
          <w:color w:val="auto"/>
          <w:kern w:val="28"/>
          <w:sz w:val="24"/>
          <w:szCs w:val="24"/>
          <w:highlight w:val="none"/>
          <w:lang w:val="en-US" w:eastAsia="zh-CN" w:bidi="ar-SA"/>
        </w:rPr>
        <w:t>本项目要求提交</w:t>
      </w:r>
      <w:r>
        <w:rPr>
          <w:rFonts w:hint="eastAsia" w:ascii="宋体" w:hAnsi="宋体" w:eastAsia="宋体" w:cs="宋体"/>
          <w:color w:val="auto"/>
          <w:kern w:val="2"/>
          <w:sz w:val="24"/>
          <w:szCs w:val="24"/>
          <w:highlight w:val="none"/>
          <w:lang w:val="en-US" w:eastAsia="zh-CN" w:bidi="ar-SA"/>
        </w:rPr>
        <w:t>履约保证金；履约保证金百分比：</w:t>
      </w:r>
      <w:r>
        <w:rPr>
          <w:rFonts w:hint="eastAsia" w:ascii="宋体" w:hAnsi="宋体" w:eastAsia="宋体" w:cs="宋体"/>
          <w:b w:val="0"/>
          <w:bCs w:val="0"/>
          <w:color w:val="auto"/>
          <w:kern w:val="28"/>
          <w:sz w:val="24"/>
          <w:szCs w:val="24"/>
          <w:highlight w:val="none"/>
          <w:lang w:val="en-US" w:eastAsia="zh-CN" w:bidi="ar-SA"/>
        </w:rPr>
        <w:t>签约合同价</w:t>
      </w:r>
      <w:r>
        <w:rPr>
          <w:rFonts w:hint="eastAsia" w:ascii="宋体" w:hAnsi="宋体" w:eastAsia="宋体" w:cs="宋体"/>
          <w:color w:val="auto"/>
          <w:kern w:val="2"/>
          <w:sz w:val="24"/>
          <w:szCs w:val="24"/>
          <w:highlight w:val="none"/>
          <w:lang w:val="en-US" w:eastAsia="zh-CN" w:bidi="ar-SA"/>
        </w:rPr>
        <w:t>5%。说明：提交时间：合同签订前；退还方式：签订合同后，履约保证金在合同期满后凭缴交履约保证金凭据、合同和采购单位出具的书面意见（如有处罚，应按规定扣除相应处罚后）无息退还。提交方式：成交人可以选择转账或电汇、银行保函等形式之一在签订合同之前提交。</w:t>
      </w:r>
    </w:p>
    <w:p w14:paraId="130B6B64">
      <w:pPr>
        <w:pageBreakBefore w:val="0"/>
        <w:kinsoku/>
        <w:wordWrap/>
        <w:topLinePunct w:val="0"/>
        <w:bidi w:val="0"/>
        <w:spacing w:line="440" w:lineRule="exact"/>
        <w:ind w:left="0" w:right="0" w:firstLine="482" w:firstLineChars="200"/>
        <w:jc w:val="both"/>
        <w:outlineLvl w:val="9"/>
        <w:rPr>
          <w:rFonts w:hint="eastAsia" w:ascii="宋体" w:hAnsi="宋体" w:eastAsia="宋体" w:cs="宋体"/>
          <w:b/>
          <w:bCs/>
          <w:color w:val="auto"/>
          <w:kern w:val="28"/>
          <w:sz w:val="24"/>
          <w:szCs w:val="24"/>
          <w:highlight w:val="none"/>
          <w:lang w:val="en-US" w:eastAsia="zh-CN" w:bidi="ar-SA"/>
        </w:rPr>
      </w:pPr>
      <w:r>
        <w:rPr>
          <w:rFonts w:hint="eastAsia" w:ascii="宋体" w:hAnsi="宋体" w:eastAsia="宋体" w:cs="宋体"/>
          <w:b/>
          <w:bCs/>
          <w:color w:val="auto"/>
          <w:kern w:val="28"/>
          <w:sz w:val="24"/>
          <w:szCs w:val="24"/>
          <w:highlight w:val="none"/>
          <w:lang w:val="en-US" w:eastAsia="zh-CN" w:bidi="ar-SA"/>
        </w:rPr>
        <w:t>13.付款方式：</w:t>
      </w:r>
    </w:p>
    <w:p w14:paraId="30C630DD">
      <w:pPr>
        <w:pageBreakBefore w:val="0"/>
        <w:kinsoku/>
        <w:wordWrap/>
        <w:topLinePunct w:val="0"/>
        <w:bidi w:val="0"/>
        <w:spacing w:line="440" w:lineRule="exact"/>
        <w:ind w:left="0" w:right="0" w:firstLine="480" w:firstLineChars="200"/>
        <w:jc w:val="both"/>
        <w:outlineLvl w:val="9"/>
        <w:rPr>
          <w:rFonts w:hint="eastAsia" w:ascii="宋体" w:hAnsi="宋体" w:eastAsia="宋体" w:cs="宋体"/>
          <w:b w:val="0"/>
          <w:bCs w:val="0"/>
          <w:color w:val="auto"/>
          <w:kern w:val="28"/>
          <w:sz w:val="24"/>
          <w:szCs w:val="24"/>
          <w:highlight w:val="none"/>
          <w:lang w:val="en-US" w:eastAsia="zh-CN" w:bidi="ar-SA"/>
        </w:rPr>
      </w:pPr>
      <w:r>
        <w:rPr>
          <w:rFonts w:hint="eastAsia" w:ascii="宋体" w:hAnsi="宋体" w:eastAsia="宋体" w:cs="宋体"/>
          <w:b w:val="0"/>
          <w:bCs w:val="0"/>
          <w:color w:val="auto"/>
          <w:kern w:val="28"/>
          <w:sz w:val="24"/>
          <w:szCs w:val="24"/>
          <w:highlight w:val="none"/>
          <w:lang w:val="en-US" w:eastAsia="zh-CN" w:bidi="ar-SA"/>
        </w:rPr>
        <w:t>按季度支付，成交人在次季度首月</w:t>
      </w:r>
      <w:r>
        <w:rPr>
          <w:rFonts w:hint="eastAsia" w:ascii="宋体" w:hAnsi="宋体" w:cs="宋体"/>
          <w:b w:val="0"/>
          <w:bCs w:val="0"/>
          <w:color w:val="auto"/>
          <w:kern w:val="28"/>
          <w:sz w:val="24"/>
          <w:szCs w:val="24"/>
          <w:highlight w:val="none"/>
          <w:lang w:val="en-US" w:eastAsia="zh-CN" w:bidi="ar-SA"/>
        </w:rPr>
        <w:t>15日前提供前一季度的服务费</w:t>
      </w:r>
      <w:r>
        <w:rPr>
          <w:rFonts w:hint="eastAsia" w:ascii="宋体" w:hAnsi="宋体" w:eastAsia="宋体" w:cs="宋体"/>
          <w:b w:val="0"/>
          <w:bCs w:val="0"/>
          <w:color w:val="auto"/>
          <w:kern w:val="28"/>
          <w:sz w:val="24"/>
          <w:szCs w:val="24"/>
          <w:highlight w:val="none"/>
          <w:lang w:val="en-US" w:eastAsia="zh-CN" w:bidi="ar-SA"/>
        </w:rPr>
        <w:t>专用发票（根据考核情况，按照不同等级进行付款），采购人收到发票后15个工作日内支付。</w:t>
      </w:r>
    </w:p>
    <w:p w14:paraId="41EB3380">
      <w:pPr>
        <w:pageBreakBefore w:val="0"/>
        <w:kinsoku/>
        <w:wordWrap/>
        <w:topLinePunct w:val="0"/>
        <w:bidi w:val="0"/>
        <w:spacing w:line="440" w:lineRule="exact"/>
        <w:ind w:left="0" w:right="0" w:firstLine="482" w:firstLineChars="200"/>
        <w:jc w:val="both"/>
        <w:outlineLvl w:val="9"/>
        <w:rPr>
          <w:rFonts w:hint="eastAsia" w:ascii="宋体" w:hAnsi="宋体" w:eastAsia="宋体" w:cs="宋体"/>
          <w:b/>
          <w:bCs/>
          <w:color w:val="auto"/>
          <w:kern w:val="28"/>
          <w:sz w:val="24"/>
          <w:szCs w:val="24"/>
          <w:highlight w:val="none"/>
          <w:lang w:val="en-US" w:eastAsia="zh-CN" w:bidi="ar-SA"/>
        </w:rPr>
      </w:pPr>
      <w:r>
        <w:rPr>
          <w:rFonts w:hint="eastAsia" w:ascii="宋体" w:hAnsi="宋体" w:eastAsia="宋体" w:cs="宋体"/>
          <w:b/>
          <w:bCs/>
          <w:color w:val="auto"/>
          <w:kern w:val="28"/>
          <w:sz w:val="24"/>
          <w:szCs w:val="24"/>
          <w:highlight w:val="none"/>
          <w:lang w:val="en-US" w:eastAsia="zh-CN" w:bidi="ar-SA"/>
        </w:rPr>
        <w:t>14.工作要求（具体以《绿化养护服务采购合同》为准）。详见</w:t>
      </w:r>
      <w:r>
        <w:rPr>
          <w:rFonts w:hint="eastAsia" w:ascii="宋体" w:hAnsi="宋体" w:eastAsia="宋体" w:cs="宋体"/>
          <w:b/>
          <w:bCs/>
          <w:color w:val="auto"/>
          <w:kern w:val="28"/>
          <w:sz w:val="24"/>
          <w:szCs w:val="24"/>
          <w:highlight w:val="none"/>
          <w:u w:val="single"/>
          <w:lang w:val="en-US" w:eastAsia="zh-CN" w:bidi="ar-SA"/>
        </w:rPr>
        <w:t>附件2。</w:t>
      </w:r>
    </w:p>
    <w:p w14:paraId="7B756F34">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35B39C5">
      <w:pPr>
        <w:widowControl/>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竞价人须具备国内注册的独立法人资格，提供合格的企业法人营业执照副本扫描件。</w:t>
      </w:r>
    </w:p>
    <w:p w14:paraId="3EC7290F">
      <w:pPr>
        <w:widowControl/>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单位负责人为同一人或者存在控股、管理关系的不同单位，不得参加同一标段投标或者未划分标段的同一招标项目的投标，否则相关投标均无效。竞价人须提供国家企业信用信息公示系统https://shiming.gsxt.gov.cn/公布的股东及出资信息信息查询网页打印件或截图；</w:t>
      </w:r>
    </w:p>
    <w:p w14:paraId="47E32611">
      <w:pPr>
        <w:widowControl/>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2.经验证明：竞价人须提供2份自2020年1月1 日至本公告发布之日前（以合同签订日期为准）的绿化养护合同复印件及合同对应发票复印件（至少1张）；合同须至少包含双方印章、合同标的内容、签订时间等关键信息。</w:t>
      </w:r>
    </w:p>
    <w:p w14:paraId="43554C55">
      <w:pPr>
        <w:spacing w:line="520" w:lineRule="exact"/>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0565F9F0">
      <w:pPr>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w:t>
      </w:r>
      <w:r>
        <w:rPr>
          <w:rFonts w:hint="eastAsia" w:asciiTheme="minorEastAsia" w:hAnsiTheme="minorEastAsia" w:eastAsiaTheme="minorEastAsia" w:cstheme="minorEastAsia"/>
          <w:color w:val="0000FF"/>
          <w:sz w:val="24"/>
          <w:szCs w:val="24"/>
          <w:highlight w:val="none"/>
          <w:shd w:val="clear"/>
        </w:rPr>
        <w:t>保证金</w:t>
      </w:r>
      <w:r>
        <w:rPr>
          <w:rFonts w:hint="eastAsia" w:asciiTheme="minorEastAsia" w:hAnsiTheme="minorEastAsia" w:eastAsiaTheme="minorEastAsia" w:cstheme="minorEastAsia"/>
          <w:color w:val="0000FF"/>
          <w:kern w:val="2"/>
          <w:sz w:val="24"/>
          <w:szCs w:val="24"/>
          <w:highlight w:val="none"/>
          <w:lang w:val="en-US" w:eastAsia="zh-CN" w:bidi="ar-SA"/>
        </w:rPr>
        <w:t>2800元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u w:val="none"/>
          <w:lang w:val="en-US" w:eastAsia="zh-CN" w:bidi="ar-SA"/>
        </w:rPr>
        <w:t>2024年12月29日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6927092E">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38683198">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5B367DD">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6DFFCF57">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7866366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06B3407">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营业执照副本、法定代表人身份证复印件；</w:t>
      </w:r>
    </w:p>
    <w:p w14:paraId="6B31EC84">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国家企业信用信息公示系统https://shiming.gsxt.gov.cn/公布的股东及出资信息信息查询网页打印件或截图；</w:t>
      </w:r>
    </w:p>
    <w:p w14:paraId="5E7D81FE">
      <w:pPr>
        <w:widowControl/>
        <w:shd w:val="clear"/>
        <w:snapToGrid/>
        <w:spacing w:before="0" w:line="520" w:lineRule="exact"/>
        <w:ind w:firstLine="480" w:firstLineChars="200"/>
        <w:rPr>
          <w:rFonts w:hint="default"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val="en-US" w:eastAsia="zh-CN"/>
        </w:rPr>
        <w:t>)拟派项目负责人基本情况表；</w:t>
      </w:r>
    </w:p>
    <w:p w14:paraId="1251FAD2">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rPr>
        <w:t>经验证明；</w:t>
      </w:r>
    </w:p>
    <w:p w14:paraId="03D84812">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签订完整的承诺书；</w:t>
      </w:r>
    </w:p>
    <w:p w14:paraId="75178526">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缴纳保证金的凭证。</w:t>
      </w:r>
    </w:p>
    <w:p w14:paraId="72A840BF">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6C65CB05">
      <w:pPr>
        <w:widowControl/>
        <w:shd w:val="clear"/>
        <w:snapToGrid/>
        <w:spacing w:before="0" w:line="520" w:lineRule="exact"/>
        <w:ind w:left="0" w:firstLine="480" w:firstLineChars="200"/>
        <w:rPr>
          <w:rFonts w:hint="default"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r>
        <w:rPr>
          <w:rFonts w:hint="eastAsia" w:asciiTheme="minorEastAsia" w:hAnsiTheme="minorEastAsia" w:eastAsiaTheme="minorEastAsia" w:cstheme="minorEastAsia"/>
          <w:b/>
          <w:bCs/>
          <w:color w:val="auto"/>
          <w:kern w:val="2"/>
          <w:sz w:val="24"/>
          <w:szCs w:val="24"/>
          <w:highlight w:val="none"/>
          <w:shd w:val="clear"/>
          <w:lang w:val="en-US" w:eastAsia="zh-CN"/>
        </w:rPr>
        <w:t>具体格式详见报名资料。</w:t>
      </w:r>
    </w:p>
    <w:p w14:paraId="7306437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0A98B961">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42454B97">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547DAF8C">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57EAEFB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7726D1DC">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sz w:val="24"/>
          <w:szCs w:val="24"/>
          <w:highlight w:val="none"/>
        </w:rPr>
        <w:t>本场竞价</w:t>
      </w:r>
      <w:r>
        <w:rPr>
          <w:rFonts w:hint="eastAsia" w:asciiTheme="minorEastAsia" w:hAnsiTheme="minorEastAsia" w:eastAsiaTheme="minorEastAsia" w:cstheme="minorEastAsia"/>
          <w:color w:val="auto"/>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highlight w:val="none"/>
        </w:rPr>
        <w:t>，竞价人不得有异议。</w:t>
      </w:r>
    </w:p>
    <w:p w14:paraId="2F4C9E1C">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90C8C9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highlight w:val="none"/>
          <w:shd w:val="clear"/>
          <w:lang w:val="en-US" w:eastAsia="zh-CN"/>
        </w:rPr>
        <w:t>服务</w:t>
      </w:r>
      <w:r>
        <w:rPr>
          <w:rFonts w:hint="eastAsia" w:asciiTheme="minorEastAsia" w:hAnsiTheme="minorEastAsia" w:eastAsiaTheme="minorEastAsia" w:cstheme="minorEastAsia"/>
          <w:color w:val="auto"/>
          <w:kern w:val="2"/>
          <w:sz w:val="24"/>
          <w:szCs w:val="24"/>
          <w:highlight w:val="none"/>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FFC4C07">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服务费总价</w:t>
      </w:r>
      <w:r>
        <w:rPr>
          <w:rFonts w:hint="eastAsia" w:asciiTheme="minorEastAsia" w:hAnsiTheme="minorEastAsia" w:eastAsiaTheme="minorEastAsia" w:cstheme="minorEastAsia"/>
          <w:b/>
          <w:bCs/>
          <w:color w:val="auto"/>
          <w:kern w:val="2"/>
          <w:sz w:val="24"/>
          <w:szCs w:val="24"/>
          <w:highlight w:val="none"/>
          <w:shd w:val="clear"/>
        </w:rPr>
        <w:t>进行报价，竞价系统设置的价格</w:t>
      </w:r>
      <w:r>
        <w:rPr>
          <w:rFonts w:hint="eastAsia" w:ascii="宋体" w:hAnsi="宋体" w:cs="宋体"/>
          <w:b/>
          <w:bCs/>
          <w:color w:val="auto"/>
          <w:kern w:val="28"/>
          <w:sz w:val="24"/>
          <w:szCs w:val="24"/>
          <w:highlight w:val="none"/>
          <w:lang w:val="en-US" w:eastAsia="zh-CN" w:bidi="ar-SA"/>
        </w:rPr>
        <w:t>140636.43</w:t>
      </w:r>
      <w:r>
        <w:rPr>
          <w:rFonts w:hint="eastAsia" w:asciiTheme="minorEastAsia" w:hAnsiTheme="minorEastAsia" w:eastAsiaTheme="minorEastAsia" w:cstheme="minorEastAsia"/>
          <w:b/>
          <w:bCs/>
          <w:color w:val="auto"/>
          <w:kern w:val="2"/>
          <w:sz w:val="24"/>
          <w:szCs w:val="24"/>
          <w:highlight w:val="none"/>
          <w:shd w:val="clear"/>
          <w:lang w:val="en-US" w:eastAsia="zh-CN"/>
        </w:rPr>
        <w:t>元</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服务费最高限价</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人民币</w:t>
      </w:r>
      <w:r>
        <w:rPr>
          <w:rFonts w:hint="eastAsia" w:ascii="宋体" w:hAnsi="宋体" w:cs="宋体"/>
          <w:b/>
          <w:bCs/>
          <w:color w:val="auto"/>
          <w:kern w:val="28"/>
          <w:sz w:val="24"/>
          <w:szCs w:val="24"/>
          <w:highlight w:val="none"/>
          <w:lang w:val="en-US" w:eastAsia="zh-CN" w:bidi="ar-SA"/>
        </w:rPr>
        <w:t>140636.43</w:t>
      </w:r>
      <w:r>
        <w:rPr>
          <w:rFonts w:hint="eastAsia" w:asciiTheme="minorEastAsia" w:hAnsiTheme="minorEastAsia" w:eastAsiaTheme="minorEastAsia" w:cstheme="minorEastAsia"/>
          <w:b/>
          <w:bCs/>
          <w:color w:val="auto"/>
          <w:kern w:val="2"/>
          <w:sz w:val="24"/>
          <w:szCs w:val="24"/>
          <w:highlight w:val="none"/>
          <w:shd w:val="clear"/>
          <w:lang w:val="en-US" w:eastAsia="zh-CN"/>
        </w:rPr>
        <w:t>元</w:t>
      </w:r>
      <w:r>
        <w:rPr>
          <w:rFonts w:hint="eastAsia" w:asciiTheme="minorEastAsia" w:hAnsiTheme="minorEastAsia" w:eastAsiaTheme="minorEastAsia" w:cstheme="minorEastAsia"/>
          <w:b/>
          <w:bCs/>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w:t>
      </w:r>
      <w:r>
        <w:rPr>
          <w:rFonts w:hint="eastAsia" w:ascii="宋体" w:hAnsi="宋体" w:cs="宋体"/>
          <w:b/>
          <w:bCs/>
          <w:color w:val="auto"/>
          <w:kern w:val="28"/>
          <w:sz w:val="24"/>
          <w:szCs w:val="24"/>
          <w:highlight w:val="none"/>
          <w:lang w:val="en-US" w:eastAsia="zh-CN" w:bidi="ar-SA"/>
        </w:rPr>
        <w:t>140636.43</w:t>
      </w:r>
      <w:r>
        <w:rPr>
          <w:rFonts w:hint="eastAsia" w:ascii="宋体" w:hAnsi="宋体" w:eastAsia="宋体" w:cs="宋体"/>
          <w:b/>
          <w:bCs/>
          <w:color w:val="auto"/>
          <w:kern w:val="28"/>
          <w:sz w:val="24"/>
          <w:szCs w:val="24"/>
          <w:highlight w:val="none"/>
          <w:lang w:val="en-US" w:eastAsia="zh-CN" w:bidi="ar-SA"/>
        </w:rPr>
        <w:t>元</w:t>
      </w:r>
      <w:r>
        <w:rPr>
          <w:rFonts w:hint="eastAsia" w:asciiTheme="minorEastAsia" w:hAnsiTheme="minorEastAsia" w:eastAsiaTheme="minorEastAsia" w:cstheme="minorEastAsia"/>
          <w:b/>
          <w:bCs/>
          <w:color w:val="auto"/>
          <w:kern w:val="2"/>
          <w:sz w:val="24"/>
          <w:szCs w:val="24"/>
          <w:highlight w:val="none"/>
          <w:shd w:val="clear"/>
        </w:rPr>
        <w:t>为无效报价</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p>
    <w:p w14:paraId="327FDED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0FEEE06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5.本公司有权就竞价时间做出调整，如有调整将在本公司网站进行公告。</w:t>
      </w:r>
    </w:p>
    <w:p w14:paraId="1BF32555">
      <w:pPr>
        <w:snapToGrid/>
        <w:spacing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37416150">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竞价成交后，</w:t>
      </w:r>
      <w:r>
        <w:rPr>
          <w:rFonts w:hint="eastAsia" w:asciiTheme="minorEastAsia" w:hAnsiTheme="minorEastAsia" w:eastAsiaTheme="minorEastAsia" w:cstheme="minorEastAsia"/>
          <w:b/>
          <w:bCs/>
          <w:color w:val="auto"/>
          <w:sz w:val="24"/>
          <w:szCs w:val="24"/>
          <w:highlight w:val="none"/>
        </w:rPr>
        <w:t>本项目的</w:t>
      </w:r>
      <w:r>
        <w:rPr>
          <w:rFonts w:hint="eastAsia" w:asciiTheme="minorEastAsia" w:hAnsiTheme="minorEastAsia" w:eastAsiaTheme="minorEastAsia" w:cstheme="minorEastAsia"/>
          <w:b/>
          <w:bCs/>
          <w:color w:val="auto"/>
          <w:sz w:val="24"/>
          <w:szCs w:val="24"/>
          <w:highlight w:val="none"/>
          <w:lang w:val="en-US" w:eastAsia="zh-CN"/>
        </w:rPr>
        <w:t>交易</w:t>
      </w:r>
      <w:r>
        <w:rPr>
          <w:rFonts w:hint="eastAsia" w:asciiTheme="minorEastAsia" w:hAnsiTheme="minorEastAsia" w:eastAsiaTheme="minorEastAsia" w:cstheme="minorEastAsia"/>
          <w:b/>
          <w:bCs/>
          <w:color w:val="auto"/>
          <w:sz w:val="24"/>
          <w:szCs w:val="24"/>
          <w:highlight w:val="none"/>
        </w:rPr>
        <w:t>服务费按成交价×1.5%计费向成交</w:t>
      </w:r>
      <w:r>
        <w:rPr>
          <w:rFonts w:hint="eastAsia" w:asciiTheme="minorEastAsia" w:hAnsiTheme="minorEastAsia" w:eastAsiaTheme="minorEastAsia" w:cstheme="minorEastAsia"/>
          <w:b/>
          <w:bCs/>
          <w:color w:val="auto"/>
          <w:sz w:val="24"/>
          <w:szCs w:val="24"/>
          <w:highlight w:val="none"/>
          <w:lang w:val="en-US" w:eastAsia="zh-CN"/>
        </w:rPr>
        <w:t>人</w:t>
      </w:r>
      <w:r>
        <w:rPr>
          <w:rFonts w:hint="eastAsia" w:asciiTheme="minorEastAsia" w:hAnsiTheme="minorEastAsia" w:eastAsiaTheme="minorEastAsia" w:cstheme="minorEastAsia"/>
          <w:b/>
          <w:bCs/>
          <w:color w:val="auto"/>
          <w:sz w:val="24"/>
          <w:szCs w:val="24"/>
          <w:highlight w:val="none"/>
        </w:rPr>
        <w:t>收取，不足3000元的，按3000元计费</w:t>
      </w:r>
      <w:r>
        <w:rPr>
          <w:rFonts w:hint="eastAsia" w:asciiTheme="minorEastAsia" w:hAnsiTheme="minorEastAsia" w:eastAsiaTheme="minorEastAsia" w:cstheme="minorEastAsia"/>
          <w:color w:val="auto"/>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highlight w:val="none"/>
          <w:shd w:val="clear" w:color="auto" w:fill="FFFFFF"/>
        </w:rPr>
        <w:t>必须在成交之日起2个工作日</w:t>
      </w:r>
      <w:r>
        <w:rPr>
          <w:rFonts w:hint="eastAsia" w:asciiTheme="minorEastAsia" w:hAnsiTheme="minorEastAsia" w:eastAsiaTheme="minorEastAsia" w:cstheme="minorEastAsia"/>
          <w:color w:val="auto"/>
          <w:sz w:val="24"/>
          <w:szCs w:val="24"/>
          <w:highlight w:val="none"/>
        </w:rPr>
        <w:t>内补齐。交易服务费未按期付清的，视成交人根本违约，竞价保证金不予退回。</w:t>
      </w:r>
    </w:p>
    <w:p w14:paraId="5A0DB75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7D9789B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按合同约定执行。</w:t>
      </w:r>
    </w:p>
    <w:p w14:paraId="2EB149AD">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5C2718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001BC1FB">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7F129DA3">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委托方有权向该成交人提起赔偿诉讼。</w:t>
      </w:r>
    </w:p>
    <w:p w14:paraId="03DD2A6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十一、注意事项</w:t>
      </w:r>
    </w:p>
    <w:p w14:paraId="5E6EA516">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110EC29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69533568">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63965492">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4468A2CF">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十二、特别提示</w:t>
      </w:r>
    </w:p>
    <w:tbl>
      <w:tblPr>
        <w:tblStyle w:val="8"/>
        <w:tblW w:w="9071" w:type="dxa"/>
        <w:jc w:val="center"/>
        <w:shd w:val="clear" w:color="auto" w:fill="FFFFFF"/>
        <w:tblLayout w:type="fixed"/>
        <w:tblCellMar>
          <w:top w:w="0" w:type="dxa"/>
          <w:left w:w="0" w:type="dxa"/>
          <w:bottom w:w="0" w:type="dxa"/>
          <w:right w:w="0" w:type="dxa"/>
        </w:tblCellMar>
      </w:tblPr>
      <w:tblGrid>
        <w:gridCol w:w="9071"/>
      </w:tblGrid>
      <w:tr w14:paraId="73CB940F">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305EA258">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61315503">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5CF6BDC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E5F0542">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5"/>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6DBF6625">
      <w:pPr>
        <w:widowControl/>
        <w:shd w:val="clear"/>
        <w:snapToGrid/>
        <w:spacing w:before="0" w:line="240" w:lineRule="auto"/>
        <w:ind w:firstLine="480" w:firstLineChars="200"/>
        <w:jc w:val="right"/>
      </w:pPr>
      <w:r>
        <w:rPr>
          <w:rFonts w:hint="eastAsia" w:asciiTheme="minorEastAsia" w:hAnsiTheme="minorEastAsia" w:eastAsiaTheme="minorEastAsia" w:cstheme="minorEastAsia"/>
          <w:color w:val="auto"/>
          <w:kern w:val="2"/>
          <w:sz w:val="24"/>
          <w:szCs w:val="24"/>
          <w:highlight w:val="none"/>
          <w:shd w:val="clear"/>
          <w:lang w:val="en-US" w:eastAsia="zh-CN"/>
        </w:rPr>
        <w:t>2024年12月24日</w:t>
      </w:r>
      <w:bookmarkStart w:id="0" w:name="_GoBack"/>
      <w:bookmarkEnd w:id="0"/>
    </w:p>
    <w:p w14:paraId="4EBA22EF"/>
    <w:sectPr>
      <w:head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C0670">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7"/>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5594F"/>
    <w:rsid w:val="31555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2"/>
    <w:next w:val="1"/>
    <w:qFormat/>
    <w:uiPriority w:val="0"/>
    <w:pPr>
      <w:keepNext/>
      <w:keepLines/>
      <w:widowControl w:val="0"/>
      <w:spacing w:before="260" w:beforeLines="0" w:after="260" w:afterLines="0" w:line="416" w:lineRule="auto"/>
      <w:jc w:val="both"/>
      <w:outlineLvl w:val="1"/>
    </w:pPr>
    <w:rPr>
      <w:rFonts w:ascii="Arial" w:hAnsi="Arial" w:eastAsia="黑体" w:cs="Calibri"/>
      <w:b/>
      <w:bCs/>
      <w:kern w:val="2"/>
      <w:sz w:val="32"/>
      <w:szCs w:val="32"/>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4">
    <w:name w:val="Balloon Text"/>
    <w:next w:val="3"/>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5">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6">
    <w:name w:val="Normal (Web)"/>
    <w:next w:val="7"/>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 w:type="paragraph" w:customStyle="1" w:styleId="7">
    <w:name w:val="样式 标题 3 + (中文) 黑体 小四 非加粗 段前: 7.8 磅 段后: 0 磅 行距: 固定值 20 磅"/>
    <w:autoRedefine/>
    <w:qFormat/>
    <w:uiPriority w:val="0"/>
    <w:pPr>
      <w:keepNext/>
      <w:keepLines/>
      <w:widowControl w:val="0"/>
      <w:numPr>
        <w:ilvl w:val="2"/>
        <w:numId w:val="1"/>
      </w:numPr>
      <w:tabs>
        <w:tab w:val="left" w:pos="425"/>
      </w:tabs>
      <w:spacing w:before="0" w:after="0" w:line="400" w:lineRule="exact"/>
      <w:jc w:val="both"/>
      <w:outlineLvl w:val="2"/>
    </w:pPr>
    <w:rPr>
      <w:rFonts w:ascii="Calibri" w:hAnsi="Calibri" w:eastAsia="黑体" w:cs="宋体"/>
      <w:bCs/>
      <w:kern w:val="2"/>
      <w:sz w:val="24"/>
      <w:szCs w:val="20"/>
      <w:lang w:val="en-US" w:eastAsia="zh-CN" w:bidi="ar-SA"/>
    </w:rPr>
  </w:style>
  <w:style w:type="table" w:styleId="9">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2024-12-24T00:21:00Z</dcterms:created>
  <dc:creator>土豆排骨的滋味</dc:creator>
  <cp:lastModifiedBy>土豆排骨的滋味</cp:lastModifiedBy>
  <dcterms:modified xsi:type="dcterms:W3CDTF">2024-12-24T00:22:08Z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47D7BCE676964472A164B004CA300E7C_11</vt:lpwstr>
  </property>
</Properties>
</file>