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bookmarkStart w:id="0" w:name="OLE_LINK2"/>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501</w:t>
      </w:r>
      <w:bookmarkEnd w:id="0"/>
      <w:r>
        <w:rPr>
          <w:rFonts w:hint="eastAsia" w:asciiTheme="minorEastAsia" w:hAnsiTheme="minorEastAsia" w:eastAsiaTheme="minorEastAsia" w:cstheme="minorEastAsia"/>
          <w:b w:val="0"/>
          <w:bCs w:val="0"/>
          <w:color w:val="0000FF"/>
          <w:kern w:val="2"/>
          <w:sz w:val="24"/>
          <w:szCs w:val="24"/>
          <w:shd w:val="clear"/>
          <w:lang w:val="en-US" w:eastAsia="zh-CN"/>
        </w:rPr>
        <w:t>14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1月14日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1月13日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连城县景区文创产品设计及采购项目</w:t>
      </w:r>
      <w:r>
        <w:rPr>
          <w:rFonts w:hint="eastAsia" w:asciiTheme="minorEastAsia" w:hAnsiTheme="minorEastAsia" w:eastAsiaTheme="minorEastAsia" w:cstheme="minorEastAsia"/>
          <w:color w:val="0000FF"/>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2.服务内容及要求</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2.1设计方向：以连城县文化为主题的产品创意设计。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2.2设计类型：文创产品设计及产品制作；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2.3设计范围：涵盖餐饮、家居产品、日用品、文化礼品、旅游纪念品、创意玩具、服饰等。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A、期待能成为连城的代表性作品、产品、纪念品或伴手礼，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B、便于大量生产及制作，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C、可以是单件，可以是一系列，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D、设计作品须深入挖掘连城的文化内涵，融合连城的历史文化、风土人情、民间传说、非遗民俗、名人事迹、地方文学、建筑园林、时代风貌等文化要素，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E、用高雅简洁的形式表现，具备新颖性、创造性和实用性，不属于现有设计，与现有设计或者现有设计特征的组合相比，应当具有明显区别。</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FF0000"/>
          <w:spacing w:val="0"/>
          <w:sz w:val="24"/>
          <w:szCs w:val="24"/>
          <w:shd w:val="clear" w:fill="FFFFFF"/>
          <w:lang w:val="en-US" w:eastAsia="zh-CN"/>
        </w:rPr>
      </w:pPr>
      <w:r>
        <w:rPr>
          <w:rFonts w:hint="eastAsia" w:ascii="宋体" w:hAnsi="宋体" w:eastAsia="宋体" w:cs="宋体"/>
          <w:i w:val="0"/>
          <w:iCs w:val="0"/>
          <w:caps w:val="0"/>
          <w:color w:val="FF0000"/>
          <w:spacing w:val="0"/>
          <w:sz w:val="24"/>
          <w:szCs w:val="24"/>
          <w:shd w:val="clear" w:fill="FFFFFF"/>
          <w:lang w:val="en-US" w:eastAsia="zh-CN"/>
        </w:rPr>
        <w:t>2.4服务内容：含文创设计及成品采购（详见《连城县景区文创产品设计及采购项目任务清单》）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FF0000"/>
          <w:spacing w:val="0"/>
          <w:sz w:val="24"/>
          <w:szCs w:val="24"/>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2.5服务成果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A、所有作品需附创意说明，必须是原创设计，且未以任何形式公开发表过。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B、深化作品需附设计效果图电子文件（展板以JPG或PNG和psd源文件形式提交，精度为300dpi以上），展板需加上所用材料、工艺、尺寸比例、设计创意说明、市场定位等300字以内的文字说明。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C、样品需要按照真实尺寸和深化效果图进行打样，后期根据选定样品批量生产。</w:t>
      </w:r>
    </w:p>
    <w:p>
      <w:pPr>
        <w:spacing w:line="360" w:lineRule="auto"/>
        <w:ind w:firstLine="480" w:firstLineChars="200"/>
        <w:rPr>
          <w:rFonts w:hint="eastAsia"/>
          <w:sz w:val="24"/>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2.6</w:t>
      </w:r>
      <w:r>
        <w:rPr>
          <w:rFonts w:hint="eastAsia"/>
          <w:sz w:val="24"/>
        </w:rPr>
        <w:t>作品知识产权</w:t>
      </w:r>
    </w:p>
    <w:p>
      <w:pPr>
        <w:spacing w:line="360" w:lineRule="auto"/>
        <w:ind w:firstLine="480" w:firstLineChars="200"/>
        <w:rPr>
          <w:rFonts w:hint="eastAsia" w:ascii="Times New Roman" w:hAnsi="Times New Roman" w:eastAsia="宋体" w:cs="Times New Roman"/>
          <w:sz w:val="24"/>
        </w:rPr>
      </w:pPr>
      <w:r>
        <w:rPr>
          <w:rFonts w:hint="eastAsia"/>
          <w:sz w:val="24"/>
        </w:rPr>
        <w:t>由</w:t>
      </w:r>
      <w:r>
        <w:rPr>
          <w:rFonts w:hint="eastAsia"/>
          <w:sz w:val="24"/>
          <w:lang w:val="en-US" w:eastAsia="zh-CN"/>
        </w:rPr>
        <w:t>委托人</w:t>
      </w:r>
      <w:r>
        <w:rPr>
          <w:rFonts w:hint="eastAsia"/>
          <w:sz w:val="24"/>
          <w:lang w:eastAsia="zh-TW"/>
        </w:rPr>
        <w:t>独自享有</w:t>
      </w:r>
      <w:r>
        <w:rPr>
          <w:rFonts w:hint="eastAsia"/>
          <w:sz w:val="24"/>
        </w:rPr>
        <w:t>知识产权，拥有对</w:t>
      </w:r>
      <w:r>
        <w:rPr>
          <w:rFonts w:hint="eastAsia"/>
          <w:sz w:val="24"/>
          <w:lang w:val="en-US" w:eastAsia="zh-CN"/>
        </w:rPr>
        <w:t>上述所有</w:t>
      </w:r>
      <w:r>
        <w:rPr>
          <w:rFonts w:hint="eastAsia"/>
          <w:sz w:val="24"/>
        </w:rPr>
        <w:t>作品</w:t>
      </w:r>
      <w:r>
        <w:rPr>
          <w:rFonts w:hint="eastAsia" w:ascii="Times New Roman" w:hAnsi="Times New Roman" w:eastAsia="宋体" w:cs="Times New Roman"/>
          <w:sz w:val="24"/>
        </w:rPr>
        <w:t>（成果）</w:t>
      </w:r>
      <w:r>
        <w:rPr>
          <w:rFonts w:hint="eastAsia"/>
          <w:sz w:val="24"/>
        </w:rPr>
        <w:t>的发表权、复制权、发行权、展览权、信息网络传播权等关于推荐、出版、展览、宣传的相关权利。未经</w:t>
      </w:r>
      <w:r>
        <w:rPr>
          <w:rFonts w:hint="eastAsia"/>
          <w:sz w:val="24"/>
          <w:lang w:val="en-US" w:eastAsia="zh-CN"/>
        </w:rPr>
        <w:t>委托人</w:t>
      </w:r>
      <w:r>
        <w:rPr>
          <w:rFonts w:hint="eastAsia"/>
          <w:sz w:val="24"/>
        </w:rPr>
        <w:t>授权，任何单位、个人不得将这些作品</w:t>
      </w:r>
      <w:r>
        <w:rPr>
          <w:rFonts w:hint="eastAsia" w:ascii="Times New Roman" w:hAnsi="Times New Roman" w:eastAsia="宋体" w:cs="Times New Roman"/>
          <w:sz w:val="24"/>
        </w:rPr>
        <w:t>（成果）</w:t>
      </w:r>
      <w:r>
        <w:rPr>
          <w:rFonts w:hint="eastAsia"/>
          <w:sz w:val="24"/>
        </w:rPr>
        <w:t>进行再设计、生产、销售、宣传、出版、展览及其他形式的推广宣传等，否则将追究其法律责任</w:t>
      </w:r>
      <w:r>
        <w:rPr>
          <w:rFonts w:hint="eastAsia"/>
          <w:sz w:val="24"/>
          <w:lang w:eastAsia="zh-TW"/>
        </w:rPr>
        <w:t>。</w:t>
      </w:r>
      <w:r>
        <w:rPr>
          <w:rFonts w:hint="eastAsia"/>
          <w:sz w:val="24"/>
          <w:lang w:val="en-US" w:eastAsia="zh-CN"/>
        </w:rPr>
        <w:t>成交人</w:t>
      </w:r>
      <w:r>
        <w:rPr>
          <w:rFonts w:hint="eastAsia"/>
          <w:sz w:val="24"/>
        </w:rPr>
        <w:t>参与成员针对作品享有创作</w:t>
      </w:r>
      <w:r>
        <w:rPr>
          <w:rFonts w:hint="eastAsia" w:ascii="Times New Roman" w:hAnsi="Times New Roman" w:eastAsia="宋体" w:cs="Times New Roman"/>
          <w:sz w:val="24"/>
        </w:rPr>
        <w:t>署名权。</w:t>
      </w:r>
    </w:p>
    <w:p>
      <w:pPr>
        <w:spacing w:line="360" w:lineRule="auto"/>
        <w:ind w:firstLine="480" w:firstLineChars="200"/>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sz w:val="24"/>
          <w:lang w:val="en-US" w:eastAsia="zh-CN"/>
        </w:rPr>
        <w:t>2.7</w:t>
      </w:r>
      <w:r>
        <w:rPr>
          <w:rFonts w:hint="eastAsia" w:ascii="Times New Roman" w:hAnsi="Times New Roman" w:cs="Times New Roman"/>
          <w:sz w:val="24"/>
          <w:lang w:val="en-US" w:eastAsia="zh-CN"/>
        </w:rPr>
        <w:t>成交人须</w:t>
      </w:r>
      <w:r>
        <w:rPr>
          <w:rFonts w:hint="eastAsia" w:ascii="Times New Roman" w:hAnsi="Times New Roman" w:eastAsia="宋体" w:cs="Times New Roman"/>
          <w:sz w:val="24"/>
        </w:rPr>
        <w:t>保证</w:t>
      </w:r>
      <w:r>
        <w:rPr>
          <w:rFonts w:hint="eastAsia" w:ascii="Times New Roman" w:hAnsi="Times New Roman" w:cs="Times New Roman"/>
          <w:sz w:val="24"/>
          <w:lang w:val="en-US" w:eastAsia="zh-CN"/>
        </w:rPr>
        <w:t>所有</w:t>
      </w:r>
      <w:r>
        <w:rPr>
          <w:rFonts w:hint="eastAsia" w:ascii="Times New Roman" w:hAnsi="Times New Roman" w:eastAsia="宋体" w:cs="Times New Roman"/>
          <w:sz w:val="24"/>
        </w:rPr>
        <w:t>作品（成果）不侵犯第三人的知识产权。如果</w:t>
      </w:r>
      <w:r>
        <w:rPr>
          <w:rFonts w:hint="eastAsia" w:ascii="Times New Roman" w:hAnsi="Times New Roman" w:cs="Times New Roman"/>
          <w:sz w:val="24"/>
          <w:lang w:val="en-US" w:eastAsia="zh-CN"/>
        </w:rPr>
        <w:t>成交人</w:t>
      </w:r>
      <w:r>
        <w:rPr>
          <w:rFonts w:hint="eastAsia" w:ascii="Times New Roman" w:hAnsi="Times New Roman" w:eastAsia="宋体" w:cs="Times New Roman"/>
          <w:sz w:val="24"/>
        </w:rPr>
        <w:t>提交的作品（成果）侵犯第三人知识产权的，由</w:t>
      </w:r>
      <w:r>
        <w:rPr>
          <w:rFonts w:hint="eastAsia" w:ascii="Times New Roman" w:hAnsi="Times New Roman" w:cs="Times New Roman"/>
          <w:sz w:val="24"/>
          <w:lang w:val="en-US" w:eastAsia="zh-CN"/>
        </w:rPr>
        <w:t>成交人</w:t>
      </w:r>
      <w:r>
        <w:rPr>
          <w:rFonts w:hint="eastAsia" w:ascii="Times New Roman" w:hAnsi="Times New Roman" w:eastAsia="宋体" w:cs="Times New Roman"/>
          <w:sz w:val="24"/>
        </w:rPr>
        <w:t>承担全部侵权责任。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3.服务标准和服务要求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3.1服务标准：本项目编制内容应符合最新的国家及部、省、市的有关法律、法规、规范、标准及文件的规定，严禁使用废止的规范条文。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3.2服务要求：按国家及部、省、市有关规范技术标准及委托人要求完成本项目所需的所有工作。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4"/>
        <w:tblW w:w="5262"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7" w:hRule="atLeast"/>
          <w:tblHeader/>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auto"/>
                <w:spacing w:val="0"/>
                <w:position w:val="0"/>
                <w:sz w:val="24"/>
                <w:highlight w:val="none"/>
                <w:shd w:val="clear" w:color="auto" w:fill="auto"/>
              </w:rPr>
              <w:t>合同签署后并提供相关票据的，10日内支付合同价款的30%</w:t>
            </w:r>
            <w:r>
              <w:rPr>
                <w:rFonts w:hint="eastAsia" w:ascii="宋体" w:hAnsi="宋体" w:eastAsia="宋体" w:cs="宋体"/>
                <w:color w:val="auto"/>
                <w:spacing w:val="0"/>
                <w:position w:val="0"/>
                <w:sz w:val="24"/>
                <w:highlight w:val="none"/>
                <w:shd w:val="clear" w:color="auto" w:fill="auto"/>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全部设计方案完成及完成样品打样后并提供相关票据的，10 日内支付合同价款的30%。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8"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40</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所有成品到货验收合格并提供相关票据的，10日内支付合同价款的40%。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5.交付时间：自合同签订之日起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45个工作日内完成所有产品的交付并制作完成。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控制价</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33万元（含税包干），</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3.竞价人必须是委托人邀请的供应商：厦门贝斯蒂尔智能科技有限公司、杭州同兆信息服务有限公司、杭州万妙万物品牌管理有限公司。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6600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2025年1月13日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分项报价表（按《冠豸山景区文创产品设计及采购项目任务清单》进行分项报价）；</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rPr>
          <w:rFonts w:hint="default" w:asciiTheme="minorEastAsia" w:hAnsiTheme="minorEastAsia" w:eastAsiaTheme="minorEastAsia" w:cstheme="minorEastAsia"/>
          <w:color w:val="auto"/>
          <w:kern w:val="2"/>
          <w:sz w:val="24"/>
          <w:szCs w:val="24"/>
          <w:highlight w:val="none"/>
          <w:shd w:val="clear"/>
          <w:lang w:val="en-US"/>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w:t>
      </w:r>
      <w:bookmarkStart w:id="2" w:name="_GoBack"/>
      <w:r>
        <w:rPr>
          <w:rFonts w:hint="eastAsia" w:asciiTheme="minorEastAsia" w:hAnsiTheme="minorEastAsia" w:eastAsiaTheme="minorEastAsia" w:cstheme="minorEastAsia"/>
          <w:b/>
          <w:bCs/>
          <w:color w:val="auto"/>
          <w:kern w:val="2"/>
          <w:sz w:val="24"/>
          <w:szCs w:val="24"/>
          <w:shd w:val="clear"/>
          <w:lang w:eastAsia="zh-CN"/>
        </w:rPr>
        <w:t>lccqjyw2025@163.com</w:t>
      </w:r>
      <w:bookmarkEnd w:id="2"/>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330000元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330000元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330000元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w:t>
      </w:r>
      <w:r>
        <w:rPr>
          <w:rFonts w:hint="eastAsia" w:asciiTheme="minorEastAsia" w:hAnsiTheme="minorEastAsia" w:eastAsiaTheme="minorEastAsia" w:cstheme="minorEastAsia"/>
          <w:color w:val="auto"/>
          <w:kern w:val="2"/>
          <w:sz w:val="24"/>
          <w:szCs w:val="24"/>
          <w:shd w:val="clear"/>
          <w:lang w:val="en-US" w:eastAsia="zh-CN"/>
        </w:rPr>
        <w:t>的</w:t>
      </w:r>
      <w:r>
        <w:rPr>
          <w:rFonts w:hint="eastAsia" w:asciiTheme="minorEastAsia" w:hAnsiTheme="minorEastAsia" w:eastAsiaTheme="minorEastAsia" w:cstheme="minorEastAsia"/>
          <w:color w:val="auto"/>
          <w:kern w:val="2"/>
          <w:sz w:val="24"/>
          <w:szCs w:val="24"/>
          <w:shd w:val="clear"/>
        </w:rPr>
        <w:t>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2025年1月8日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1月14日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连城县景区文创产品设计及采购项目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50114</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采购合同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2"/>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bookmarkStart w:id="1" w:name="OLE_LINK1"/>
      <w:r>
        <w:rPr>
          <w:rFonts w:hint="eastAsia" w:asciiTheme="minorEastAsia" w:hAnsiTheme="minorEastAsia" w:cstheme="minorEastAsia"/>
          <w:color w:val="auto"/>
          <w:spacing w:val="0"/>
          <w:sz w:val="24"/>
          <w:szCs w:val="24"/>
          <w:highlight w:val="none"/>
          <w:u w:val="single"/>
          <w:lang w:eastAsia="zh-CN"/>
        </w:rPr>
        <w:t>连城豸莲文创服务有限公司</w:t>
      </w:r>
      <w:bookmarkEnd w:id="1"/>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自合同签订之日起</w:t>
      </w:r>
      <w:r>
        <w:rPr>
          <w:rFonts w:hint="eastAsia" w:ascii="宋体" w:hAnsi="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45个工作日</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内完成所有产品的交付并制作完成</w:t>
      </w:r>
      <w:r>
        <w:rPr>
          <w:rFonts w:hint="eastAsia" w:ascii="宋体" w:hAnsi="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5.1设计方向：以连城县文化为主题的产品创意设计。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5.2设计类型：文创产品设计及产品制作；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5.3设计范围：涵盖餐饮、家居产品、日用品、文化礼品、旅游纪念品、创意玩具、服饰等。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A、期待能成为连城的代表性作品、产品、纪念品或伴手礼，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B、便于大量生产及制作，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C、可以是单件，可以是一系列，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D、设计作品须深入挖掘连城的文化内涵，融合连城的历史文化、风土人情、民间传说、非遗民俗、名人事迹、地方文学、建筑园林、时代风貌等文化要素，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E、用高雅简洁的形式表现，具备新颖性、创造性和实用性，不属于现有设计，与现有设计或者现有设计特征的组合相比，应当具有明显区别。</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5.4服务内容：含文创设计及成品采购（详见《冠豸山景区文创产品设计及采购项目任务清单》）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5.5服务成果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A、所有作品需附创意说明，必须是原创设计，且未以任何形式公开发表过。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B、深化作品需附设计效果图电子文件（展板以JPG或PNG和psd源文件形式提交，精度为300dpi以上），展板需加上所用材料、工艺、尺寸比例、设计创意说明、市场定位等300字以内的文字说明。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C、样品需要按照真实尺寸和深化效果图进行打样，后期根据选定样品批量生产。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5.6作品知识产权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由委托人独自享有知识产权，拥有对上述所有作品（成果）的发表权、复制权、发行权、展览权、信息网络传播权等关于推荐、出版、展览、宣传的相关权利。未经委托人授权，任何单位、个人不得将这些作品（成果）进行再设计、生产、销售、宣传、出版、展览及其他形式的推广宣传等，否则将追究其法律责任。成交人参与成员针对作品享有创作署名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5.7成交人须保证所有作品（成果）不侵犯第三人的知识产权。如果成交人提交的作品（成果）侵犯第三人知识产权的，由成交人承担全部侵权责任。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6.1服务标准：本项目编制内容应符合最新的国家及部、省、市的有关法律、法规、规范、标准及文件的规定，严禁使用废止的规范条文。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6.2服务要求：按国家及部、省、市有关规范技术标准及委托人要求完成本项目所需的所有工作。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4"/>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6"/>
        <w:gridCol w:w="1396"/>
        <w:gridCol w:w="58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eastAsia" w:ascii="宋体" w:hAnsi="宋体" w:eastAsia="宋体" w:cs="宋体"/>
                <w:color w:val="auto"/>
                <w:spacing w:val="0"/>
                <w:position w:val="0"/>
                <w:sz w:val="24"/>
                <w:highlight w:val="none"/>
                <w:shd w:val="clear" w:color="auto" w:fill="auto"/>
              </w:rPr>
              <w:t>合同签署后并提供相关票据的，10日内支付合同价款的30%</w:t>
            </w:r>
            <w:r>
              <w:rPr>
                <w:rFonts w:hint="eastAsia" w:ascii="宋体" w:hAnsi="宋体" w:eastAsia="宋体" w:cs="宋体"/>
                <w:color w:val="auto"/>
                <w:spacing w:val="0"/>
                <w:position w:val="0"/>
                <w:sz w:val="24"/>
                <w:highlight w:val="none"/>
                <w:shd w:val="clear" w:color="auto" w:fill="auto"/>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全部设计方案完成及完成样品打样后并提供相关票据的，10 日内支付合同价款的30%。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2"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highlight w:val="yellow"/>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所有成品到货验收合格并提供相关票据的，10日内支付合同价款的40%。</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1"/>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2"/>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2"/>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3"/>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2"/>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2"/>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18"/>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D743B5"/>
    <w:rsid w:val="02787EDC"/>
    <w:rsid w:val="05DA79C7"/>
    <w:rsid w:val="0607573C"/>
    <w:rsid w:val="06D93844"/>
    <w:rsid w:val="072F1ABE"/>
    <w:rsid w:val="0A2F0DBE"/>
    <w:rsid w:val="0ABB0437"/>
    <w:rsid w:val="0B424B21"/>
    <w:rsid w:val="0CB360E3"/>
    <w:rsid w:val="0D29042F"/>
    <w:rsid w:val="0E98231D"/>
    <w:rsid w:val="10525387"/>
    <w:rsid w:val="13761663"/>
    <w:rsid w:val="137A3EB9"/>
    <w:rsid w:val="14566D07"/>
    <w:rsid w:val="15A844D8"/>
    <w:rsid w:val="18251A52"/>
    <w:rsid w:val="189865EA"/>
    <w:rsid w:val="189E4661"/>
    <w:rsid w:val="191D7DDA"/>
    <w:rsid w:val="1B214753"/>
    <w:rsid w:val="1BBF1EF5"/>
    <w:rsid w:val="1F986481"/>
    <w:rsid w:val="20592BE1"/>
    <w:rsid w:val="24941163"/>
    <w:rsid w:val="27D6293C"/>
    <w:rsid w:val="290520D8"/>
    <w:rsid w:val="2AEB24EE"/>
    <w:rsid w:val="2C243F92"/>
    <w:rsid w:val="2CB33DAF"/>
    <w:rsid w:val="308736FD"/>
    <w:rsid w:val="30A25EDE"/>
    <w:rsid w:val="30D137C6"/>
    <w:rsid w:val="30D94893"/>
    <w:rsid w:val="32634685"/>
    <w:rsid w:val="33DD3477"/>
    <w:rsid w:val="33FB17A0"/>
    <w:rsid w:val="34437348"/>
    <w:rsid w:val="34C53C82"/>
    <w:rsid w:val="37ED5C91"/>
    <w:rsid w:val="3802063D"/>
    <w:rsid w:val="383C054D"/>
    <w:rsid w:val="393873DF"/>
    <w:rsid w:val="39CF6FB9"/>
    <w:rsid w:val="3B4F0A10"/>
    <w:rsid w:val="3C681786"/>
    <w:rsid w:val="3EC04461"/>
    <w:rsid w:val="44E346A3"/>
    <w:rsid w:val="47470370"/>
    <w:rsid w:val="4843326B"/>
    <w:rsid w:val="488223CF"/>
    <w:rsid w:val="4AAF6C70"/>
    <w:rsid w:val="4C60075D"/>
    <w:rsid w:val="4CDF25A1"/>
    <w:rsid w:val="50100316"/>
    <w:rsid w:val="51D47D2E"/>
    <w:rsid w:val="548478C0"/>
    <w:rsid w:val="54C54091"/>
    <w:rsid w:val="57025C73"/>
    <w:rsid w:val="5773785B"/>
    <w:rsid w:val="5BC54731"/>
    <w:rsid w:val="5D081E82"/>
    <w:rsid w:val="5D1C319C"/>
    <w:rsid w:val="64A86E67"/>
    <w:rsid w:val="64B672AC"/>
    <w:rsid w:val="64B9444F"/>
    <w:rsid w:val="658F70C5"/>
    <w:rsid w:val="66AA7E0A"/>
    <w:rsid w:val="67D624B5"/>
    <w:rsid w:val="67ED6ECE"/>
    <w:rsid w:val="68264162"/>
    <w:rsid w:val="6837248C"/>
    <w:rsid w:val="6B451B65"/>
    <w:rsid w:val="6B4A616F"/>
    <w:rsid w:val="6C024E76"/>
    <w:rsid w:val="6F543924"/>
    <w:rsid w:val="6F996EED"/>
    <w:rsid w:val="786F7A21"/>
    <w:rsid w:val="78E26444"/>
    <w:rsid w:val="796973DC"/>
    <w:rsid w:val="7B897FAC"/>
    <w:rsid w:val="7BC11CF4"/>
    <w:rsid w:val="7C154A8E"/>
    <w:rsid w:val="7C2A25D8"/>
    <w:rsid w:val="7E483361"/>
    <w:rsid w:val="7F08472B"/>
    <w:rsid w:val="7F30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80" w:lineRule="exact"/>
    </w:pPr>
    <w:rPr>
      <w:sz w:val="24"/>
    </w:rPr>
  </w:style>
  <w:style w:type="paragraph" w:customStyle="1" w:styleId="6">
    <w:name w:val="样式 表格正文 + 两端对齐"/>
    <w:basedOn w:val="1"/>
    <w:next w:val="7"/>
    <w:qFormat/>
    <w:uiPriority w:val="0"/>
    <w:pPr>
      <w:spacing w:line="300" w:lineRule="auto"/>
    </w:pPr>
  </w:style>
  <w:style w:type="paragraph" w:customStyle="1" w:styleId="7">
    <w:name w:val="正文1"/>
    <w:basedOn w:val="1"/>
    <w:qFormat/>
    <w:uiPriority w:val="0"/>
    <w:pPr>
      <w:spacing w:line="480" w:lineRule="exact"/>
      <w:ind w:firstLine="567"/>
    </w:pPr>
    <w:rPr>
      <w:rFonts w:ascii="幼圆" w:eastAsia="幼圆"/>
      <w:sz w:val="28"/>
      <w:szCs w:val="20"/>
    </w:rPr>
  </w:style>
  <w:style w:type="paragraph" w:styleId="8">
    <w:name w:val="Body Text Indent"/>
    <w:basedOn w:val="1"/>
    <w:next w:val="1"/>
    <w:qFormat/>
    <w:uiPriority w:val="0"/>
    <w:pPr>
      <w:ind w:firstLine="560" w:firstLineChars="200"/>
    </w:pPr>
    <w:rPr>
      <w:rFonts w:ascii="宋体" w:hAnsi="宋体"/>
      <w:sz w:val="28"/>
      <w:szCs w:val="28"/>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3">
    <w:name w:val="Body Text First Indent 2"/>
    <w:basedOn w:val="8"/>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9">
    <w:name w:val="Other|1"/>
    <w:basedOn w:val="1"/>
    <w:qFormat/>
    <w:uiPriority w:val="0"/>
    <w:pPr>
      <w:spacing w:after="40" w:line="293" w:lineRule="auto"/>
    </w:pPr>
    <w:rPr>
      <w:rFonts w:ascii="宋体" w:hAnsi="宋体" w:cs="宋体"/>
      <w:sz w:val="22"/>
      <w:szCs w:val="22"/>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样式3"/>
    <w:basedOn w:val="9"/>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7772</Words>
  <Characters>8218</Characters>
  <Lines>0</Lines>
  <Paragraphs>0</Paragraphs>
  <TotalTime>4</TotalTime>
  <ScaleCrop>false</ScaleCrop>
  <LinksUpToDate>false</LinksUpToDate>
  <CharactersWithSpaces>8540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2025-01-08T08:00:49Z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BBF07EDB60FE4ED68EC94AE45DA06FB5_13</vt:lpwstr>
  </property>
  <property fmtid="{D5CDD505-2E9C-101B-9397-08002B2CF9AE}" pid="4" name="KSOTemplateDocerSaveRecord">
    <vt:lpwstr>eyJoZGlkIjoiZWQyOTRkNzE0M2JiMzk0YTMyMWY2ZDMzNzczYjQxNTkiLCJ1c2VySWQiOiIyMjY3ODAxMzQifQ==</vt:lpwstr>
  </property>
</Properties>
</file>