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C76130">
      <w:pPr>
        <w:jc w:val="center"/>
        <w:rPr>
          <w:rFonts w:ascii="宋体" w:hAnsi="宋体" w:cs="宋体"/>
          <w:b/>
          <w:bCs/>
          <w:color w:val="auto"/>
          <w:sz w:val="36"/>
          <w:szCs w:val="36"/>
          <w:highlight w:val="none"/>
        </w:rPr>
      </w:pPr>
      <w:r>
        <w:rPr>
          <w:rFonts w:hint="eastAsia" w:ascii="宋体" w:hAnsi="宋体" w:cs="宋体"/>
          <w:b/>
          <w:bCs/>
          <w:color w:val="auto"/>
          <w:sz w:val="36"/>
          <w:szCs w:val="36"/>
          <w:highlight w:val="none"/>
        </w:rPr>
        <w:t>竞买须知</w:t>
      </w:r>
    </w:p>
    <w:p w14:paraId="0CF96FFD">
      <w:pPr>
        <w:jc w:val="center"/>
        <w:rPr>
          <w:rFonts w:ascii="宋体" w:hAnsi="宋体" w:cs="宋体"/>
          <w:color w:val="auto"/>
          <w:sz w:val="24"/>
          <w:highlight w:val="none"/>
        </w:rPr>
      </w:pPr>
      <w:r>
        <w:rPr>
          <w:rFonts w:hint="eastAsia" w:ascii="宋体" w:hAnsi="宋体" w:cs="宋体"/>
          <w:color w:val="auto"/>
          <w:sz w:val="24"/>
          <w:highlight w:val="none"/>
        </w:rPr>
        <w:t>[项目编号:</w:t>
      </w:r>
      <w:r>
        <w:rPr>
          <w:rFonts w:hint="eastAsia" w:ascii="宋体" w:hAnsi="宋体" w:cs="宋体"/>
          <w:color w:val="auto"/>
          <w:sz w:val="24"/>
          <w:highlight w:val="none"/>
          <w:lang w:val="en-US" w:eastAsia="zh-CN"/>
        </w:rPr>
        <w:t>LC20250618</w:t>
      </w:r>
      <w:r>
        <w:rPr>
          <w:rFonts w:hint="eastAsia" w:ascii="宋体" w:hAnsi="宋体" w:cs="宋体"/>
          <w:color w:val="auto"/>
          <w:sz w:val="24"/>
          <w:highlight w:val="none"/>
        </w:rPr>
        <w:t>]</w:t>
      </w:r>
    </w:p>
    <w:p w14:paraId="55166DB9">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龙岩市拍卖行有限公司（以下简称拍卖人）遵循“公开、公平、公正、诚实信用”的原则，根据《中华人民共和国拍卖法》及相关法律、法规，针对本次拍卖标的，特制定本须知将有关的网上拍卖事宜敬告各位竞买人，请竞买人详细阅读，拍卖人视所有参加本次拍卖会的竞买人已完全了解须知并愿意遵守执行。</w:t>
      </w:r>
    </w:p>
    <w:p w14:paraId="5E4543A7">
      <w:pPr>
        <w:spacing w:line="440" w:lineRule="exact"/>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一、公开拍卖、报名及展示的时间、地点：</w:t>
      </w:r>
    </w:p>
    <w:p w14:paraId="744E6CE1">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拍卖会时间：2025年</w:t>
      </w:r>
      <w:r>
        <w:rPr>
          <w:rFonts w:hint="eastAsia" w:ascii="宋体" w:hAnsi="宋体" w:cs="宋体"/>
          <w:color w:val="auto"/>
          <w:sz w:val="24"/>
          <w:highlight w:val="none"/>
          <w:lang w:val="en-US" w:eastAsia="zh-CN"/>
        </w:rPr>
        <w:t>6月18日</w:t>
      </w:r>
      <w:r>
        <w:rPr>
          <w:rFonts w:hint="eastAsia" w:ascii="宋体" w:hAnsi="宋体" w:cs="宋体"/>
          <w:color w:val="auto"/>
          <w:sz w:val="24"/>
          <w:highlight w:val="none"/>
        </w:rPr>
        <w:t>上午</w:t>
      </w:r>
      <w:r>
        <w:rPr>
          <w:rFonts w:hint="eastAsia" w:ascii="宋体" w:hAnsi="宋体" w:cs="宋体"/>
          <w:color w:val="auto"/>
          <w:sz w:val="24"/>
          <w:highlight w:val="none"/>
          <w:lang w:eastAsia="zh-CN"/>
        </w:rPr>
        <w:t>10:30</w:t>
      </w:r>
      <w:r>
        <w:rPr>
          <w:rFonts w:hint="eastAsia" w:ascii="宋体" w:hAnsi="宋体" w:cs="宋体"/>
          <w:color w:val="auto"/>
          <w:sz w:val="24"/>
          <w:highlight w:val="none"/>
        </w:rPr>
        <w:t>时</w:t>
      </w:r>
    </w:p>
    <w:p w14:paraId="130F4448">
      <w:pPr>
        <w:spacing w:line="440" w:lineRule="exact"/>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拍卖</w:t>
      </w:r>
      <w:r>
        <w:rPr>
          <w:rFonts w:hint="eastAsia" w:ascii="宋体" w:hAnsi="宋体" w:cs="宋体"/>
          <w:color w:val="auto"/>
          <w:sz w:val="24"/>
          <w:highlight w:val="none"/>
          <w:lang w:val="en-US" w:eastAsia="zh-CN"/>
        </w:rPr>
        <w:t>会</w:t>
      </w:r>
      <w:r>
        <w:rPr>
          <w:rFonts w:hint="eastAsia" w:ascii="宋体" w:hAnsi="宋体" w:cs="宋体"/>
          <w:color w:val="auto"/>
          <w:sz w:val="24"/>
          <w:highlight w:val="none"/>
          <w:lang w:eastAsia="zh-CN"/>
        </w:rPr>
        <w:t>地点</w:t>
      </w:r>
      <w:r>
        <w:rPr>
          <w:rFonts w:hint="eastAsia" w:ascii="宋体" w:hAnsi="宋体" w:cs="宋体"/>
          <w:color w:val="auto"/>
          <w:sz w:val="24"/>
          <w:highlight w:val="none"/>
        </w:rPr>
        <w:t>：</w:t>
      </w:r>
      <w:r>
        <w:rPr>
          <w:rFonts w:hint="eastAsia" w:ascii="宋体" w:hAnsi="宋体" w:cs="宋体"/>
          <w:color w:val="auto"/>
          <w:sz w:val="24"/>
          <w:highlight w:val="none"/>
          <w:lang w:eastAsia="zh-CN"/>
        </w:rPr>
        <w:t>龙岩市公共资源交易中心连城分中心1号厅（连城县莲峰镇莲中南路76号宝龙广场三楼）</w:t>
      </w:r>
    </w:p>
    <w:p w14:paraId="150FF50B">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报名及交竞买保证金截止时间：2025年</w:t>
      </w:r>
      <w:r>
        <w:rPr>
          <w:rFonts w:hint="eastAsia" w:ascii="宋体" w:hAnsi="宋体" w:cs="宋体"/>
          <w:color w:val="auto"/>
          <w:sz w:val="24"/>
          <w:highlight w:val="none"/>
          <w:lang w:val="en-US" w:eastAsia="zh-CN"/>
        </w:rPr>
        <w:t>6月17日</w:t>
      </w:r>
      <w:r>
        <w:rPr>
          <w:rFonts w:hint="eastAsia" w:ascii="宋体" w:hAnsi="宋体" w:cs="宋体"/>
          <w:color w:val="auto"/>
          <w:sz w:val="24"/>
          <w:highlight w:val="none"/>
        </w:rPr>
        <w:t>17时（以保证金到账为准）</w:t>
      </w:r>
    </w:p>
    <w:p w14:paraId="0A3389E5">
      <w:pPr>
        <w:spacing w:line="440" w:lineRule="exact"/>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报名地点：龙岩市高岭土大厦8层</w:t>
      </w:r>
    </w:p>
    <w:p w14:paraId="60272A3C">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拍卖标的展示时间：2025年</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12</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13</w:t>
      </w:r>
      <w:r>
        <w:rPr>
          <w:rFonts w:hint="eastAsia" w:ascii="宋体" w:hAnsi="宋体" w:cs="宋体"/>
          <w:color w:val="auto"/>
          <w:sz w:val="24"/>
          <w:highlight w:val="none"/>
        </w:rPr>
        <w:t>日(预约看样)</w:t>
      </w:r>
    </w:p>
    <w:p w14:paraId="398C111F">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拍卖标的展示地点：标的所在地</w:t>
      </w:r>
    </w:p>
    <w:p w14:paraId="0FFE720A">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联系电话：0597-2301659，8911</w:t>
      </w:r>
      <w:r>
        <w:rPr>
          <w:rFonts w:hint="eastAsia" w:ascii="宋体" w:hAnsi="宋体" w:cs="宋体"/>
          <w:color w:val="auto"/>
          <w:sz w:val="24"/>
          <w:highlight w:val="none"/>
          <w:lang w:val="en-US" w:eastAsia="zh-CN"/>
        </w:rPr>
        <w:t>670</w:t>
      </w:r>
      <w:r>
        <w:rPr>
          <w:rFonts w:hint="eastAsia" w:ascii="宋体" w:hAnsi="宋体" w:cs="宋体"/>
          <w:color w:val="auto"/>
          <w:sz w:val="24"/>
          <w:highlight w:val="none"/>
        </w:rPr>
        <w:t>，联系人：曹小姐</w:t>
      </w:r>
    </w:p>
    <w:p w14:paraId="5791CE05">
      <w:pPr>
        <w:spacing w:line="440" w:lineRule="exact"/>
        <w:ind w:left="50" w:firstLine="361" w:firstLineChars="150"/>
        <w:rPr>
          <w:rFonts w:ascii="宋体" w:hAnsi="宋体" w:cs="宋体"/>
          <w:b/>
          <w:bCs/>
          <w:color w:val="auto"/>
          <w:sz w:val="24"/>
          <w:highlight w:val="none"/>
        </w:rPr>
      </w:pPr>
      <w:r>
        <w:rPr>
          <w:rFonts w:hint="eastAsia" w:ascii="宋体" w:hAnsi="宋体" w:cs="宋体"/>
          <w:b/>
          <w:bCs/>
          <w:color w:val="auto"/>
          <w:sz w:val="24"/>
          <w:highlight w:val="none"/>
        </w:rPr>
        <w:t>二、拍卖标的：连城县莲峰镇南前花园4号楼</w:t>
      </w:r>
      <w:r>
        <w:rPr>
          <w:rFonts w:hint="eastAsia" w:ascii="宋体" w:hAnsi="宋体" w:cs="宋体"/>
          <w:b/>
          <w:bCs/>
          <w:color w:val="auto"/>
          <w:sz w:val="24"/>
          <w:highlight w:val="none"/>
          <w:lang w:eastAsia="zh-CN"/>
        </w:rPr>
        <w:t>15套</w:t>
      </w:r>
      <w:r>
        <w:rPr>
          <w:rFonts w:hint="eastAsia" w:ascii="宋体" w:hAnsi="宋体" w:cs="宋体"/>
          <w:b/>
          <w:bCs/>
          <w:color w:val="auto"/>
          <w:sz w:val="24"/>
          <w:highlight w:val="none"/>
        </w:rPr>
        <w:t>房产（整体拍卖，详见《南前花园房产拍卖清单》及产权证复印件）。</w:t>
      </w:r>
    </w:p>
    <w:p w14:paraId="78213F5F">
      <w:pPr>
        <w:spacing w:line="440" w:lineRule="exact"/>
        <w:ind w:left="50" w:firstLine="361" w:firstLineChars="150"/>
        <w:rPr>
          <w:rFonts w:ascii="宋体" w:hAnsi="宋体" w:cs="宋体"/>
          <w:b/>
          <w:bCs/>
          <w:color w:val="auto"/>
          <w:sz w:val="24"/>
          <w:highlight w:val="none"/>
        </w:rPr>
      </w:pPr>
      <w:r>
        <w:rPr>
          <w:rFonts w:hint="eastAsia" w:ascii="宋体" w:hAnsi="宋体" w:cs="宋体"/>
          <w:b/>
          <w:bCs/>
          <w:color w:val="auto"/>
          <w:sz w:val="24"/>
          <w:highlight w:val="none"/>
        </w:rPr>
        <w:t>起拍价：</w:t>
      </w:r>
      <w:r>
        <w:rPr>
          <w:rFonts w:hint="eastAsia" w:ascii="宋体" w:hAnsi="宋体" w:cs="宋体"/>
          <w:b/>
          <w:bCs/>
          <w:color w:val="auto"/>
          <w:sz w:val="24"/>
          <w:highlight w:val="none"/>
          <w:lang w:eastAsia="zh-CN"/>
        </w:rPr>
        <w:t>571.2</w:t>
      </w:r>
      <w:r>
        <w:rPr>
          <w:rFonts w:hint="eastAsia" w:ascii="宋体" w:hAnsi="宋体" w:cs="宋体"/>
          <w:b/>
          <w:bCs/>
          <w:color w:val="auto"/>
          <w:sz w:val="24"/>
          <w:highlight w:val="none"/>
        </w:rPr>
        <w:t>万元  竞买保证金：50万元</w:t>
      </w:r>
    </w:p>
    <w:p w14:paraId="2C6C7D08">
      <w:pPr>
        <w:spacing w:line="440" w:lineRule="exact"/>
        <w:jc w:val="center"/>
        <w:rPr>
          <w:rFonts w:ascii="宋体" w:hAnsi="宋体" w:cs="宋体"/>
          <w:color w:val="auto"/>
          <w:sz w:val="24"/>
          <w:highlight w:val="none"/>
        </w:rPr>
      </w:pPr>
      <w:r>
        <w:rPr>
          <w:rFonts w:hint="eastAsia" w:ascii="宋体" w:hAnsi="宋体" w:cs="宋体"/>
          <w:b/>
          <w:bCs/>
          <w:color w:val="auto"/>
          <w:sz w:val="24"/>
          <w:highlight w:val="none"/>
        </w:rPr>
        <w:t>南前花园</w:t>
      </w:r>
      <w:r>
        <w:rPr>
          <w:rFonts w:hint="eastAsia" w:ascii="宋体" w:hAnsi="宋体" w:cs="宋体"/>
          <w:b/>
          <w:bCs/>
          <w:color w:val="auto"/>
          <w:sz w:val="24"/>
          <w:highlight w:val="none"/>
          <w:lang w:val="en-US" w:eastAsia="zh-CN"/>
        </w:rPr>
        <w:t>15套</w:t>
      </w:r>
      <w:r>
        <w:rPr>
          <w:rFonts w:hint="eastAsia" w:ascii="宋体" w:hAnsi="宋体" w:cs="宋体"/>
          <w:b/>
          <w:bCs/>
          <w:color w:val="auto"/>
          <w:sz w:val="24"/>
          <w:highlight w:val="none"/>
        </w:rPr>
        <w:t>房产拍卖清单</w:t>
      </w:r>
    </w:p>
    <w:tbl>
      <w:tblPr>
        <w:tblStyle w:val="10"/>
        <w:tblW w:w="9556" w:type="dxa"/>
        <w:jc w:val="center"/>
        <w:tblLayout w:type="autofit"/>
        <w:tblCellMar>
          <w:top w:w="0" w:type="dxa"/>
          <w:left w:w="108" w:type="dxa"/>
          <w:bottom w:w="0" w:type="dxa"/>
          <w:right w:w="108" w:type="dxa"/>
        </w:tblCellMar>
      </w:tblPr>
      <w:tblGrid>
        <w:gridCol w:w="746"/>
        <w:gridCol w:w="1126"/>
        <w:gridCol w:w="1767"/>
        <w:gridCol w:w="4605"/>
        <w:gridCol w:w="1312"/>
      </w:tblGrid>
      <w:tr w14:paraId="350A4F42">
        <w:tblPrEx>
          <w:tblCellMar>
            <w:top w:w="0" w:type="dxa"/>
            <w:left w:w="108" w:type="dxa"/>
            <w:bottom w:w="0" w:type="dxa"/>
            <w:right w:w="108" w:type="dxa"/>
          </w:tblCellMar>
        </w:tblPrEx>
        <w:trPr>
          <w:trHeight w:val="377" w:hRule="exact"/>
          <w:jc w:val="center"/>
        </w:trPr>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46CFA">
            <w:pPr>
              <w:widowControl/>
              <w:spacing w:line="460" w:lineRule="exact"/>
              <w:jc w:val="center"/>
              <w:textAlignment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序号</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271F5">
            <w:pPr>
              <w:widowControl/>
              <w:spacing w:line="460" w:lineRule="exact"/>
              <w:jc w:val="center"/>
              <w:textAlignment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房号</w:t>
            </w: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FB7E6">
            <w:pPr>
              <w:widowControl/>
              <w:spacing w:line="460" w:lineRule="exact"/>
              <w:jc w:val="center"/>
              <w:textAlignment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建筑面积（m2）</w:t>
            </w:r>
          </w:p>
        </w:tc>
        <w:tc>
          <w:tcPr>
            <w:tcW w:w="4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3F022">
            <w:pPr>
              <w:widowControl/>
              <w:spacing w:line="460" w:lineRule="exact"/>
              <w:jc w:val="center"/>
              <w:textAlignment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不动产权证号</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4208C">
            <w:pPr>
              <w:widowControl/>
              <w:spacing w:line="460" w:lineRule="exact"/>
              <w:jc w:val="center"/>
              <w:textAlignment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备注</w:t>
            </w:r>
          </w:p>
        </w:tc>
      </w:tr>
      <w:tr w14:paraId="299B6F16">
        <w:tblPrEx>
          <w:tblCellMar>
            <w:top w:w="0" w:type="dxa"/>
            <w:left w:w="108" w:type="dxa"/>
            <w:bottom w:w="0" w:type="dxa"/>
            <w:right w:w="108" w:type="dxa"/>
          </w:tblCellMar>
        </w:tblPrEx>
        <w:trPr>
          <w:trHeight w:val="369" w:hRule="exact"/>
          <w:jc w:val="center"/>
        </w:trPr>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DC0E5">
            <w:pPr>
              <w:widowControl/>
              <w:spacing w:line="460" w:lineRule="exact"/>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rPr>
              <w:t>1</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C0187">
            <w:pPr>
              <w:keepNext w:val="0"/>
              <w:keepLines w:val="0"/>
              <w:widowControl/>
              <w:suppressLineNumbers w:val="0"/>
              <w:jc w:val="center"/>
              <w:textAlignment w:val="center"/>
              <w:rPr>
                <w:rFonts w:ascii="宋体" w:hAnsi="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4-206</w:t>
            </w: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9B6CA">
            <w:pPr>
              <w:keepNext w:val="0"/>
              <w:keepLines w:val="0"/>
              <w:widowControl/>
              <w:suppressLineNumbers w:val="0"/>
              <w:jc w:val="center"/>
              <w:textAlignment w:val="center"/>
              <w:rPr>
                <w:rFonts w:ascii="宋体" w:hAnsi="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 xml:space="preserve">76.14 </w:t>
            </w:r>
          </w:p>
        </w:tc>
        <w:tc>
          <w:tcPr>
            <w:tcW w:w="4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6082F">
            <w:pPr>
              <w:keepNext w:val="0"/>
              <w:keepLines w:val="0"/>
              <w:widowControl/>
              <w:suppressLineNumbers w:val="0"/>
              <w:jc w:val="center"/>
              <w:textAlignment w:val="center"/>
              <w:rPr>
                <w:rFonts w:ascii="宋体" w:hAnsi="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闽（2023）连城县不动产权第0007437号</w:t>
            </w:r>
          </w:p>
        </w:tc>
        <w:tc>
          <w:tcPr>
            <w:tcW w:w="1312" w:type="dxa"/>
            <w:vMerge w:val="restart"/>
            <w:tcBorders>
              <w:top w:val="single" w:color="000000" w:sz="4" w:space="0"/>
              <w:left w:val="single" w:color="000000" w:sz="4" w:space="0"/>
              <w:right w:val="single" w:color="000000" w:sz="4" w:space="0"/>
            </w:tcBorders>
            <w:shd w:val="clear" w:color="auto" w:fill="auto"/>
            <w:vAlign w:val="center"/>
          </w:tcPr>
          <w:p w14:paraId="4C8FD323">
            <w:pPr>
              <w:widowControl/>
              <w:spacing w:line="460" w:lineRule="exact"/>
              <w:jc w:val="center"/>
              <w:textAlignment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整体拍卖</w:t>
            </w:r>
          </w:p>
        </w:tc>
      </w:tr>
      <w:tr w14:paraId="656812FC">
        <w:tblPrEx>
          <w:tblCellMar>
            <w:top w:w="0" w:type="dxa"/>
            <w:left w:w="108" w:type="dxa"/>
            <w:bottom w:w="0" w:type="dxa"/>
            <w:right w:w="108" w:type="dxa"/>
          </w:tblCellMar>
        </w:tblPrEx>
        <w:trPr>
          <w:trHeight w:val="369" w:hRule="exact"/>
          <w:jc w:val="center"/>
        </w:trPr>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BCB52">
            <w:pPr>
              <w:widowControl/>
              <w:spacing w:line="460" w:lineRule="exact"/>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rPr>
              <w:t>2</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043EA">
            <w:pPr>
              <w:keepNext w:val="0"/>
              <w:keepLines w:val="0"/>
              <w:widowControl/>
              <w:suppressLineNumbers w:val="0"/>
              <w:jc w:val="center"/>
              <w:textAlignment w:val="center"/>
              <w:rPr>
                <w:rFonts w:ascii="宋体" w:hAnsi="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4-704</w:t>
            </w: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711F2">
            <w:pPr>
              <w:keepNext w:val="0"/>
              <w:keepLines w:val="0"/>
              <w:widowControl/>
              <w:suppressLineNumbers w:val="0"/>
              <w:jc w:val="center"/>
              <w:textAlignment w:val="center"/>
              <w:rPr>
                <w:rFonts w:ascii="宋体" w:hAnsi="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 xml:space="preserve">105.51 </w:t>
            </w:r>
          </w:p>
        </w:tc>
        <w:tc>
          <w:tcPr>
            <w:tcW w:w="4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6F381">
            <w:pPr>
              <w:keepNext w:val="0"/>
              <w:keepLines w:val="0"/>
              <w:widowControl/>
              <w:suppressLineNumbers w:val="0"/>
              <w:jc w:val="center"/>
              <w:textAlignment w:val="center"/>
              <w:rPr>
                <w:rFonts w:ascii="宋体" w:hAnsi="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闽（2023）连城县不动产权第0007385号</w:t>
            </w:r>
          </w:p>
        </w:tc>
        <w:tc>
          <w:tcPr>
            <w:tcW w:w="1312" w:type="dxa"/>
            <w:vMerge w:val="continue"/>
            <w:tcBorders>
              <w:left w:val="single" w:color="000000" w:sz="4" w:space="0"/>
              <w:right w:val="single" w:color="000000" w:sz="4" w:space="0"/>
            </w:tcBorders>
            <w:shd w:val="clear" w:color="auto" w:fill="auto"/>
            <w:vAlign w:val="center"/>
          </w:tcPr>
          <w:p w14:paraId="4D888786">
            <w:pPr>
              <w:widowControl/>
              <w:spacing w:line="460" w:lineRule="exact"/>
              <w:jc w:val="center"/>
              <w:textAlignment w:val="center"/>
              <w:rPr>
                <w:rFonts w:ascii="宋体" w:hAnsi="宋体" w:cs="宋体"/>
                <w:color w:val="auto"/>
                <w:kern w:val="0"/>
                <w:sz w:val="21"/>
                <w:szCs w:val="21"/>
                <w:highlight w:val="none"/>
              </w:rPr>
            </w:pPr>
          </w:p>
        </w:tc>
      </w:tr>
      <w:tr w14:paraId="0BEE06F9">
        <w:tblPrEx>
          <w:tblCellMar>
            <w:top w:w="0" w:type="dxa"/>
            <w:left w:w="108" w:type="dxa"/>
            <w:bottom w:w="0" w:type="dxa"/>
            <w:right w:w="108" w:type="dxa"/>
          </w:tblCellMar>
        </w:tblPrEx>
        <w:trPr>
          <w:trHeight w:val="369" w:hRule="exact"/>
          <w:jc w:val="center"/>
        </w:trPr>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A3538">
            <w:pPr>
              <w:widowControl/>
              <w:spacing w:line="460" w:lineRule="exact"/>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rPr>
              <w:t>3</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9AA33">
            <w:pPr>
              <w:keepNext w:val="0"/>
              <w:keepLines w:val="0"/>
              <w:widowControl/>
              <w:suppressLineNumbers w:val="0"/>
              <w:jc w:val="center"/>
              <w:textAlignment w:val="center"/>
              <w:rPr>
                <w:rFonts w:ascii="宋体" w:hAnsi="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4-705</w:t>
            </w: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63358">
            <w:pPr>
              <w:keepNext w:val="0"/>
              <w:keepLines w:val="0"/>
              <w:widowControl/>
              <w:suppressLineNumbers w:val="0"/>
              <w:jc w:val="center"/>
              <w:textAlignment w:val="center"/>
              <w:rPr>
                <w:rFonts w:ascii="宋体" w:hAnsi="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 xml:space="preserve">76.14 </w:t>
            </w:r>
          </w:p>
        </w:tc>
        <w:tc>
          <w:tcPr>
            <w:tcW w:w="4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BE10E">
            <w:pPr>
              <w:keepNext w:val="0"/>
              <w:keepLines w:val="0"/>
              <w:widowControl/>
              <w:suppressLineNumbers w:val="0"/>
              <w:jc w:val="center"/>
              <w:textAlignment w:val="center"/>
              <w:rPr>
                <w:rFonts w:ascii="宋体" w:hAnsi="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闽（2023）连城县不动产权第0007398号</w:t>
            </w:r>
          </w:p>
        </w:tc>
        <w:tc>
          <w:tcPr>
            <w:tcW w:w="1312" w:type="dxa"/>
            <w:vMerge w:val="continue"/>
            <w:tcBorders>
              <w:left w:val="single" w:color="000000" w:sz="4" w:space="0"/>
              <w:right w:val="single" w:color="000000" w:sz="4" w:space="0"/>
            </w:tcBorders>
            <w:shd w:val="clear" w:color="auto" w:fill="auto"/>
            <w:vAlign w:val="center"/>
          </w:tcPr>
          <w:p w14:paraId="74DD6975">
            <w:pPr>
              <w:widowControl/>
              <w:spacing w:line="460" w:lineRule="exact"/>
              <w:jc w:val="center"/>
              <w:textAlignment w:val="center"/>
              <w:rPr>
                <w:rFonts w:ascii="宋体" w:hAnsi="宋体" w:cs="宋体"/>
                <w:color w:val="auto"/>
                <w:kern w:val="0"/>
                <w:sz w:val="21"/>
                <w:szCs w:val="21"/>
                <w:highlight w:val="none"/>
              </w:rPr>
            </w:pPr>
          </w:p>
        </w:tc>
      </w:tr>
      <w:tr w14:paraId="3ECD8037">
        <w:tblPrEx>
          <w:tblCellMar>
            <w:top w:w="0" w:type="dxa"/>
            <w:left w:w="108" w:type="dxa"/>
            <w:bottom w:w="0" w:type="dxa"/>
            <w:right w:w="108" w:type="dxa"/>
          </w:tblCellMar>
        </w:tblPrEx>
        <w:trPr>
          <w:trHeight w:val="369" w:hRule="exact"/>
          <w:jc w:val="center"/>
        </w:trPr>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B5444">
            <w:pPr>
              <w:widowControl/>
              <w:spacing w:line="460" w:lineRule="exact"/>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rPr>
              <w:t>4</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E848B">
            <w:pPr>
              <w:keepNext w:val="0"/>
              <w:keepLines w:val="0"/>
              <w:widowControl/>
              <w:suppressLineNumbers w:val="0"/>
              <w:jc w:val="center"/>
              <w:textAlignment w:val="center"/>
              <w:rPr>
                <w:rFonts w:ascii="宋体" w:hAnsi="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4-706</w:t>
            </w: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42B27">
            <w:pPr>
              <w:keepNext w:val="0"/>
              <w:keepLines w:val="0"/>
              <w:widowControl/>
              <w:suppressLineNumbers w:val="0"/>
              <w:jc w:val="center"/>
              <w:textAlignment w:val="center"/>
              <w:rPr>
                <w:rFonts w:ascii="宋体" w:hAnsi="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 xml:space="preserve">76.14 </w:t>
            </w:r>
          </w:p>
        </w:tc>
        <w:tc>
          <w:tcPr>
            <w:tcW w:w="4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64922">
            <w:pPr>
              <w:keepNext w:val="0"/>
              <w:keepLines w:val="0"/>
              <w:widowControl/>
              <w:suppressLineNumbers w:val="0"/>
              <w:jc w:val="center"/>
              <w:textAlignment w:val="center"/>
              <w:rPr>
                <w:rFonts w:ascii="宋体" w:hAnsi="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闽（2023）连城县不动产权第0007399号</w:t>
            </w:r>
          </w:p>
        </w:tc>
        <w:tc>
          <w:tcPr>
            <w:tcW w:w="1312" w:type="dxa"/>
            <w:vMerge w:val="continue"/>
            <w:tcBorders>
              <w:left w:val="single" w:color="000000" w:sz="4" w:space="0"/>
              <w:right w:val="single" w:color="000000" w:sz="4" w:space="0"/>
            </w:tcBorders>
            <w:shd w:val="clear" w:color="auto" w:fill="auto"/>
            <w:vAlign w:val="center"/>
          </w:tcPr>
          <w:p w14:paraId="7CB00E1D">
            <w:pPr>
              <w:widowControl/>
              <w:spacing w:line="460" w:lineRule="exact"/>
              <w:jc w:val="center"/>
              <w:textAlignment w:val="center"/>
              <w:rPr>
                <w:rFonts w:ascii="宋体" w:hAnsi="宋体" w:cs="宋体"/>
                <w:color w:val="auto"/>
                <w:kern w:val="0"/>
                <w:sz w:val="21"/>
                <w:szCs w:val="21"/>
                <w:highlight w:val="none"/>
              </w:rPr>
            </w:pPr>
          </w:p>
        </w:tc>
      </w:tr>
      <w:tr w14:paraId="20DD99FF">
        <w:tblPrEx>
          <w:tblCellMar>
            <w:top w:w="0" w:type="dxa"/>
            <w:left w:w="108" w:type="dxa"/>
            <w:bottom w:w="0" w:type="dxa"/>
            <w:right w:w="108" w:type="dxa"/>
          </w:tblCellMar>
        </w:tblPrEx>
        <w:trPr>
          <w:trHeight w:val="369" w:hRule="exact"/>
          <w:jc w:val="center"/>
        </w:trPr>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0534B">
            <w:pPr>
              <w:widowControl/>
              <w:spacing w:line="460" w:lineRule="exact"/>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rPr>
              <w:t>5</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0D53A">
            <w:pPr>
              <w:keepNext w:val="0"/>
              <w:keepLines w:val="0"/>
              <w:widowControl/>
              <w:suppressLineNumbers w:val="0"/>
              <w:jc w:val="center"/>
              <w:textAlignment w:val="center"/>
              <w:rPr>
                <w:rFonts w:ascii="宋体" w:hAnsi="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4-707</w:t>
            </w: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79818">
            <w:pPr>
              <w:keepNext w:val="0"/>
              <w:keepLines w:val="0"/>
              <w:widowControl/>
              <w:suppressLineNumbers w:val="0"/>
              <w:jc w:val="center"/>
              <w:textAlignment w:val="center"/>
              <w:rPr>
                <w:rFonts w:ascii="宋体" w:hAnsi="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 xml:space="preserve">105.51 </w:t>
            </w:r>
          </w:p>
        </w:tc>
        <w:tc>
          <w:tcPr>
            <w:tcW w:w="4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F6782">
            <w:pPr>
              <w:keepNext w:val="0"/>
              <w:keepLines w:val="0"/>
              <w:widowControl/>
              <w:suppressLineNumbers w:val="0"/>
              <w:jc w:val="center"/>
              <w:textAlignment w:val="center"/>
              <w:rPr>
                <w:rFonts w:ascii="宋体" w:hAnsi="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闽（2023）连城县不动产权第0007378号</w:t>
            </w:r>
          </w:p>
        </w:tc>
        <w:tc>
          <w:tcPr>
            <w:tcW w:w="1312" w:type="dxa"/>
            <w:vMerge w:val="continue"/>
            <w:tcBorders>
              <w:left w:val="single" w:color="000000" w:sz="4" w:space="0"/>
              <w:right w:val="single" w:color="000000" w:sz="4" w:space="0"/>
            </w:tcBorders>
            <w:shd w:val="clear" w:color="auto" w:fill="auto"/>
            <w:vAlign w:val="center"/>
          </w:tcPr>
          <w:p w14:paraId="73BC7B9F">
            <w:pPr>
              <w:widowControl/>
              <w:spacing w:line="460" w:lineRule="exact"/>
              <w:jc w:val="center"/>
              <w:textAlignment w:val="center"/>
              <w:rPr>
                <w:rFonts w:ascii="宋体" w:hAnsi="宋体" w:cs="宋体"/>
                <w:color w:val="auto"/>
                <w:kern w:val="0"/>
                <w:sz w:val="21"/>
                <w:szCs w:val="21"/>
                <w:highlight w:val="none"/>
              </w:rPr>
            </w:pPr>
          </w:p>
        </w:tc>
      </w:tr>
      <w:tr w14:paraId="78412C23">
        <w:tblPrEx>
          <w:tblCellMar>
            <w:top w:w="0" w:type="dxa"/>
            <w:left w:w="108" w:type="dxa"/>
            <w:bottom w:w="0" w:type="dxa"/>
            <w:right w:w="108" w:type="dxa"/>
          </w:tblCellMar>
        </w:tblPrEx>
        <w:trPr>
          <w:trHeight w:val="369" w:hRule="exact"/>
          <w:jc w:val="center"/>
        </w:trPr>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B3880">
            <w:pPr>
              <w:widowControl/>
              <w:spacing w:line="460" w:lineRule="exact"/>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rPr>
              <w:t>6</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2DF0E">
            <w:pPr>
              <w:keepNext w:val="0"/>
              <w:keepLines w:val="0"/>
              <w:widowControl/>
              <w:suppressLineNumbers w:val="0"/>
              <w:jc w:val="center"/>
              <w:textAlignment w:val="center"/>
              <w:rPr>
                <w:rFonts w:ascii="宋体" w:hAnsi="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4-801</w:t>
            </w: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81143">
            <w:pPr>
              <w:keepNext w:val="0"/>
              <w:keepLines w:val="0"/>
              <w:widowControl/>
              <w:suppressLineNumbers w:val="0"/>
              <w:jc w:val="center"/>
              <w:textAlignment w:val="center"/>
              <w:rPr>
                <w:rFonts w:ascii="宋体" w:hAnsi="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 xml:space="preserve">105.74 </w:t>
            </w:r>
          </w:p>
        </w:tc>
        <w:tc>
          <w:tcPr>
            <w:tcW w:w="4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08730">
            <w:pPr>
              <w:keepNext w:val="0"/>
              <w:keepLines w:val="0"/>
              <w:widowControl/>
              <w:suppressLineNumbers w:val="0"/>
              <w:jc w:val="center"/>
              <w:textAlignment w:val="center"/>
              <w:rPr>
                <w:rFonts w:ascii="宋体" w:hAnsi="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闽（2023）连城县不动产权第0007375号</w:t>
            </w:r>
          </w:p>
        </w:tc>
        <w:tc>
          <w:tcPr>
            <w:tcW w:w="1312" w:type="dxa"/>
            <w:vMerge w:val="continue"/>
            <w:tcBorders>
              <w:left w:val="single" w:color="000000" w:sz="4" w:space="0"/>
              <w:right w:val="single" w:color="000000" w:sz="4" w:space="0"/>
            </w:tcBorders>
            <w:shd w:val="clear" w:color="auto" w:fill="auto"/>
            <w:vAlign w:val="center"/>
          </w:tcPr>
          <w:p w14:paraId="6CF1F301">
            <w:pPr>
              <w:widowControl/>
              <w:spacing w:line="460" w:lineRule="exact"/>
              <w:jc w:val="center"/>
              <w:textAlignment w:val="center"/>
              <w:rPr>
                <w:rFonts w:ascii="宋体" w:hAnsi="宋体" w:cs="宋体"/>
                <w:color w:val="auto"/>
                <w:kern w:val="0"/>
                <w:sz w:val="21"/>
                <w:szCs w:val="21"/>
                <w:highlight w:val="none"/>
              </w:rPr>
            </w:pPr>
          </w:p>
        </w:tc>
      </w:tr>
      <w:tr w14:paraId="14081B90">
        <w:tblPrEx>
          <w:tblCellMar>
            <w:top w:w="0" w:type="dxa"/>
            <w:left w:w="108" w:type="dxa"/>
            <w:bottom w:w="0" w:type="dxa"/>
            <w:right w:w="108" w:type="dxa"/>
          </w:tblCellMar>
        </w:tblPrEx>
        <w:trPr>
          <w:trHeight w:val="369" w:hRule="exact"/>
          <w:jc w:val="center"/>
        </w:trPr>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46C52">
            <w:pPr>
              <w:widowControl/>
              <w:spacing w:line="460" w:lineRule="exact"/>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rPr>
              <w:t>7</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5DF23">
            <w:pPr>
              <w:keepNext w:val="0"/>
              <w:keepLines w:val="0"/>
              <w:widowControl/>
              <w:suppressLineNumbers w:val="0"/>
              <w:jc w:val="center"/>
              <w:textAlignment w:val="center"/>
              <w:rPr>
                <w:rFonts w:ascii="宋体" w:hAnsi="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4-802</w:t>
            </w: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5F371">
            <w:pPr>
              <w:keepNext w:val="0"/>
              <w:keepLines w:val="0"/>
              <w:widowControl/>
              <w:suppressLineNumbers w:val="0"/>
              <w:jc w:val="center"/>
              <w:textAlignment w:val="center"/>
              <w:rPr>
                <w:rFonts w:ascii="宋体" w:hAnsi="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 xml:space="preserve">79.32 </w:t>
            </w:r>
          </w:p>
        </w:tc>
        <w:tc>
          <w:tcPr>
            <w:tcW w:w="4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F200F">
            <w:pPr>
              <w:keepNext w:val="0"/>
              <w:keepLines w:val="0"/>
              <w:widowControl/>
              <w:suppressLineNumbers w:val="0"/>
              <w:jc w:val="center"/>
              <w:textAlignment w:val="center"/>
              <w:rPr>
                <w:rFonts w:ascii="宋体" w:hAnsi="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闽（2023）连城县不动产权第0007397号</w:t>
            </w:r>
          </w:p>
        </w:tc>
        <w:tc>
          <w:tcPr>
            <w:tcW w:w="1312" w:type="dxa"/>
            <w:vMerge w:val="continue"/>
            <w:tcBorders>
              <w:left w:val="single" w:color="000000" w:sz="4" w:space="0"/>
              <w:right w:val="single" w:color="000000" w:sz="4" w:space="0"/>
            </w:tcBorders>
            <w:shd w:val="clear" w:color="auto" w:fill="auto"/>
            <w:vAlign w:val="center"/>
          </w:tcPr>
          <w:p w14:paraId="55E3C297">
            <w:pPr>
              <w:widowControl/>
              <w:spacing w:line="460" w:lineRule="exact"/>
              <w:jc w:val="center"/>
              <w:textAlignment w:val="center"/>
              <w:rPr>
                <w:rFonts w:ascii="宋体" w:hAnsi="宋体" w:cs="宋体"/>
                <w:color w:val="auto"/>
                <w:kern w:val="0"/>
                <w:sz w:val="21"/>
                <w:szCs w:val="21"/>
                <w:highlight w:val="none"/>
              </w:rPr>
            </w:pPr>
          </w:p>
        </w:tc>
      </w:tr>
      <w:tr w14:paraId="59D44F38">
        <w:tblPrEx>
          <w:tblCellMar>
            <w:top w:w="0" w:type="dxa"/>
            <w:left w:w="108" w:type="dxa"/>
            <w:bottom w:w="0" w:type="dxa"/>
            <w:right w:w="108" w:type="dxa"/>
          </w:tblCellMar>
        </w:tblPrEx>
        <w:trPr>
          <w:trHeight w:val="369" w:hRule="exact"/>
          <w:jc w:val="center"/>
        </w:trPr>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8B1C9">
            <w:pPr>
              <w:widowControl/>
              <w:spacing w:line="460" w:lineRule="exact"/>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rPr>
              <w:t>8</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F64A4">
            <w:pPr>
              <w:keepNext w:val="0"/>
              <w:keepLines w:val="0"/>
              <w:widowControl/>
              <w:suppressLineNumbers w:val="0"/>
              <w:jc w:val="center"/>
              <w:textAlignment w:val="center"/>
              <w:rPr>
                <w:rFonts w:ascii="宋体" w:hAnsi="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4-803</w:t>
            </w: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A98CE">
            <w:pPr>
              <w:keepNext w:val="0"/>
              <w:keepLines w:val="0"/>
              <w:widowControl/>
              <w:suppressLineNumbers w:val="0"/>
              <w:jc w:val="center"/>
              <w:textAlignment w:val="center"/>
              <w:rPr>
                <w:rFonts w:ascii="宋体" w:hAnsi="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 xml:space="preserve">96.03 </w:t>
            </w:r>
          </w:p>
        </w:tc>
        <w:tc>
          <w:tcPr>
            <w:tcW w:w="4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CB2FF">
            <w:pPr>
              <w:keepNext w:val="0"/>
              <w:keepLines w:val="0"/>
              <w:widowControl/>
              <w:suppressLineNumbers w:val="0"/>
              <w:jc w:val="center"/>
              <w:textAlignment w:val="center"/>
              <w:rPr>
                <w:rFonts w:ascii="宋体" w:hAnsi="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闽（2023）连城县不动产权第0007391号</w:t>
            </w:r>
          </w:p>
        </w:tc>
        <w:tc>
          <w:tcPr>
            <w:tcW w:w="1312" w:type="dxa"/>
            <w:vMerge w:val="continue"/>
            <w:tcBorders>
              <w:left w:val="single" w:color="000000" w:sz="4" w:space="0"/>
              <w:right w:val="single" w:color="000000" w:sz="4" w:space="0"/>
            </w:tcBorders>
            <w:shd w:val="clear" w:color="auto" w:fill="auto"/>
            <w:vAlign w:val="center"/>
          </w:tcPr>
          <w:p w14:paraId="69077221">
            <w:pPr>
              <w:widowControl/>
              <w:spacing w:line="460" w:lineRule="exact"/>
              <w:jc w:val="center"/>
              <w:textAlignment w:val="center"/>
              <w:rPr>
                <w:rFonts w:ascii="宋体" w:hAnsi="宋体" w:cs="宋体"/>
                <w:color w:val="auto"/>
                <w:kern w:val="0"/>
                <w:sz w:val="21"/>
                <w:szCs w:val="21"/>
                <w:highlight w:val="none"/>
              </w:rPr>
            </w:pPr>
          </w:p>
        </w:tc>
      </w:tr>
      <w:tr w14:paraId="67716E12">
        <w:tblPrEx>
          <w:tblCellMar>
            <w:top w:w="0" w:type="dxa"/>
            <w:left w:w="108" w:type="dxa"/>
            <w:bottom w:w="0" w:type="dxa"/>
            <w:right w:w="108" w:type="dxa"/>
          </w:tblCellMar>
        </w:tblPrEx>
        <w:trPr>
          <w:trHeight w:val="369" w:hRule="exact"/>
          <w:jc w:val="center"/>
        </w:trPr>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699A1">
            <w:pPr>
              <w:widowControl/>
              <w:spacing w:line="460" w:lineRule="exact"/>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rPr>
              <w:t>9</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BE8E9">
            <w:pPr>
              <w:keepNext w:val="0"/>
              <w:keepLines w:val="0"/>
              <w:widowControl/>
              <w:suppressLineNumbers w:val="0"/>
              <w:jc w:val="center"/>
              <w:textAlignment w:val="center"/>
              <w:rPr>
                <w:rFonts w:ascii="宋体" w:hAnsi="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4-804</w:t>
            </w: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A7702">
            <w:pPr>
              <w:keepNext w:val="0"/>
              <w:keepLines w:val="0"/>
              <w:widowControl/>
              <w:suppressLineNumbers w:val="0"/>
              <w:jc w:val="center"/>
              <w:textAlignment w:val="center"/>
              <w:rPr>
                <w:rFonts w:ascii="宋体" w:hAnsi="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 xml:space="preserve">105.51 </w:t>
            </w:r>
          </w:p>
        </w:tc>
        <w:tc>
          <w:tcPr>
            <w:tcW w:w="4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835EC">
            <w:pPr>
              <w:keepNext w:val="0"/>
              <w:keepLines w:val="0"/>
              <w:widowControl/>
              <w:suppressLineNumbers w:val="0"/>
              <w:jc w:val="center"/>
              <w:textAlignment w:val="center"/>
              <w:rPr>
                <w:rFonts w:ascii="宋体" w:hAnsi="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闽（2023）连城县不动产权第0007384号</w:t>
            </w:r>
          </w:p>
        </w:tc>
        <w:tc>
          <w:tcPr>
            <w:tcW w:w="1312" w:type="dxa"/>
            <w:vMerge w:val="continue"/>
            <w:tcBorders>
              <w:left w:val="single" w:color="000000" w:sz="4" w:space="0"/>
              <w:right w:val="single" w:color="000000" w:sz="4" w:space="0"/>
            </w:tcBorders>
            <w:shd w:val="clear" w:color="auto" w:fill="auto"/>
            <w:vAlign w:val="center"/>
          </w:tcPr>
          <w:p w14:paraId="3A5A4F3B">
            <w:pPr>
              <w:widowControl/>
              <w:spacing w:line="460" w:lineRule="exact"/>
              <w:jc w:val="center"/>
              <w:textAlignment w:val="center"/>
              <w:rPr>
                <w:rFonts w:ascii="宋体" w:hAnsi="宋体" w:cs="宋体"/>
                <w:color w:val="auto"/>
                <w:kern w:val="0"/>
                <w:sz w:val="21"/>
                <w:szCs w:val="21"/>
                <w:highlight w:val="none"/>
              </w:rPr>
            </w:pPr>
          </w:p>
        </w:tc>
      </w:tr>
      <w:tr w14:paraId="0D73F5CF">
        <w:tblPrEx>
          <w:tblCellMar>
            <w:top w:w="0" w:type="dxa"/>
            <w:left w:w="108" w:type="dxa"/>
            <w:bottom w:w="0" w:type="dxa"/>
            <w:right w:w="108" w:type="dxa"/>
          </w:tblCellMar>
        </w:tblPrEx>
        <w:trPr>
          <w:trHeight w:val="369" w:hRule="exact"/>
          <w:jc w:val="center"/>
        </w:trPr>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F3E66">
            <w:pPr>
              <w:widowControl/>
              <w:spacing w:line="460" w:lineRule="exact"/>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rPr>
              <w:t>10</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8916C">
            <w:pPr>
              <w:keepNext w:val="0"/>
              <w:keepLines w:val="0"/>
              <w:widowControl/>
              <w:suppressLineNumbers w:val="0"/>
              <w:jc w:val="center"/>
              <w:textAlignment w:val="center"/>
              <w:rPr>
                <w:rFonts w:ascii="宋体" w:hAnsi="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4-805</w:t>
            </w: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885A7">
            <w:pPr>
              <w:keepNext w:val="0"/>
              <w:keepLines w:val="0"/>
              <w:widowControl/>
              <w:suppressLineNumbers w:val="0"/>
              <w:jc w:val="center"/>
              <w:textAlignment w:val="center"/>
              <w:rPr>
                <w:rFonts w:ascii="宋体" w:hAnsi="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 xml:space="preserve">76.14 </w:t>
            </w:r>
          </w:p>
        </w:tc>
        <w:tc>
          <w:tcPr>
            <w:tcW w:w="4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BF03B">
            <w:pPr>
              <w:keepNext w:val="0"/>
              <w:keepLines w:val="0"/>
              <w:widowControl/>
              <w:suppressLineNumbers w:val="0"/>
              <w:jc w:val="center"/>
              <w:textAlignment w:val="center"/>
              <w:rPr>
                <w:rFonts w:ascii="宋体" w:hAnsi="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闽（2023）连城县不动产权第0007403号</w:t>
            </w:r>
          </w:p>
        </w:tc>
        <w:tc>
          <w:tcPr>
            <w:tcW w:w="1312" w:type="dxa"/>
            <w:vMerge w:val="continue"/>
            <w:tcBorders>
              <w:left w:val="single" w:color="000000" w:sz="4" w:space="0"/>
              <w:right w:val="single" w:color="000000" w:sz="4" w:space="0"/>
            </w:tcBorders>
            <w:shd w:val="clear" w:color="auto" w:fill="auto"/>
            <w:vAlign w:val="center"/>
          </w:tcPr>
          <w:p w14:paraId="6D2A9561">
            <w:pPr>
              <w:widowControl/>
              <w:spacing w:line="460" w:lineRule="exact"/>
              <w:jc w:val="center"/>
              <w:textAlignment w:val="center"/>
              <w:rPr>
                <w:rFonts w:ascii="宋体" w:hAnsi="宋体" w:cs="宋体"/>
                <w:color w:val="auto"/>
                <w:kern w:val="0"/>
                <w:sz w:val="21"/>
                <w:szCs w:val="21"/>
                <w:highlight w:val="none"/>
              </w:rPr>
            </w:pPr>
          </w:p>
        </w:tc>
      </w:tr>
      <w:tr w14:paraId="4D54C0F8">
        <w:tblPrEx>
          <w:tblCellMar>
            <w:top w:w="0" w:type="dxa"/>
            <w:left w:w="108" w:type="dxa"/>
            <w:bottom w:w="0" w:type="dxa"/>
            <w:right w:w="108" w:type="dxa"/>
          </w:tblCellMar>
        </w:tblPrEx>
        <w:trPr>
          <w:trHeight w:val="369" w:hRule="exact"/>
          <w:jc w:val="center"/>
        </w:trPr>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9F92A">
            <w:pPr>
              <w:widowControl/>
              <w:spacing w:line="460" w:lineRule="exact"/>
              <w:jc w:val="center"/>
              <w:textAlignment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11</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4F087">
            <w:pPr>
              <w:keepNext w:val="0"/>
              <w:keepLines w:val="0"/>
              <w:widowControl/>
              <w:suppressLineNumbers w:val="0"/>
              <w:jc w:val="center"/>
              <w:textAlignment w:val="center"/>
              <w:rPr>
                <w:rFonts w:hint="eastAsia" w:ascii="宋体" w:hAnsi="宋体" w:cs="宋体"/>
                <w:color w:val="auto"/>
                <w:kern w:val="0"/>
                <w:sz w:val="21"/>
                <w:szCs w:val="21"/>
                <w:highlight w:val="none"/>
              </w:rPr>
            </w:pPr>
            <w:r>
              <w:rPr>
                <w:rFonts w:hint="eastAsia" w:ascii="宋体" w:hAnsi="宋体" w:eastAsia="宋体" w:cs="宋体"/>
                <w:i w:val="0"/>
                <w:iCs w:val="0"/>
                <w:color w:val="000000"/>
                <w:kern w:val="0"/>
                <w:sz w:val="21"/>
                <w:szCs w:val="21"/>
                <w:u w:val="none"/>
                <w:lang w:val="en-US" w:eastAsia="zh-CN" w:bidi="ar"/>
              </w:rPr>
              <w:t>4-806</w:t>
            </w: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55BBF">
            <w:pPr>
              <w:keepNext w:val="0"/>
              <w:keepLines w:val="0"/>
              <w:widowControl/>
              <w:suppressLineNumbers w:val="0"/>
              <w:jc w:val="center"/>
              <w:textAlignment w:val="center"/>
              <w:rPr>
                <w:rFonts w:hint="eastAsia" w:ascii="宋体" w:hAnsi="宋体" w:cs="宋体"/>
                <w:color w:val="auto"/>
                <w:kern w:val="0"/>
                <w:sz w:val="21"/>
                <w:szCs w:val="21"/>
                <w:highlight w:val="none"/>
              </w:rPr>
            </w:pPr>
            <w:r>
              <w:rPr>
                <w:rFonts w:hint="eastAsia" w:ascii="宋体" w:hAnsi="宋体" w:eastAsia="宋体" w:cs="宋体"/>
                <w:i w:val="0"/>
                <w:iCs w:val="0"/>
                <w:color w:val="000000"/>
                <w:kern w:val="0"/>
                <w:sz w:val="21"/>
                <w:szCs w:val="21"/>
                <w:u w:val="none"/>
                <w:lang w:val="en-US" w:eastAsia="zh-CN" w:bidi="ar"/>
              </w:rPr>
              <w:t xml:space="preserve">76.14 </w:t>
            </w:r>
          </w:p>
        </w:tc>
        <w:tc>
          <w:tcPr>
            <w:tcW w:w="4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102CA">
            <w:pPr>
              <w:keepNext w:val="0"/>
              <w:keepLines w:val="0"/>
              <w:widowControl/>
              <w:suppressLineNumbers w:val="0"/>
              <w:jc w:val="center"/>
              <w:textAlignment w:val="center"/>
              <w:rPr>
                <w:rFonts w:hint="eastAsia" w:ascii="宋体" w:hAnsi="宋体" w:cs="宋体"/>
                <w:color w:val="auto"/>
                <w:kern w:val="0"/>
                <w:sz w:val="21"/>
                <w:szCs w:val="21"/>
                <w:highlight w:val="none"/>
              </w:rPr>
            </w:pPr>
            <w:r>
              <w:rPr>
                <w:rFonts w:hint="eastAsia" w:ascii="宋体" w:hAnsi="宋体" w:eastAsia="宋体" w:cs="宋体"/>
                <w:i w:val="0"/>
                <w:iCs w:val="0"/>
                <w:color w:val="000000"/>
                <w:kern w:val="0"/>
                <w:sz w:val="21"/>
                <w:szCs w:val="21"/>
                <w:u w:val="none"/>
                <w:lang w:val="en-US" w:eastAsia="zh-CN" w:bidi="ar"/>
              </w:rPr>
              <w:t>闽（2023）连城县不动产权第0007404号</w:t>
            </w:r>
          </w:p>
        </w:tc>
        <w:tc>
          <w:tcPr>
            <w:tcW w:w="1312" w:type="dxa"/>
            <w:vMerge w:val="continue"/>
            <w:tcBorders>
              <w:left w:val="single" w:color="000000" w:sz="4" w:space="0"/>
              <w:right w:val="single" w:color="000000" w:sz="4" w:space="0"/>
            </w:tcBorders>
            <w:shd w:val="clear" w:color="auto" w:fill="auto"/>
            <w:vAlign w:val="center"/>
          </w:tcPr>
          <w:p w14:paraId="1865A416">
            <w:pPr>
              <w:widowControl/>
              <w:spacing w:line="460" w:lineRule="exact"/>
              <w:jc w:val="center"/>
              <w:textAlignment w:val="center"/>
              <w:rPr>
                <w:rFonts w:ascii="宋体" w:hAnsi="宋体" w:cs="宋体"/>
                <w:color w:val="auto"/>
                <w:kern w:val="0"/>
                <w:sz w:val="21"/>
                <w:szCs w:val="21"/>
                <w:highlight w:val="none"/>
              </w:rPr>
            </w:pPr>
          </w:p>
        </w:tc>
      </w:tr>
      <w:tr w14:paraId="5AF607E1">
        <w:tblPrEx>
          <w:tblCellMar>
            <w:top w:w="0" w:type="dxa"/>
            <w:left w:w="108" w:type="dxa"/>
            <w:bottom w:w="0" w:type="dxa"/>
            <w:right w:w="108" w:type="dxa"/>
          </w:tblCellMar>
        </w:tblPrEx>
        <w:trPr>
          <w:trHeight w:val="369" w:hRule="exact"/>
          <w:jc w:val="center"/>
        </w:trPr>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67CEE">
            <w:pPr>
              <w:widowControl/>
              <w:spacing w:line="460" w:lineRule="exact"/>
              <w:jc w:val="center"/>
              <w:textAlignment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12</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17126">
            <w:pPr>
              <w:keepNext w:val="0"/>
              <w:keepLines w:val="0"/>
              <w:widowControl/>
              <w:suppressLineNumbers w:val="0"/>
              <w:jc w:val="center"/>
              <w:textAlignment w:val="center"/>
              <w:rPr>
                <w:rFonts w:hint="eastAsia" w:ascii="宋体" w:hAnsi="宋体" w:cs="宋体"/>
                <w:color w:val="auto"/>
                <w:kern w:val="0"/>
                <w:sz w:val="21"/>
                <w:szCs w:val="21"/>
                <w:highlight w:val="none"/>
              </w:rPr>
            </w:pPr>
            <w:r>
              <w:rPr>
                <w:rFonts w:hint="eastAsia" w:ascii="宋体" w:hAnsi="宋体" w:eastAsia="宋体" w:cs="宋体"/>
                <w:i w:val="0"/>
                <w:iCs w:val="0"/>
                <w:color w:val="000000"/>
                <w:kern w:val="0"/>
                <w:sz w:val="21"/>
                <w:szCs w:val="21"/>
                <w:u w:val="none"/>
                <w:lang w:val="en-US" w:eastAsia="zh-CN" w:bidi="ar"/>
              </w:rPr>
              <w:t>4-807</w:t>
            </w: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E703A">
            <w:pPr>
              <w:keepNext w:val="0"/>
              <w:keepLines w:val="0"/>
              <w:widowControl/>
              <w:suppressLineNumbers w:val="0"/>
              <w:jc w:val="center"/>
              <w:textAlignment w:val="center"/>
              <w:rPr>
                <w:rFonts w:hint="eastAsia" w:ascii="宋体" w:hAnsi="宋体" w:cs="宋体"/>
                <w:color w:val="auto"/>
                <w:kern w:val="0"/>
                <w:sz w:val="21"/>
                <w:szCs w:val="21"/>
                <w:highlight w:val="none"/>
              </w:rPr>
            </w:pPr>
            <w:r>
              <w:rPr>
                <w:rFonts w:hint="eastAsia" w:ascii="宋体" w:hAnsi="宋体" w:eastAsia="宋体" w:cs="宋体"/>
                <w:i w:val="0"/>
                <w:iCs w:val="0"/>
                <w:color w:val="000000"/>
                <w:kern w:val="0"/>
                <w:sz w:val="21"/>
                <w:szCs w:val="21"/>
                <w:u w:val="none"/>
                <w:lang w:val="en-US" w:eastAsia="zh-CN" w:bidi="ar"/>
              </w:rPr>
              <w:t xml:space="preserve">105.51 </w:t>
            </w:r>
          </w:p>
        </w:tc>
        <w:tc>
          <w:tcPr>
            <w:tcW w:w="4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0A246">
            <w:pPr>
              <w:keepNext w:val="0"/>
              <w:keepLines w:val="0"/>
              <w:widowControl/>
              <w:suppressLineNumbers w:val="0"/>
              <w:jc w:val="center"/>
              <w:textAlignment w:val="center"/>
              <w:rPr>
                <w:rFonts w:hint="eastAsia" w:ascii="宋体" w:hAnsi="宋体" w:cs="宋体"/>
                <w:color w:val="auto"/>
                <w:kern w:val="0"/>
                <w:sz w:val="21"/>
                <w:szCs w:val="21"/>
                <w:highlight w:val="none"/>
              </w:rPr>
            </w:pPr>
            <w:r>
              <w:rPr>
                <w:rFonts w:hint="eastAsia" w:ascii="宋体" w:hAnsi="宋体" w:eastAsia="宋体" w:cs="宋体"/>
                <w:i w:val="0"/>
                <w:iCs w:val="0"/>
                <w:color w:val="000000"/>
                <w:kern w:val="0"/>
                <w:sz w:val="21"/>
                <w:szCs w:val="21"/>
                <w:u w:val="none"/>
                <w:lang w:val="en-US" w:eastAsia="zh-CN" w:bidi="ar"/>
              </w:rPr>
              <w:t>闽（2023）连城县不动产权第0007386号</w:t>
            </w:r>
          </w:p>
        </w:tc>
        <w:tc>
          <w:tcPr>
            <w:tcW w:w="1312" w:type="dxa"/>
            <w:vMerge w:val="continue"/>
            <w:tcBorders>
              <w:left w:val="single" w:color="000000" w:sz="4" w:space="0"/>
              <w:right w:val="single" w:color="000000" w:sz="4" w:space="0"/>
            </w:tcBorders>
            <w:shd w:val="clear" w:color="auto" w:fill="auto"/>
            <w:vAlign w:val="center"/>
          </w:tcPr>
          <w:p w14:paraId="4636F40D">
            <w:pPr>
              <w:widowControl/>
              <w:spacing w:line="460" w:lineRule="exact"/>
              <w:jc w:val="center"/>
              <w:textAlignment w:val="center"/>
              <w:rPr>
                <w:rFonts w:ascii="宋体" w:hAnsi="宋体" w:cs="宋体"/>
                <w:color w:val="auto"/>
                <w:kern w:val="0"/>
                <w:sz w:val="21"/>
                <w:szCs w:val="21"/>
                <w:highlight w:val="none"/>
              </w:rPr>
            </w:pPr>
          </w:p>
        </w:tc>
      </w:tr>
      <w:tr w14:paraId="5CCBCEEE">
        <w:tblPrEx>
          <w:tblCellMar>
            <w:top w:w="0" w:type="dxa"/>
            <w:left w:w="108" w:type="dxa"/>
            <w:bottom w:w="0" w:type="dxa"/>
            <w:right w:w="108" w:type="dxa"/>
          </w:tblCellMar>
        </w:tblPrEx>
        <w:trPr>
          <w:trHeight w:val="369" w:hRule="exact"/>
          <w:jc w:val="center"/>
        </w:trPr>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D5128">
            <w:pPr>
              <w:widowControl/>
              <w:spacing w:line="460" w:lineRule="exact"/>
              <w:jc w:val="center"/>
              <w:textAlignment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13</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E5936">
            <w:pPr>
              <w:keepNext w:val="0"/>
              <w:keepLines w:val="0"/>
              <w:widowControl/>
              <w:suppressLineNumbers w:val="0"/>
              <w:jc w:val="center"/>
              <w:textAlignment w:val="center"/>
              <w:rPr>
                <w:rFonts w:hint="eastAsia" w:ascii="宋体" w:hAnsi="宋体" w:cs="宋体"/>
                <w:color w:val="auto"/>
                <w:kern w:val="0"/>
                <w:sz w:val="21"/>
                <w:szCs w:val="21"/>
                <w:highlight w:val="none"/>
              </w:rPr>
            </w:pPr>
            <w:r>
              <w:rPr>
                <w:rFonts w:hint="eastAsia" w:ascii="宋体" w:hAnsi="宋体" w:eastAsia="宋体" w:cs="宋体"/>
                <w:i w:val="0"/>
                <w:iCs w:val="0"/>
                <w:color w:val="000000"/>
                <w:kern w:val="0"/>
                <w:sz w:val="21"/>
                <w:szCs w:val="21"/>
                <w:u w:val="none"/>
                <w:lang w:val="en-US" w:eastAsia="zh-CN" w:bidi="ar"/>
              </w:rPr>
              <w:t>4-901</w:t>
            </w: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7D18E">
            <w:pPr>
              <w:keepNext w:val="0"/>
              <w:keepLines w:val="0"/>
              <w:widowControl/>
              <w:suppressLineNumbers w:val="0"/>
              <w:jc w:val="center"/>
              <w:textAlignment w:val="center"/>
              <w:rPr>
                <w:rFonts w:hint="eastAsia" w:ascii="宋体" w:hAnsi="宋体" w:cs="宋体"/>
                <w:color w:val="auto"/>
                <w:kern w:val="0"/>
                <w:sz w:val="21"/>
                <w:szCs w:val="21"/>
                <w:highlight w:val="none"/>
              </w:rPr>
            </w:pPr>
            <w:r>
              <w:rPr>
                <w:rFonts w:hint="eastAsia" w:ascii="宋体" w:hAnsi="宋体" w:eastAsia="宋体" w:cs="宋体"/>
                <w:i w:val="0"/>
                <w:iCs w:val="0"/>
                <w:color w:val="000000"/>
                <w:kern w:val="0"/>
                <w:sz w:val="21"/>
                <w:szCs w:val="21"/>
                <w:u w:val="none"/>
                <w:lang w:val="en-US" w:eastAsia="zh-CN" w:bidi="ar"/>
              </w:rPr>
              <w:t xml:space="preserve">105.74 </w:t>
            </w:r>
          </w:p>
        </w:tc>
        <w:tc>
          <w:tcPr>
            <w:tcW w:w="4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E1AE8">
            <w:pPr>
              <w:keepNext w:val="0"/>
              <w:keepLines w:val="0"/>
              <w:widowControl/>
              <w:suppressLineNumbers w:val="0"/>
              <w:jc w:val="center"/>
              <w:textAlignment w:val="center"/>
              <w:rPr>
                <w:rFonts w:hint="eastAsia" w:ascii="宋体" w:hAnsi="宋体" w:cs="宋体"/>
                <w:color w:val="auto"/>
                <w:kern w:val="0"/>
                <w:sz w:val="21"/>
                <w:szCs w:val="21"/>
                <w:highlight w:val="none"/>
              </w:rPr>
            </w:pPr>
            <w:r>
              <w:rPr>
                <w:rFonts w:hint="eastAsia" w:ascii="宋体" w:hAnsi="宋体" w:eastAsia="宋体" w:cs="宋体"/>
                <w:i w:val="0"/>
                <w:iCs w:val="0"/>
                <w:color w:val="000000"/>
                <w:kern w:val="0"/>
                <w:sz w:val="21"/>
                <w:szCs w:val="21"/>
                <w:u w:val="none"/>
                <w:lang w:val="en-US" w:eastAsia="zh-CN" w:bidi="ar"/>
              </w:rPr>
              <w:t>闽（2023）连城县不动产权第0007376号</w:t>
            </w:r>
          </w:p>
        </w:tc>
        <w:tc>
          <w:tcPr>
            <w:tcW w:w="1312" w:type="dxa"/>
            <w:vMerge w:val="continue"/>
            <w:tcBorders>
              <w:left w:val="single" w:color="000000" w:sz="4" w:space="0"/>
              <w:right w:val="single" w:color="000000" w:sz="4" w:space="0"/>
            </w:tcBorders>
            <w:shd w:val="clear" w:color="auto" w:fill="auto"/>
            <w:vAlign w:val="center"/>
          </w:tcPr>
          <w:p w14:paraId="0CD47EC4">
            <w:pPr>
              <w:widowControl/>
              <w:spacing w:line="460" w:lineRule="exact"/>
              <w:jc w:val="center"/>
              <w:textAlignment w:val="center"/>
              <w:rPr>
                <w:rFonts w:ascii="宋体" w:hAnsi="宋体" w:cs="宋体"/>
                <w:color w:val="auto"/>
                <w:kern w:val="0"/>
                <w:sz w:val="21"/>
                <w:szCs w:val="21"/>
                <w:highlight w:val="none"/>
              </w:rPr>
            </w:pPr>
          </w:p>
        </w:tc>
      </w:tr>
      <w:tr w14:paraId="12C0A83C">
        <w:tblPrEx>
          <w:tblCellMar>
            <w:top w:w="0" w:type="dxa"/>
            <w:left w:w="108" w:type="dxa"/>
            <w:bottom w:w="0" w:type="dxa"/>
            <w:right w:w="108" w:type="dxa"/>
          </w:tblCellMar>
        </w:tblPrEx>
        <w:trPr>
          <w:trHeight w:val="369" w:hRule="exact"/>
          <w:jc w:val="center"/>
        </w:trPr>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87573">
            <w:pPr>
              <w:widowControl/>
              <w:spacing w:line="460" w:lineRule="exact"/>
              <w:jc w:val="center"/>
              <w:textAlignment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14</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C6752">
            <w:pPr>
              <w:keepNext w:val="0"/>
              <w:keepLines w:val="0"/>
              <w:widowControl/>
              <w:suppressLineNumbers w:val="0"/>
              <w:jc w:val="center"/>
              <w:textAlignment w:val="center"/>
              <w:rPr>
                <w:rFonts w:hint="eastAsia" w:ascii="宋体" w:hAnsi="宋体" w:cs="宋体"/>
                <w:color w:val="auto"/>
                <w:kern w:val="0"/>
                <w:sz w:val="21"/>
                <w:szCs w:val="21"/>
                <w:highlight w:val="none"/>
              </w:rPr>
            </w:pPr>
            <w:r>
              <w:rPr>
                <w:rFonts w:hint="eastAsia" w:ascii="宋体" w:hAnsi="宋体" w:eastAsia="宋体" w:cs="宋体"/>
                <w:i w:val="0"/>
                <w:iCs w:val="0"/>
                <w:color w:val="000000"/>
                <w:kern w:val="0"/>
                <w:sz w:val="21"/>
                <w:szCs w:val="21"/>
                <w:u w:val="none"/>
                <w:lang w:val="en-US" w:eastAsia="zh-CN" w:bidi="ar"/>
              </w:rPr>
              <w:t>4-902</w:t>
            </w: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14226">
            <w:pPr>
              <w:keepNext w:val="0"/>
              <w:keepLines w:val="0"/>
              <w:widowControl/>
              <w:suppressLineNumbers w:val="0"/>
              <w:jc w:val="center"/>
              <w:textAlignment w:val="center"/>
              <w:rPr>
                <w:rFonts w:hint="eastAsia" w:ascii="宋体" w:hAnsi="宋体" w:cs="宋体"/>
                <w:color w:val="auto"/>
                <w:kern w:val="0"/>
                <w:sz w:val="21"/>
                <w:szCs w:val="21"/>
                <w:highlight w:val="none"/>
              </w:rPr>
            </w:pPr>
            <w:r>
              <w:rPr>
                <w:rFonts w:hint="eastAsia" w:ascii="宋体" w:hAnsi="宋体" w:eastAsia="宋体" w:cs="宋体"/>
                <w:i w:val="0"/>
                <w:iCs w:val="0"/>
                <w:color w:val="000000"/>
                <w:kern w:val="0"/>
                <w:sz w:val="21"/>
                <w:szCs w:val="21"/>
                <w:u w:val="none"/>
                <w:lang w:val="en-US" w:eastAsia="zh-CN" w:bidi="ar"/>
              </w:rPr>
              <w:t xml:space="preserve">79.32 </w:t>
            </w:r>
          </w:p>
        </w:tc>
        <w:tc>
          <w:tcPr>
            <w:tcW w:w="4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00356">
            <w:pPr>
              <w:keepNext w:val="0"/>
              <w:keepLines w:val="0"/>
              <w:widowControl/>
              <w:suppressLineNumbers w:val="0"/>
              <w:jc w:val="center"/>
              <w:textAlignment w:val="center"/>
              <w:rPr>
                <w:rFonts w:hint="eastAsia" w:ascii="宋体" w:hAnsi="宋体" w:cs="宋体"/>
                <w:color w:val="auto"/>
                <w:kern w:val="0"/>
                <w:sz w:val="21"/>
                <w:szCs w:val="21"/>
                <w:highlight w:val="none"/>
              </w:rPr>
            </w:pPr>
            <w:r>
              <w:rPr>
                <w:rFonts w:hint="eastAsia" w:ascii="宋体" w:hAnsi="宋体" w:eastAsia="宋体" w:cs="宋体"/>
                <w:i w:val="0"/>
                <w:iCs w:val="0"/>
                <w:color w:val="000000"/>
                <w:kern w:val="0"/>
                <w:sz w:val="21"/>
                <w:szCs w:val="21"/>
                <w:u w:val="none"/>
                <w:lang w:val="en-US" w:eastAsia="zh-CN" w:bidi="ar"/>
              </w:rPr>
              <w:t>闽（2023）连城县不动产权第0007396号</w:t>
            </w:r>
          </w:p>
        </w:tc>
        <w:tc>
          <w:tcPr>
            <w:tcW w:w="1312" w:type="dxa"/>
            <w:vMerge w:val="continue"/>
            <w:tcBorders>
              <w:left w:val="single" w:color="000000" w:sz="4" w:space="0"/>
              <w:right w:val="single" w:color="000000" w:sz="4" w:space="0"/>
            </w:tcBorders>
            <w:shd w:val="clear" w:color="auto" w:fill="auto"/>
            <w:vAlign w:val="center"/>
          </w:tcPr>
          <w:p w14:paraId="3B1B7D5C">
            <w:pPr>
              <w:widowControl/>
              <w:spacing w:line="460" w:lineRule="exact"/>
              <w:jc w:val="center"/>
              <w:textAlignment w:val="center"/>
              <w:rPr>
                <w:rFonts w:ascii="宋体" w:hAnsi="宋体" w:cs="宋体"/>
                <w:color w:val="auto"/>
                <w:kern w:val="0"/>
                <w:sz w:val="21"/>
                <w:szCs w:val="21"/>
                <w:highlight w:val="none"/>
              </w:rPr>
            </w:pPr>
          </w:p>
        </w:tc>
      </w:tr>
      <w:tr w14:paraId="10322AAA">
        <w:tblPrEx>
          <w:tblCellMar>
            <w:top w:w="0" w:type="dxa"/>
            <w:left w:w="108" w:type="dxa"/>
            <w:bottom w:w="0" w:type="dxa"/>
            <w:right w:w="108" w:type="dxa"/>
          </w:tblCellMar>
        </w:tblPrEx>
        <w:trPr>
          <w:trHeight w:val="369" w:hRule="exact"/>
          <w:jc w:val="center"/>
        </w:trPr>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55A59">
            <w:pPr>
              <w:widowControl/>
              <w:spacing w:line="460" w:lineRule="exact"/>
              <w:jc w:val="center"/>
              <w:textAlignment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15</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65198">
            <w:pPr>
              <w:keepNext w:val="0"/>
              <w:keepLines w:val="0"/>
              <w:widowControl/>
              <w:suppressLineNumbers w:val="0"/>
              <w:jc w:val="center"/>
              <w:textAlignment w:val="center"/>
              <w:rPr>
                <w:rFonts w:hint="eastAsia" w:ascii="宋体" w:hAnsi="宋体" w:cs="宋体"/>
                <w:color w:val="auto"/>
                <w:kern w:val="0"/>
                <w:sz w:val="21"/>
                <w:szCs w:val="21"/>
                <w:highlight w:val="none"/>
              </w:rPr>
            </w:pPr>
            <w:r>
              <w:rPr>
                <w:rFonts w:hint="eastAsia" w:ascii="宋体" w:hAnsi="宋体" w:eastAsia="宋体" w:cs="宋体"/>
                <w:i w:val="0"/>
                <w:iCs w:val="0"/>
                <w:color w:val="000000"/>
                <w:kern w:val="0"/>
                <w:sz w:val="21"/>
                <w:szCs w:val="21"/>
                <w:u w:val="none"/>
                <w:lang w:val="en-US" w:eastAsia="zh-CN" w:bidi="ar"/>
              </w:rPr>
              <w:t>4-903</w:t>
            </w: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5BC44">
            <w:pPr>
              <w:keepNext w:val="0"/>
              <w:keepLines w:val="0"/>
              <w:widowControl/>
              <w:suppressLineNumbers w:val="0"/>
              <w:jc w:val="center"/>
              <w:textAlignment w:val="center"/>
              <w:rPr>
                <w:rFonts w:hint="eastAsia" w:ascii="宋体" w:hAnsi="宋体" w:cs="宋体"/>
                <w:color w:val="auto"/>
                <w:kern w:val="0"/>
                <w:sz w:val="21"/>
                <w:szCs w:val="21"/>
                <w:highlight w:val="none"/>
              </w:rPr>
            </w:pPr>
            <w:r>
              <w:rPr>
                <w:rFonts w:hint="eastAsia" w:ascii="宋体" w:hAnsi="宋体" w:eastAsia="宋体" w:cs="宋体"/>
                <w:i w:val="0"/>
                <w:iCs w:val="0"/>
                <w:color w:val="000000"/>
                <w:kern w:val="0"/>
                <w:sz w:val="21"/>
                <w:szCs w:val="21"/>
                <w:u w:val="none"/>
                <w:lang w:val="en-US" w:eastAsia="zh-CN" w:bidi="ar"/>
              </w:rPr>
              <w:t xml:space="preserve">96.03 </w:t>
            </w:r>
          </w:p>
        </w:tc>
        <w:tc>
          <w:tcPr>
            <w:tcW w:w="4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3A800">
            <w:pPr>
              <w:keepNext w:val="0"/>
              <w:keepLines w:val="0"/>
              <w:widowControl/>
              <w:suppressLineNumbers w:val="0"/>
              <w:jc w:val="center"/>
              <w:textAlignment w:val="center"/>
              <w:rPr>
                <w:rFonts w:hint="eastAsia" w:ascii="宋体" w:hAnsi="宋体" w:cs="宋体"/>
                <w:color w:val="auto"/>
                <w:kern w:val="0"/>
                <w:sz w:val="21"/>
                <w:szCs w:val="21"/>
                <w:highlight w:val="none"/>
              </w:rPr>
            </w:pPr>
            <w:r>
              <w:rPr>
                <w:rFonts w:hint="eastAsia" w:ascii="宋体" w:hAnsi="宋体" w:eastAsia="宋体" w:cs="宋体"/>
                <w:i w:val="0"/>
                <w:iCs w:val="0"/>
                <w:color w:val="000000"/>
                <w:kern w:val="0"/>
                <w:sz w:val="21"/>
                <w:szCs w:val="21"/>
                <w:u w:val="none"/>
                <w:lang w:val="en-US" w:eastAsia="zh-CN" w:bidi="ar"/>
              </w:rPr>
              <w:t>闽（2023）连城县不动产权第0007390号</w:t>
            </w:r>
          </w:p>
        </w:tc>
        <w:tc>
          <w:tcPr>
            <w:tcW w:w="1312" w:type="dxa"/>
            <w:vMerge w:val="continue"/>
            <w:tcBorders>
              <w:left w:val="single" w:color="000000" w:sz="4" w:space="0"/>
              <w:bottom w:val="single" w:color="000000" w:sz="4" w:space="0"/>
              <w:right w:val="single" w:color="000000" w:sz="4" w:space="0"/>
            </w:tcBorders>
            <w:shd w:val="clear" w:color="auto" w:fill="auto"/>
            <w:vAlign w:val="center"/>
          </w:tcPr>
          <w:p w14:paraId="01243255">
            <w:pPr>
              <w:widowControl/>
              <w:spacing w:line="460" w:lineRule="exact"/>
              <w:jc w:val="center"/>
              <w:textAlignment w:val="center"/>
              <w:rPr>
                <w:rFonts w:ascii="宋体" w:hAnsi="宋体" w:cs="宋体"/>
                <w:color w:val="auto"/>
                <w:kern w:val="0"/>
                <w:sz w:val="21"/>
                <w:szCs w:val="21"/>
                <w:highlight w:val="none"/>
              </w:rPr>
            </w:pPr>
          </w:p>
        </w:tc>
      </w:tr>
    </w:tbl>
    <w:p w14:paraId="75055DA0">
      <w:pPr>
        <w:spacing w:line="440" w:lineRule="exact"/>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三、竞买资格：</w:t>
      </w:r>
    </w:p>
    <w:p w14:paraId="239FD664">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凡遵守中华人民共和国法律、法规、具有独立法人资格的国内外企业、组织和具有完全民事行为能力的自然人（法律法规另有规定的除外）。竞买人为自然人的应符合标的物所在地的现行购房政策包括但不限于房产所在地政府颁布的“限购令”等规定。</w:t>
      </w:r>
      <w:r>
        <w:rPr>
          <w:rFonts w:hint="eastAsia" w:ascii="宋体" w:hAnsi="宋体" w:cs="宋体"/>
          <w:b/>
          <w:bCs/>
          <w:color w:val="auto"/>
          <w:sz w:val="24"/>
          <w:highlight w:val="none"/>
          <w:u w:val="single"/>
        </w:rPr>
        <w:t>不符合条件参加竞买的，竞买人自行承担相应的法律责任。</w:t>
      </w:r>
    </w:p>
    <w:p w14:paraId="752E0F91">
      <w:pPr>
        <w:spacing w:line="440" w:lineRule="exact"/>
        <w:ind w:firstLine="420"/>
        <w:rPr>
          <w:rFonts w:ascii="宋体" w:hAnsi="宋体" w:cs="宋体"/>
          <w:color w:val="auto"/>
          <w:sz w:val="24"/>
          <w:highlight w:val="none"/>
        </w:rPr>
      </w:pPr>
      <w:r>
        <w:rPr>
          <w:rFonts w:hint="eastAsia" w:ascii="宋体" w:hAnsi="宋体" w:cs="宋体"/>
          <w:color w:val="auto"/>
          <w:sz w:val="24"/>
          <w:highlight w:val="none"/>
        </w:rPr>
        <w:t>2、参加竞买者应提交以下有效证件申请办理竞买登记手续。</w:t>
      </w:r>
    </w:p>
    <w:p w14:paraId="4754EBBA">
      <w:pPr>
        <w:spacing w:line="440" w:lineRule="exact"/>
        <w:ind w:firstLine="420"/>
        <w:rPr>
          <w:rFonts w:ascii="宋体" w:hAnsi="宋体" w:cs="宋体"/>
          <w:color w:val="auto"/>
          <w:sz w:val="24"/>
          <w:highlight w:val="none"/>
        </w:rPr>
      </w:pPr>
      <w:r>
        <w:rPr>
          <w:rFonts w:hint="eastAsia" w:ascii="宋体" w:hAnsi="宋体" w:cs="宋体"/>
          <w:color w:val="auto"/>
          <w:sz w:val="24"/>
          <w:highlight w:val="none"/>
        </w:rPr>
        <w:t>①企业法人应提供企业法人有效营业执照、法定代表人身份证明书、法定代表人身份证、授权委托书（复印件应盖公章）；</w:t>
      </w:r>
    </w:p>
    <w:p w14:paraId="11420E5B">
      <w:pPr>
        <w:spacing w:line="440" w:lineRule="exact"/>
        <w:ind w:firstLine="420"/>
        <w:rPr>
          <w:rFonts w:ascii="宋体" w:hAnsi="宋体" w:cs="宋体"/>
          <w:color w:val="auto"/>
          <w:sz w:val="24"/>
          <w:highlight w:val="none"/>
        </w:rPr>
      </w:pPr>
      <w:r>
        <w:rPr>
          <w:rFonts w:hint="eastAsia" w:ascii="宋体" w:hAnsi="宋体" w:cs="宋体"/>
          <w:color w:val="auto"/>
          <w:sz w:val="24"/>
          <w:highlight w:val="none"/>
        </w:rPr>
        <w:t>②自然人应提供居民身份证或护照等身份证明。</w:t>
      </w:r>
    </w:p>
    <w:p w14:paraId="6F5DA0D1">
      <w:pPr>
        <w:spacing w:line="440" w:lineRule="exact"/>
        <w:ind w:firstLine="420"/>
        <w:rPr>
          <w:rFonts w:ascii="宋体" w:hAnsi="宋体" w:cs="宋体"/>
          <w:color w:val="auto"/>
          <w:sz w:val="24"/>
          <w:highlight w:val="none"/>
        </w:rPr>
      </w:pPr>
      <w:r>
        <w:rPr>
          <w:rFonts w:hint="eastAsia" w:ascii="宋体" w:hAnsi="宋体" w:cs="宋体"/>
          <w:color w:val="auto"/>
          <w:sz w:val="24"/>
          <w:highlight w:val="none"/>
        </w:rPr>
        <w:t>③如法定代表人及自然人无法亲自参加竞拍的，应提供授权委托书和委托代理人的身份证明。</w:t>
      </w:r>
    </w:p>
    <w:p w14:paraId="24D4AE59">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3、竞买资格（及限制性条件）认定由竞买人自行审查,因此产生的无法受领标的及其它一切后果由竞买人自行负责，委托人及拍卖人不承担任何法律、经济等责任。</w:t>
      </w:r>
    </w:p>
    <w:p w14:paraId="37495F1E">
      <w:pPr>
        <w:spacing w:line="440" w:lineRule="exact"/>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四、报名及竞买保证金：</w:t>
      </w:r>
    </w:p>
    <w:p w14:paraId="136CBD4D">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1、符合前述条件的竞买人，应于2025年</w:t>
      </w:r>
      <w:r>
        <w:rPr>
          <w:rFonts w:hint="eastAsia" w:ascii="宋体" w:hAnsi="宋体" w:cs="宋体"/>
          <w:color w:val="auto"/>
          <w:sz w:val="24"/>
          <w:highlight w:val="none"/>
          <w:lang w:val="en-US" w:eastAsia="zh-CN"/>
        </w:rPr>
        <w:t>6月17日</w:t>
      </w:r>
      <w:r>
        <w:rPr>
          <w:rFonts w:hint="eastAsia" w:ascii="宋体" w:hAnsi="宋体" w:cs="宋体"/>
          <w:color w:val="auto"/>
          <w:sz w:val="24"/>
          <w:highlight w:val="none"/>
        </w:rPr>
        <w:t>17时前将相应竞买保证金存入拍卖公司指定账户（以到账时间为准），</w:t>
      </w:r>
      <w:r>
        <w:rPr>
          <w:rFonts w:ascii="宋体" w:hAnsi="宋体" w:cs="宋体"/>
          <w:sz w:val="24"/>
        </w:rPr>
        <w:t>并携带保证金缴款凭证及相关身份证明文件与拍卖公司办理竞价登记手续，签署相关竞价文件，无法及时到场签署竞价文件的应提前征得拍卖人同意</w:t>
      </w:r>
      <w:r>
        <w:rPr>
          <w:rFonts w:hint="eastAsia" w:ascii="宋体" w:hAnsi="宋体" w:cs="宋体"/>
          <w:color w:val="auto"/>
          <w:sz w:val="24"/>
          <w:highlight w:val="none"/>
        </w:rPr>
        <w:t>。</w:t>
      </w:r>
    </w:p>
    <w:p w14:paraId="086F31B8">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2、未竞得标的的竞买人，其竞买保证金于拍卖会结束之日起十个工作日内无息退还至缴款人本人账户。</w:t>
      </w:r>
    </w:p>
    <w:p w14:paraId="47A260C2">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3、买受人的竞买保证金直接抵作拍卖佣金（含交易服务费，下同），如有剩余，由拍卖人直接将剩余部分转付给委托人用于抵作部分成交款，如不足抵扣拍卖佣金的，买受人应在拍卖成交日起二日内补足付清。</w:t>
      </w:r>
    </w:p>
    <w:p w14:paraId="2CE36EF4">
      <w:pPr>
        <w:spacing w:line="44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rPr>
        <w:t>五、竞买保证金、拍卖佣金及拍卖成交款的交付账户：</w:t>
      </w:r>
    </w:p>
    <w:p w14:paraId="40A802AD">
      <w:pPr>
        <w:spacing w:line="440" w:lineRule="exact"/>
        <w:ind w:firstLine="360" w:firstLineChars="150"/>
        <w:rPr>
          <w:rFonts w:ascii="宋体" w:hAnsi="宋体" w:cs="宋体"/>
          <w:color w:val="auto"/>
          <w:sz w:val="24"/>
          <w:highlight w:val="none"/>
        </w:rPr>
      </w:pPr>
      <w:r>
        <w:rPr>
          <w:rFonts w:hint="eastAsia" w:ascii="宋体" w:hAnsi="宋体" w:cs="宋体"/>
          <w:color w:val="auto"/>
          <w:sz w:val="24"/>
          <w:highlight w:val="none"/>
        </w:rPr>
        <w:t>1、竞买人的竞买保证金、拍卖佣金及拍卖成交款存入拍卖公司指定的银行帐户（户名：连城县国有资产产权交易服务有限公司，开户行：农业银行连城县支行，账号： 1377 0101 0400 18263），竞买保证金缴至以上账户时，交款单中“款项来源”或“用途”一栏内须填写“****人的竞买保证金”。</w:t>
      </w:r>
    </w:p>
    <w:p w14:paraId="2A1A14CA">
      <w:pPr>
        <w:spacing w:line="440" w:lineRule="exact"/>
        <w:ind w:firstLine="360" w:firstLineChars="150"/>
        <w:rPr>
          <w:rFonts w:ascii="宋体" w:hAnsi="宋体" w:cs="宋体"/>
          <w:color w:val="auto"/>
          <w:sz w:val="24"/>
          <w:highlight w:val="none"/>
        </w:rPr>
      </w:pPr>
      <w:r>
        <w:rPr>
          <w:rFonts w:hint="eastAsia" w:ascii="宋体" w:hAnsi="宋体" w:cs="宋体"/>
          <w:color w:val="auto"/>
          <w:sz w:val="24"/>
          <w:highlight w:val="none"/>
        </w:rPr>
        <w:t>2、竞买人必须从本人（单位）的银行账户采用转账、电汇、网上汇款等方式汇入指定账户，或直接在银行现金缴款到指定账户，不得以他人名义代缴，不接受ATM自助转账、微信、支付宝等方式，否则拍卖人可以视其缴交竞买保证金行为无效。</w:t>
      </w:r>
    </w:p>
    <w:p w14:paraId="0FF99AFC">
      <w:pPr>
        <w:spacing w:line="440" w:lineRule="exact"/>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六、拍卖规则：</w:t>
      </w:r>
    </w:p>
    <w:p w14:paraId="71FDAB4B">
      <w:pPr>
        <w:spacing w:line="420" w:lineRule="exact"/>
        <w:ind w:firstLine="420"/>
        <w:rPr>
          <w:rFonts w:ascii="宋体" w:hAnsi="宋体" w:cs="宋体"/>
          <w:sz w:val="24"/>
        </w:rPr>
      </w:pPr>
      <w:r>
        <w:rPr>
          <w:rFonts w:ascii="宋体" w:hAnsi="宋体" w:cs="宋体"/>
          <w:sz w:val="24"/>
        </w:rPr>
        <w:t>1、</w:t>
      </w:r>
      <w:r>
        <w:rPr>
          <w:rFonts w:hint="eastAsia" w:ascii="宋体" w:hAnsi="宋体" w:cs="宋体"/>
          <w:sz w:val="24"/>
        </w:rPr>
        <w:t>经拍卖人办理登记手续后，</w:t>
      </w:r>
      <w:r>
        <w:rPr>
          <w:rFonts w:hint="eastAsia" w:ascii="宋体" w:hAnsi="宋体" w:cs="宋体"/>
          <w:sz w:val="24"/>
          <w:lang w:eastAsia="zh-CN"/>
        </w:rPr>
        <w:t>竞买人</w:t>
      </w:r>
      <w:r>
        <w:rPr>
          <w:rFonts w:hint="eastAsia" w:ascii="宋体" w:hAnsi="宋体" w:cs="宋体"/>
          <w:sz w:val="24"/>
        </w:rPr>
        <w:t>应于拍卖会开始前20分钟凭《竞买协议书》领取竞价号牌入场参加拍卖会，每个号牌允许进场2人，其他人员未经本公司允许，不得进入会场。</w:t>
      </w:r>
    </w:p>
    <w:p w14:paraId="671A8C83">
      <w:pPr>
        <w:spacing w:line="420" w:lineRule="exact"/>
        <w:ind w:firstLine="360" w:firstLineChars="150"/>
        <w:rPr>
          <w:rFonts w:ascii="宋体" w:hAnsi="宋体" w:cs="宋体"/>
          <w:sz w:val="24"/>
        </w:rPr>
      </w:pPr>
      <w:r>
        <w:rPr>
          <w:rFonts w:ascii="宋体" w:hAnsi="宋体" w:cs="宋体"/>
          <w:sz w:val="24"/>
        </w:rPr>
        <w:t>2、</w:t>
      </w:r>
      <w:r>
        <w:rPr>
          <w:rFonts w:hint="eastAsia" w:ascii="宋体" w:hAnsi="宋体" w:cs="宋体"/>
          <w:sz w:val="24"/>
          <w:lang w:eastAsia="zh-CN"/>
        </w:rPr>
        <w:t>竞买人</w:t>
      </w:r>
      <w:r>
        <w:rPr>
          <w:rFonts w:ascii="宋体" w:hAnsi="宋体" w:cs="宋体"/>
          <w:sz w:val="24"/>
        </w:rPr>
        <w:t>应妥善保管号牌，凭号牌参与竞价，举牌报价，号牌为</w:t>
      </w:r>
      <w:r>
        <w:rPr>
          <w:rFonts w:hint="eastAsia" w:ascii="宋体" w:hAnsi="宋体" w:cs="宋体"/>
          <w:sz w:val="24"/>
          <w:lang w:eastAsia="zh-CN"/>
        </w:rPr>
        <w:t>竞买人</w:t>
      </w:r>
      <w:r>
        <w:rPr>
          <w:rFonts w:ascii="宋体" w:hAnsi="宋体" w:cs="宋体"/>
          <w:sz w:val="24"/>
        </w:rPr>
        <w:t>参加拍卖会的唯一合法身份，所有以该牌的报价行为均视为</w:t>
      </w:r>
      <w:r>
        <w:rPr>
          <w:rFonts w:hint="eastAsia" w:ascii="宋体" w:hAnsi="宋体" w:cs="宋体"/>
          <w:sz w:val="24"/>
          <w:lang w:eastAsia="zh-CN"/>
        </w:rPr>
        <w:t>竞买人</w:t>
      </w:r>
      <w:r>
        <w:rPr>
          <w:rFonts w:ascii="宋体" w:hAnsi="宋体" w:cs="宋体"/>
          <w:sz w:val="24"/>
        </w:rPr>
        <w:t>本人真实意愿的表示。如丢失或被他人盗用，</w:t>
      </w:r>
      <w:r>
        <w:rPr>
          <w:rFonts w:hint="eastAsia" w:ascii="宋体" w:hAnsi="宋体" w:cs="宋体"/>
          <w:sz w:val="24"/>
          <w:lang w:eastAsia="zh-CN"/>
        </w:rPr>
        <w:t>竞买人</w:t>
      </w:r>
      <w:r>
        <w:rPr>
          <w:rFonts w:ascii="宋体" w:hAnsi="宋体" w:cs="宋体"/>
          <w:sz w:val="24"/>
        </w:rPr>
        <w:t>在拍卖前需以书面形式通知拍卖人声明作废，否则一切后果由</w:t>
      </w:r>
      <w:r>
        <w:rPr>
          <w:rFonts w:hint="eastAsia" w:ascii="宋体" w:hAnsi="宋体" w:cs="宋体"/>
          <w:sz w:val="24"/>
          <w:lang w:eastAsia="zh-CN"/>
        </w:rPr>
        <w:t>竞买人</w:t>
      </w:r>
      <w:r>
        <w:rPr>
          <w:rFonts w:ascii="宋体" w:hAnsi="宋体" w:cs="宋体"/>
          <w:sz w:val="24"/>
        </w:rPr>
        <w:t>负责。</w:t>
      </w:r>
    </w:p>
    <w:p w14:paraId="2E7419F0">
      <w:pPr>
        <w:spacing w:line="420" w:lineRule="exact"/>
        <w:ind w:firstLine="360" w:firstLineChars="150"/>
        <w:rPr>
          <w:rFonts w:ascii="宋体" w:hAnsi="宋体" w:cs="宋体"/>
          <w:sz w:val="24"/>
        </w:rPr>
      </w:pPr>
      <w:r>
        <w:rPr>
          <w:rFonts w:ascii="宋体" w:hAnsi="宋体" w:cs="宋体"/>
          <w:sz w:val="24"/>
        </w:rPr>
        <w:t>3、本次拍卖会采取</w:t>
      </w:r>
      <w:r>
        <w:rPr>
          <w:rFonts w:ascii="宋体" w:hAnsi="宋体" w:cs="宋体"/>
          <w:bCs/>
          <w:sz w:val="24"/>
        </w:rPr>
        <w:t>有设保留价</w:t>
      </w:r>
      <w:r>
        <w:rPr>
          <w:rFonts w:ascii="宋体" w:hAnsi="宋体" w:cs="宋体"/>
          <w:sz w:val="24"/>
        </w:rPr>
        <w:t>的增价拍卖方式，以增价方式进行拍卖时，先由拍卖师报出起拍价后，</w:t>
      </w:r>
      <w:r>
        <w:rPr>
          <w:rFonts w:hint="eastAsia" w:ascii="宋体" w:hAnsi="宋体" w:cs="宋体"/>
          <w:sz w:val="24"/>
          <w:lang w:eastAsia="zh-CN"/>
        </w:rPr>
        <w:t>竞买人</w:t>
      </w:r>
      <w:r>
        <w:rPr>
          <w:rFonts w:ascii="宋体" w:hAnsi="宋体" w:cs="宋体"/>
          <w:sz w:val="24"/>
        </w:rPr>
        <w:t>按拍卖师宣布的加价幅度（或其自然倍数）加价竞价，至无人继续加价后，拍卖师连续报价三次且最后应价达到或超过保留价，拍卖师击槌表示成交（低于保留价不成交）。</w:t>
      </w:r>
    </w:p>
    <w:p w14:paraId="2C302AF8">
      <w:pPr>
        <w:spacing w:line="420" w:lineRule="exact"/>
        <w:ind w:firstLine="360" w:firstLineChars="150"/>
        <w:rPr>
          <w:rFonts w:ascii="宋体" w:hAnsi="宋体" w:cs="宋体"/>
          <w:sz w:val="24"/>
        </w:rPr>
      </w:pPr>
      <w:r>
        <w:rPr>
          <w:rFonts w:ascii="宋体" w:hAnsi="宋体" w:cs="宋体"/>
          <w:sz w:val="24"/>
        </w:rPr>
        <w:t>4、拍卖成交后，竞得人须于拍卖成交当场签订《拍卖成交确认书》</w:t>
      </w:r>
      <w:r>
        <w:rPr>
          <w:rFonts w:hint="eastAsia" w:ascii="宋体" w:hAnsi="宋体" w:cs="宋体"/>
          <w:sz w:val="24"/>
        </w:rPr>
        <w:t>、</w:t>
      </w:r>
      <w:r>
        <w:rPr>
          <w:rFonts w:ascii="宋体" w:hAnsi="宋体" w:cs="宋体"/>
          <w:sz w:val="24"/>
        </w:rPr>
        <w:t>《拍卖笔录》</w:t>
      </w:r>
      <w:r>
        <w:rPr>
          <w:rFonts w:hint="eastAsia" w:ascii="宋体" w:hAnsi="宋体" w:cs="宋体"/>
          <w:sz w:val="24"/>
        </w:rPr>
        <w:t>及</w:t>
      </w:r>
      <w:r>
        <w:rPr>
          <w:rFonts w:hint="eastAsia" w:ascii="宋体" w:hAnsi="宋体"/>
          <w:sz w:val="24"/>
        </w:rPr>
        <w:t>《</w:t>
      </w:r>
      <w:r>
        <w:rPr>
          <w:rFonts w:hint="eastAsia" w:ascii="宋体" w:hAnsi="宋体"/>
          <w:sz w:val="24"/>
          <w:lang w:val="en-US" w:eastAsia="zh-CN"/>
        </w:rPr>
        <w:t>转让</w:t>
      </w:r>
      <w:r>
        <w:rPr>
          <w:rFonts w:hint="eastAsia" w:ascii="宋体" w:hAnsi="宋体"/>
          <w:sz w:val="24"/>
        </w:rPr>
        <w:t>合同》</w:t>
      </w:r>
      <w:r>
        <w:rPr>
          <w:rFonts w:ascii="宋体" w:hAnsi="宋体" w:cs="宋体"/>
          <w:sz w:val="24"/>
        </w:rPr>
        <w:t>，并不得变更竞得人的名字。代理人</w:t>
      </w:r>
      <w:r>
        <w:rPr>
          <w:rFonts w:hint="eastAsia" w:ascii="宋体" w:hAnsi="宋体" w:cs="宋体"/>
          <w:sz w:val="24"/>
        </w:rPr>
        <w:t>参加竞拍的，应先签上代理人名字，并</w:t>
      </w:r>
      <w:r>
        <w:rPr>
          <w:rFonts w:ascii="宋体" w:hAnsi="宋体" w:cs="宋体"/>
          <w:sz w:val="24"/>
        </w:rPr>
        <w:t>在拍卖成交之日起一个工作日内加盖公章，如超过时限，</w:t>
      </w:r>
      <w:r>
        <w:rPr>
          <w:rFonts w:hint="eastAsia" w:ascii="宋体" w:hAnsi="宋体" w:cs="宋体"/>
          <w:sz w:val="24"/>
        </w:rPr>
        <w:t>按违约处理，</w:t>
      </w:r>
      <w:r>
        <w:rPr>
          <w:rFonts w:ascii="宋体" w:hAnsi="宋体" w:cs="宋体"/>
          <w:sz w:val="24"/>
        </w:rPr>
        <w:t>代理人与委托</w:t>
      </w:r>
      <w:r>
        <w:rPr>
          <w:rFonts w:hint="eastAsia" w:ascii="宋体" w:hAnsi="宋体" w:cs="宋体"/>
          <w:sz w:val="24"/>
          <w:lang w:eastAsia="zh-CN"/>
        </w:rPr>
        <w:t>竞买人</w:t>
      </w:r>
      <w:r>
        <w:rPr>
          <w:rFonts w:ascii="宋体" w:hAnsi="宋体" w:cs="宋体"/>
          <w:sz w:val="24"/>
        </w:rPr>
        <w:t>承担连带责任。</w:t>
      </w:r>
      <w:bookmarkStart w:id="2" w:name="_GoBack"/>
      <w:bookmarkEnd w:id="2"/>
    </w:p>
    <w:p w14:paraId="4DFC8C59">
      <w:pPr>
        <w:spacing w:line="420" w:lineRule="exact"/>
        <w:ind w:firstLine="360" w:firstLineChars="150"/>
        <w:rPr>
          <w:rFonts w:ascii="宋体" w:hAnsi="宋体" w:cs="宋体"/>
          <w:sz w:val="24"/>
        </w:rPr>
      </w:pPr>
      <w:r>
        <w:rPr>
          <w:rFonts w:ascii="宋体" w:hAnsi="宋体" w:cs="宋体"/>
          <w:sz w:val="24"/>
        </w:rPr>
        <w:t>5、竞得人无论以何种方式支付拍卖成交价款，都必须按规定成交款存入指定帐户，并得到确认后，方能领取成交确认书并办理拍品的过户或移交手续。</w:t>
      </w:r>
    </w:p>
    <w:p w14:paraId="67BA5188">
      <w:pPr>
        <w:spacing w:line="420" w:lineRule="exact"/>
        <w:ind w:firstLine="360" w:firstLineChars="150"/>
        <w:rPr>
          <w:rFonts w:ascii="宋体" w:hAnsi="宋体" w:cs="宋体"/>
          <w:sz w:val="24"/>
        </w:rPr>
      </w:pPr>
      <w:r>
        <w:rPr>
          <w:rFonts w:ascii="宋体" w:hAnsi="宋体" w:cs="宋体"/>
          <w:sz w:val="24"/>
        </w:rPr>
        <w:t>6、竞买登记时</w:t>
      </w:r>
      <w:r>
        <w:rPr>
          <w:rFonts w:hint="eastAsia" w:ascii="宋体" w:hAnsi="宋体" w:cs="宋体"/>
          <w:sz w:val="24"/>
          <w:lang w:eastAsia="zh-CN"/>
        </w:rPr>
        <w:t>竞买人</w:t>
      </w:r>
      <w:r>
        <w:rPr>
          <w:rFonts w:ascii="宋体" w:hAnsi="宋体" w:cs="宋体"/>
          <w:sz w:val="24"/>
        </w:rPr>
        <w:t>应保证提供真实有效的身份证明及其他相关材料，确保竞价保证金已缴纳到拍卖人指定账户，并自行履行审查义务，如上述证明材料存在虚假或竞价保证金未到拍卖人指定账户，将被取消竞价资格同时视作</w:t>
      </w:r>
      <w:r>
        <w:rPr>
          <w:rFonts w:hint="eastAsia" w:ascii="宋体" w:hAnsi="宋体" w:cs="宋体"/>
          <w:sz w:val="24"/>
          <w:lang w:eastAsia="zh-CN"/>
        </w:rPr>
        <w:t>竞买人</w:t>
      </w:r>
      <w:r>
        <w:rPr>
          <w:rFonts w:ascii="宋体" w:hAnsi="宋体" w:cs="宋体"/>
          <w:sz w:val="24"/>
        </w:rPr>
        <w:t>为恶意竞价行为，拍卖公司有权追究其相关的法律责任，如造成损失的，应承担相应的赔偿责任。</w:t>
      </w:r>
    </w:p>
    <w:p w14:paraId="2A1BC72E">
      <w:pPr>
        <w:spacing w:line="420" w:lineRule="exact"/>
        <w:ind w:firstLine="360" w:firstLineChars="150"/>
        <w:rPr>
          <w:rFonts w:ascii="宋体" w:hAnsi="宋体" w:cs="宋体"/>
          <w:sz w:val="24"/>
        </w:rPr>
      </w:pPr>
      <w:r>
        <w:rPr>
          <w:rFonts w:ascii="宋体" w:hAnsi="宋体" w:cs="宋体"/>
          <w:sz w:val="24"/>
        </w:rPr>
        <w:t>7、拍卖师有权根据现场状况变更拍卖方式及调整加价幅度。</w:t>
      </w:r>
    </w:p>
    <w:p w14:paraId="2ABD5A4A">
      <w:pPr>
        <w:spacing w:line="420" w:lineRule="exact"/>
        <w:ind w:firstLine="360" w:firstLineChars="150"/>
        <w:rPr>
          <w:rFonts w:ascii="宋体" w:hAnsi="宋体" w:cs="宋体"/>
          <w:sz w:val="24"/>
        </w:rPr>
      </w:pPr>
      <w:r>
        <w:rPr>
          <w:rFonts w:ascii="宋体" w:hAnsi="宋体" w:cs="宋体"/>
          <w:sz w:val="24"/>
        </w:rPr>
        <w:t>8、拍卖的起拍价、成交价中均未含拍卖成交后竞得人应支付的佣金</w:t>
      </w:r>
      <w:r>
        <w:rPr>
          <w:rFonts w:hint="eastAsia" w:ascii="宋体" w:hAnsi="宋体" w:cs="宋体"/>
          <w:sz w:val="24"/>
        </w:rPr>
        <w:t>。</w:t>
      </w:r>
    </w:p>
    <w:p w14:paraId="6B64755E">
      <w:pPr>
        <w:spacing w:line="420" w:lineRule="exact"/>
        <w:ind w:firstLine="360" w:firstLineChars="150"/>
        <w:rPr>
          <w:rFonts w:ascii="宋体" w:hAnsi="宋体" w:cs="宋体"/>
          <w:sz w:val="24"/>
        </w:rPr>
      </w:pPr>
      <w:r>
        <w:rPr>
          <w:rFonts w:ascii="宋体" w:hAnsi="宋体" w:cs="宋体"/>
          <w:sz w:val="24"/>
        </w:rPr>
        <w:t>9、</w:t>
      </w:r>
      <w:r>
        <w:rPr>
          <w:rFonts w:hint="eastAsia" w:ascii="宋体" w:hAnsi="宋体" w:cs="宋体"/>
          <w:sz w:val="24"/>
          <w:lang w:eastAsia="zh-CN"/>
        </w:rPr>
        <w:t>竞买人</w:t>
      </w:r>
      <w:r>
        <w:rPr>
          <w:rFonts w:ascii="宋体" w:hAnsi="宋体" w:cs="宋体"/>
          <w:sz w:val="24"/>
        </w:rPr>
        <w:t>一经参与竞价，即视为其已经完全接受并知悉标的的所有风险、瑕疵，表明是</w:t>
      </w:r>
      <w:r>
        <w:rPr>
          <w:rFonts w:hint="eastAsia" w:ascii="宋体" w:hAnsi="宋体" w:cs="宋体"/>
          <w:sz w:val="24"/>
          <w:lang w:eastAsia="zh-CN"/>
        </w:rPr>
        <w:t>竞买人</w:t>
      </w:r>
      <w:r>
        <w:rPr>
          <w:rFonts w:ascii="宋体" w:hAnsi="宋体" w:cs="宋体"/>
          <w:sz w:val="24"/>
        </w:rPr>
        <w:t>在独立判断标的事实、法律上的有效性和商业价值后的自主交易，其愿意独自承担因其判断失误而可能遭受的一切损失或风险。</w:t>
      </w:r>
    </w:p>
    <w:p w14:paraId="67A07A2B">
      <w:pPr>
        <w:spacing w:line="420" w:lineRule="exact"/>
        <w:ind w:firstLine="360" w:firstLineChars="150"/>
        <w:rPr>
          <w:rFonts w:ascii="宋体" w:hAnsi="宋体" w:cs="宋体"/>
          <w:sz w:val="24"/>
        </w:rPr>
      </w:pPr>
      <w:r>
        <w:rPr>
          <w:rFonts w:ascii="宋体" w:hAnsi="宋体" w:cs="宋体"/>
          <w:sz w:val="24"/>
        </w:rPr>
        <w:t>10、拍卖师的决定权：①、拍卖师有权根据委托人的要求或根据实际情况，现场宣布对标的重新制定起拍价等事项；②、拍卖师有权代表拍卖人拒绝任何无效报价，倘若现场出现争议，拍卖师有权宣布标的重新拍卖。</w:t>
      </w:r>
    </w:p>
    <w:p w14:paraId="72E1F4E2">
      <w:pPr>
        <w:spacing w:line="420" w:lineRule="exact"/>
        <w:ind w:firstLine="360" w:firstLineChars="150"/>
        <w:rPr>
          <w:rFonts w:ascii="宋体" w:hAnsi="宋体" w:cs="宋体"/>
          <w:sz w:val="24"/>
        </w:rPr>
      </w:pPr>
      <w:r>
        <w:rPr>
          <w:rFonts w:ascii="宋体" w:hAnsi="宋体" w:cs="宋体"/>
          <w:sz w:val="24"/>
        </w:rPr>
        <w:t>11、拍卖规则的修改：拍卖人可以通过在拍卖会现场张贴公告或者通过拍卖师在拍卖会上宣布的方式，对本拍卖规则进行修改。</w:t>
      </w:r>
    </w:p>
    <w:p w14:paraId="1832BD01">
      <w:pPr>
        <w:spacing w:line="420" w:lineRule="exact"/>
        <w:ind w:firstLine="360" w:firstLineChars="150"/>
        <w:rPr>
          <w:rFonts w:ascii="宋体" w:hAnsi="宋体" w:cs="宋体"/>
          <w:sz w:val="24"/>
        </w:rPr>
      </w:pPr>
      <w:r>
        <w:rPr>
          <w:rFonts w:ascii="宋体" w:hAnsi="宋体" w:cs="宋体"/>
          <w:sz w:val="24"/>
        </w:rPr>
        <w:t>12、拍卖会宣布和使用的价款均以人民币为单位。</w:t>
      </w:r>
    </w:p>
    <w:p w14:paraId="7E930B21">
      <w:pPr>
        <w:spacing w:line="440" w:lineRule="exact"/>
        <w:ind w:firstLine="480" w:firstLineChars="200"/>
        <w:rPr>
          <w:rFonts w:ascii="宋体" w:hAnsi="宋体" w:cs="宋体"/>
          <w:color w:val="auto"/>
          <w:sz w:val="24"/>
          <w:highlight w:val="none"/>
        </w:rPr>
      </w:pPr>
      <w:r>
        <w:rPr>
          <w:rFonts w:ascii="宋体" w:hAnsi="宋体" w:cs="宋体"/>
          <w:sz w:val="24"/>
        </w:rPr>
        <w:t>13</w:t>
      </w:r>
      <w:r>
        <w:rPr>
          <w:rFonts w:hint="eastAsia" w:ascii="宋体" w:hAnsi="宋体" w:cs="宋体"/>
          <w:sz w:val="24"/>
        </w:rPr>
        <w:t>、</w:t>
      </w:r>
      <w:r>
        <w:rPr>
          <w:rFonts w:hint="eastAsia" w:ascii="宋体" w:hAnsi="宋体" w:cs="宋体"/>
          <w:sz w:val="24"/>
          <w:lang w:eastAsia="zh-CN"/>
        </w:rPr>
        <w:t>竞买人</w:t>
      </w:r>
      <w:r>
        <w:rPr>
          <w:rFonts w:hint="eastAsia" w:ascii="宋体" w:hAnsi="宋体" w:cs="宋体"/>
          <w:sz w:val="24"/>
        </w:rPr>
        <w:t>必须遵守拍卖现场的公共秩序，必须在自己的意向内参与竞价，不得参与自己未交纳相应竞价保证金的标的竞价，不得阻扰其他</w:t>
      </w:r>
      <w:r>
        <w:rPr>
          <w:rFonts w:hint="eastAsia" w:ascii="宋体" w:hAnsi="宋体" w:cs="宋体"/>
          <w:sz w:val="24"/>
          <w:lang w:eastAsia="zh-CN"/>
        </w:rPr>
        <w:t>竞买人</w:t>
      </w:r>
      <w:r>
        <w:rPr>
          <w:rFonts w:hint="eastAsia" w:ascii="宋体" w:hAnsi="宋体" w:cs="宋体"/>
          <w:sz w:val="24"/>
        </w:rPr>
        <w:t>的竞价，不得阻扰拍卖师进行正常的拍卖工作，不得有恶意串通、操纵、垄断等违法行为，一经发现，拍卖师有权取消其竞价或成交资格，并追究其法律责任。</w:t>
      </w:r>
    </w:p>
    <w:p w14:paraId="2606230A">
      <w:pPr>
        <w:spacing w:line="440" w:lineRule="exact"/>
        <w:ind w:firstLine="482" w:firstLineChars="200"/>
        <w:rPr>
          <w:rFonts w:ascii="宋体" w:hAnsi="宋体" w:cs="宋体"/>
          <w:b/>
          <w:color w:val="auto"/>
          <w:sz w:val="24"/>
          <w:highlight w:val="none"/>
        </w:rPr>
      </w:pPr>
      <w:r>
        <w:rPr>
          <w:rFonts w:hint="eastAsia" w:ascii="宋体" w:hAnsi="宋体" w:cs="宋体"/>
          <w:b/>
          <w:bCs/>
          <w:color w:val="auto"/>
          <w:sz w:val="24"/>
          <w:highlight w:val="none"/>
        </w:rPr>
        <w:t>七、税费及拍卖佣金：</w:t>
      </w:r>
    </w:p>
    <w:p w14:paraId="221F3287">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拍品办理产权转移登记过程中所需的所有税收及费用（包括不限于：增值税、所得税、土地增值税、契税、交易费、不动产权登记费等）按国家法律、法规、条文的规定由买卖双方各自承担，无明确规定的由买方承担。公共维修资金、预存水费、工本费由买受人承担，由委托人代收、代缴，该费用于成交之日起30日内付清，否则视为竞买人违约。</w:t>
      </w:r>
    </w:p>
    <w:p w14:paraId="0D35A8E1">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2、竞买人自行承担参加拍卖会有关的全部费用（包括但不限于差旅费、邮寄费、资料费用、财务费用等）。</w:t>
      </w:r>
    </w:p>
    <w:p w14:paraId="661BA3AE">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拍卖成交后，买受人除支付成交价外，须另向拍卖人支付成交价的1%作为拍卖佣金。以上约定拍卖佣金应在成交之日起2日内付清（可以从竞买保证金中直接扣取），拍卖佣金未按期付清的，视成交人根本性违约，竞买保证金不予退回，买受人无权领取标的物，同时拍卖人可以向买受人追缴该拍卖佣金。</w:t>
      </w:r>
    </w:p>
    <w:p w14:paraId="46CA56AB">
      <w:pPr>
        <w:spacing w:line="440" w:lineRule="exact"/>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4、公共资源交易中心交易服务费：标的成交后2日内买受人应向</w:t>
      </w:r>
      <w:r>
        <w:rPr>
          <w:rFonts w:hint="eastAsia" w:ascii="宋体" w:hAnsi="宋体" w:cs="宋体"/>
          <w:color w:val="auto"/>
          <w:sz w:val="24"/>
          <w:highlight w:val="none"/>
          <w:lang w:eastAsia="zh-CN"/>
        </w:rPr>
        <w:t>龙岩市公共资源交易中心连城分中心</w:t>
      </w:r>
      <w:r>
        <w:rPr>
          <w:rFonts w:hint="eastAsia" w:ascii="宋体" w:hAnsi="宋体" w:cs="宋体"/>
          <w:color w:val="auto"/>
          <w:sz w:val="24"/>
          <w:highlight w:val="none"/>
          <w:lang w:val="en-US" w:eastAsia="zh-CN"/>
        </w:rPr>
        <w:t>支付交易服务费2000元，买受人凭缴费凭证与拍卖人办理拍卖成交手续。</w:t>
      </w:r>
    </w:p>
    <w:p w14:paraId="23781F27">
      <w:pPr>
        <w:spacing w:line="440" w:lineRule="exact"/>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八、付款方式：</w:t>
      </w:r>
    </w:p>
    <w:p w14:paraId="76027D67">
      <w:pPr>
        <w:spacing w:line="440" w:lineRule="exact"/>
        <w:ind w:firstLine="360" w:firstLineChars="150"/>
        <w:rPr>
          <w:rFonts w:ascii="宋体" w:hAnsi="宋体" w:cs="宋体"/>
          <w:color w:val="auto"/>
          <w:sz w:val="24"/>
          <w:highlight w:val="none"/>
        </w:rPr>
      </w:pPr>
      <w:r>
        <w:rPr>
          <w:rFonts w:hint="eastAsia" w:ascii="宋体" w:hAnsi="宋体" w:cs="宋体"/>
          <w:color w:val="auto"/>
          <w:sz w:val="24"/>
          <w:highlight w:val="none"/>
        </w:rPr>
        <w:t>1、拍卖成交后，保证金扣除拍卖佣金、公共维修资金、预存水费以及工本费后转为部分成交款，买受人应在成交之日起30日内支付</w:t>
      </w:r>
      <w:r>
        <w:rPr>
          <w:rFonts w:hint="eastAsia" w:ascii="宋体" w:hAnsi="宋体" w:cs="宋体"/>
          <w:color w:val="auto"/>
          <w:sz w:val="24"/>
          <w:highlight w:val="none"/>
          <w:lang w:val="en-US" w:eastAsia="zh-CN"/>
        </w:rPr>
        <w:t>至总</w:t>
      </w:r>
      <w:r>
        <w:rPr>
          <w:rFonts w:hint="eastAsia" w:ascii="宋体" w:hAnsi="宋体" w:cs="宋体"/>
          <w:color w:val="auto"/>
          <w:sz w:val="24"/>
          <w:highlight w:val="none"/>
        </w:rPr>
        <w:t>成交价款的95%；在成交之日起60日内付清剩余5%的成交价款。全款到位后，委托人向买受人出具</w:t>
      </w:r>
      <w:r>
        <w:rPr>
          <w:rFonts w:hint="eastAsia" w:ascii="宋体" w:hAnsi="宋体" w:cs="宋体"/>
          <w:color w:val="auto"/>
          <w:sz w:val="24"/>
          <w:highlight w:val="none"/>
          <w:lang w:eastAsia="zh-CN"/>
        </w:rPr>
        <w:t>15套</w:t>
      </w:r>
      <w:r>
        <w:rPr>
          <w:rFonts w:hint="eastAsia" w:ascii="宋体" w:hAnsi="宋体" w:cs="宋体"/>
          <w:color w:val="auto"/>
          <w:sz w:val="24"/>
          <w:highlight w:val="none"/>
        </w:rPr>
        <w:t>房产对应的成交价清单。</w:t>
      </w:r>
    </w:p>
    <w:p w14:paraId="06F2181F">
      <w:pPr>
        <w:spacing w:line="440" w:lineRule="exact"/>
        <w:ind w:firstLine="360" w:firstLineChars="150"/>
        <w:rPr>
          <w:rFonts w:ascii="宋体" w:hAnsi="宋体" w:cs="宋体"/>
          <w:color w:val="auto"/>
          <w:sz w:val="24"/>
          <w:highlight w:val="none"/>
        </w:rPr>
      </w:pPr>
      <w:r>
        <w:rPr>
          <w:rFonts w:hint="eastAsia" w:ascii="宋体" w:hAnsi="宋体" w:cs="宋体"/>
          <w:color w:val="auto"/>
          <w:sz w:val="24"/>
          <w:highlight w:val="none"/>
        </w:rPr>
        <w:t>2、若买受人以书面形式提出申请，要求将产权登记至其指定的第三人名下的，</w:t>
      </w:r>
      <w:bookmarkStart w:id="0" w:name="OLE_LINK6"/>
      <w:bookmarkStart w:id="1" w:name="OLE_LINK5"/>
      <w:r>
        <w:rPr>
          <w:rFonts w:hint="eastAsia" w:ascii="宋体" w:hAnsi="宋体" w:cs="宋体"/>
          <w:color w:val="auto"/>
          <w:sz w:val="24"/>
          <w:highlight w:val="none"/>
        </w:rPr>
        <w:t>委托人予以配合办理</w:t>
      </w:r>
      <w:bookmarkEnd w:id="0"/>
      <w:bookmarkEnd w:id="1"/>
      <w:r>
        <w:rPr>
          <w:rFonts w:hint="eastAsia" w:ascii="宋体" w:hAnsi="宋体" w:cs="宋体"/>
          <w:color w:val="auto"/>
          <w:sz w:val="24"/>
          <w:highlight w:val="none"/>
        </w:rPr>
        <w:t>产权登记相关事宜。若买受人指定的第三人另行付清房产成交款项的，在产权登记手续办理完毕后15个工作日内，委托人将买受人已交付的该套房产的成交价款，全额无息退还至买受人于书面申请中指定的银行账户。</w:t>
      </w:r>
    </w:p>
    <w:p w14:paraId="0709D4C0">
      <w:pPr>
        <w:spacing w:line="440" w:lineRule="exact"/>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九、标的移交：</w:t>
      </w:r>
    </w:p>
    <w:p w14:paraId="3100E2B4">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1、实物移交：转让标的按现状移交，买受人在约定时间内付清全部成交价款及约定款项，并在接到委托人书面通知后5个工作日内与委托人办理标的的实物移交手续。</w:t>
      </w:r>
    </w:p>
    <w:p w14:paraId="2B34334D">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产权过户手续：买受人应当在成交之日起三个月内，完成办理拍卖标的的不动产权转移登记手续（买受人可书面申请将产权登记至其指定的第三人名下）；买受人或其指定的第三人应及时办理转让标的的不动产权转移登记手续。实物移交之后以及产权转移登记手续办理期间，因转让标的毁损、灭失等产生的风险由买受人承担。若买受人或其指定第三人逾期不办理的，可按违约处理，买受人应支付由此产生的所有费用，并承担本标的物可能发生的损毁、灭失等一切后果。</w:t>
      </w:r>
    </w:p>
    <w:p w14:paraId="13ED9719">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拍卖房产目前登记在福建连城国有投资集团有限公司名下，土地性质为：出让/安置房，用途：城镇住宅用地/成套住宅，国有建设用地使用权至：2092年9月13日止。拍卖成交仅代表受让权利的确认，产权变更手续将在拍卖结束后依法办理。</w:t>
      </w:r>
    </w:p>
    <w:p w14:paraId="30CC9A9C">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转让标的从移交之日起发生的所有安全、经济、法律责任都由买受人承担，标的风险也随之转移给买受人，标的移交之日起产生的所有相关税收及费用（包括但不限于:水电、物业、土地使用税、房产税等）都由买受人承担。</w:t>
      </w:r>
    </w:p>
    <w:p w14:paraId="15B5149A">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4、移交前的物业水电费由委托人承担，委托人发出交房通知5日后，无论买受人是否前来办理移交手续，均视为委托人已移交标的。</w:t>
      </w:r>
    </w:p>
    <w:p w14:paraId="674A7181">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6、水、电表的过户或开户工作由乙方自行办理并承担相应费用。</w:t>
      </w:r>
    </w:p>
    <w:p w14:paraId="026B75B4">
      <w:pPr>
        <w:spacing w:line="440" w:lineRule="exact"/>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十、违约责任：</w:t>
      </w:r>
    </w:p>
    <w:p w14:paraId="698BCA85">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1、拍卖成交后，买受人倘若出现如下情形（包括但不限于任一、部分或全部），都将构成根本性违约，拍卖人有权根据《拍卖法》及其它相关法规之规定追究违约方的责任, 买受人已支付竞买保证金及应委托人要求支付的款项不予退还，依次用于支付因拍卖产生的拍卖佣金损失、弥补重新拍卖价款低于原拍卖价款的差价、冲抵与买受人违约产生的相关损失（包括但不限于所有因诉讼发生的律师费、交通费、鉴定费等都由买受人承担）。如买受人交纳的竞买保证金不足以弥补委托人及拍卖人损失的，则委托人及拍卖人有权另行向买受人追偿：</w:t>
      </w:r>
    </w:p>
    <w:p w14:paraId="3587199A">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1.1买受人未按规定期限及时足额支付拍卖佣金、成交价款以及其它约定款项。</w:t>
      </w:r>
    </w:p>
    <w:p w14:paraId="7A1E79D3">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1.2拍卖成交后，买受人未在规定时间内签署《拍卖成交确认书》、《拍卖笔录》、《转让合同》以及其他拍卖成交文件。</w:t>
      </w:r>
    </w:p>
    <w:p w14:paraId="430BB831">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1.3拍卖成交后，买受人拒收有关文件、函件，或怠于办理标的移交手续等。</w:t>
      </w:r>
    </w:p>
    <w:p w14:paraId="0E59A112">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1.4违反本竞买须知及拍卖规则约定的其他行为的。</w:t>
      </w:r>
    </w:p>
    <w:p w14:paraId="6FD201E1">
      <w:pPr>
        <w:spacing w:line="440" w:lineRule="exact"/>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十一、特别约定和相关瑕疵：</w:t>
      </w:r>
    </w:p>
    <w:p w14:paraId="596DC30D">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1、本须知所述拍卖佣金及拍卖佣金均包含产权交易服务费。</w:t>
      </w:r>
    </w:p>
    <w:p w14:paraId="7E6EFFC6">
      <w:pPr>
        <w:spacing w:line="440" w:lineRule="exact"/>
        <w:ind w:firstLine="480" w:firstLineChars="200"/>
        <w:rPr>
          <w:rFonts w:ascii="宋体" w:hAnsi="宋体" w:cs="宋体"/>
          <w:b/>
          <w:bCs/>
          <w:color w:val="auto"/>
          <w:sz w:val="24"/>
          <w:highlight w:val="none"/>
        </w:rPr>
      </w:pPr>
      <w:r>
        <w:rPr>
          <w:rFonts w:hint="eastAsia" w:ascii="宋体" w:hAnsi="宋体" w:cs="宋体"/>
          <w:color w:val="auto"/>
          <w:sz w:val="24"/>
          <w:highlight w:val="none"/>
        </w:rPr>
        <w:t>2、拍卖标的买受人即为拍卖标的受让方。</w:t>
      </w:r>
    </w:p>
    <w:p w14:paraId="2E7B03CC">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3、本次拍卖标的仅以现状拍卖，委托人、拍卖人所作的关于本次拍卖标的的介绍及有关材料仅供竞买人参考，不构成对标的物的任何保证或承诺，</w:t>
      </w:r>
      <w:r>
        <w:rPr>
          <w:rFonts w:hint="eastAsia" w:ascii="宋体" w:hAnsi="宋体" w:cs="宋体"/>
          <w:b/>
          <w:bCs/>
          <w:color w:val="auto"/>
          <w:sz w:val="24"/>
          <w:highlight w:val="none"/>
          <w:u w:val="single"/>
        </w:rPr>
        <w:t>委托人、拍卖人对拍卖标的名称、单位、规格、数量、质量、面积、年限、结构、方位、配套设施、产权情况等拍卖标的的瑕疵不承担担保责任。</w:t>
      </w:r>
      <w:r>
        <w:rPr>
          <w:rFonts w:hint="eastAsia" w:ascii="宋体" w:hAnsi="宋体" w:cs="宋体"/>
          <w:color w:val="auto"/>
          <w:sz w:val="24"/>
          <w:highlight w:val="none"/>
        </w:rPr>
        <w:t>本次拍卖标的以现场实物为准，如介绍的建筑面积、用地面积、使用年限与实际有差异，或者介绍的其它情况与实际不符的，拍卖成交价及拍卖佣金均不作调整。竞买人参加竞买即视为已经充分了解拍卖标的的现状及瑕疵（包含但不限于委托人、拍卖人对标的物瑕疵的情况说明），同意按照拍卖标的的现状受让。委托人、拍卖人对买受人受让拍卖标的后的风险和障碍不承担任何责任。</w:t>
      </w:r>
    </w:p>
    <w:p w14:paraId="480FF23C">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竞买人参加拍卖会说明在标的物展示期间已看样并充分了解认可标的产权、相关费用、办理变更手续和瑕疵状况等与标的物相关的一切情况，同时对标的存在或可能存在的瑕疵表示认可，并承诺因存在或可能存在的瑕疵造成的风险由本人承担。</w:t>
      </w:r>
    </w:p>
    <w:p w14:paraId="59410085">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5、本次拍卖的房产均为毛坯房，具体以现场看样为准。本次拍卖的所有标的以套（个）为单位进行，拍品资料提供的面积仅供参考，具体以政府有权部门确定的为准，面积增减不调整成交价及拍卖佣金。</w:t>
      </w:r>
    </w:p>
    <w:p w14:paraId="03851DF0">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6、标的从移交之日起发生的所有安全、经济、法律责任都由买受人承担，标的风险也随之转移给买受人，标的移交之日起产生的所有相关费用（包括但不限于:水电、物业、有线电视等）都由买受人承担。</w:t>
      </w:r>
    </w:p>
    <w:p w14:paraId="240EE69F">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7、对因委托人未尽瑕疵告知义务或非因拍卖人的原因造成拍卖标的不能及时移交或无法过户而导致解除合同或合同无效的，拍卖人不承担任何责任,拍卖佣金不予退回。拍卖成交即视为拍卖人对买受人的拍卖合同义务履行完毕。</w:t>
      </w:r>
    </w:p>
    <w:p w14:paraId="39AD4523">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8、若因标的物所在地房地产政策变化(因买受人原因无法过户除外)造成无法正常办理不动产权利转移登记至买受人名下的，买受人同意委托人及拍卖人仅负责全额无息退还拍卖成交款及拍卖佣金，无需赔偿买受人任何损失及费用，并不再追究委托人及拍卖人其他任何经济和法律责任。</w:t>
      </w:r>
    </w:p>
    <w:p w14:paraId="0375A8E3">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9、通知方式：竞买人确定身份证载明的地址或营业执照载明的住所地为竞买人收件地址，凡与本次拍卖有关的任何通知、主张、函件等文书，均可向该地址送达，如有变更应书面通知拍卖人。迁址、更换收件人、拒收或无人接收造成投递不成的，视为已送达。</w:t>
      </w:r>
    </w:p>
    <w:p w14:paraId="4AC83556">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10、竞买人报名参拍，即视为已对本竞买须知各条款及附件内容作了全面的理解，且应竞买人的要求，拍卖人也对本竞买须知及附件的相应内容做了说明。竞买人报名参拍是在已详细审查本次拍卖的所有文件和相关信息，向有关管理部门全面了解了标的情况，并亲赴标的物现场认真查勘，对标的现状满意，已行使了知情权，并接受标的物的现状和一切已知及未知的瑕疵。竞买人点击出价即视为其同意本竞买须知各条款的权利义务，并愿承担参加本次拍卖会及竞买成交以后可能带来的一切风险、障碍（包括但不限于标的物移交时间长或无法移交等方面的风险），并承诺放弃对拍卖人的任何权利主张。本竞买须知及其附件内容对本人发生法律效力。</w:t>
      </w:r>
    </w:p>
    <w:p w14:paraId="6E32F4F2">
      <w:pPr>
        <w:spacing w:line="440" w:lineRule="exact"/>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十二、拍卖标的重要文件：</w:t>
      </w:r>
    </w:p>
    <w:p w14:paraId="7A87CAE9">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上述拍卖标的现有相关文件、拍卖材料复印件（已提供查阅）有：1、产权证复印件2、《转让合同》样本3、《承诺书》。</w:t>
      </w:r>
    </w:p>
    <w:p w14:paraId="33D407E5">
      <w:pPr>
        <w:spacing w:line="440" w:lineRule="exact"/>
        <w:ind w:firstLine="480" w:firstLineChars="20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拍卖一旦成交，买受人即成为上述《转让合同》的乙方，受该合同的约束。郑重提示各位竟买人认真阅读此《转让合同》样本，全面理解各方当事人的权利义务约定。同时，请各位竟买人认真阅读上述标的的相关文件。</w:t>
      </w:r>
    </w:p>
    <w:p w14:paraId="5453A5C7">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drawing>
          <wp:anchor distT="0" distB="0" distL="114300" distR="114300" simplePos="0" relativeHeight="251659264" behindDoc="1" locked="0" layoutInCell="1" allowOverlap="1">
            <wp:simplePos x="0" y="0"/>
            <wp:positionH relativeFrom="column">
              <wp:posOffset>257175</wp:posOffset>
            </wp:positionH>
            <wp:positionV relativeFrom="paragraph">
              <wp:posOffset>269240</wp:posOffset>
            </wp:positionV>
            <wp:extent cx="942975" cy="1171575"/>
            <wp:effectExtent l="19050" t="0" r="9525" b="0"/>
            <wp:wrapNone/>
            <wp:docPr id="1" name="图片 2" descr="市拍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市拍二维码"/>
                    <pic:cNvPicPr>
                      <a:picLocks noChangeAspect="1" noChangeArrowheads="1"/>
                    </pic:cNvPicPr>
                  </pic:nvPicPr>
                  <pic:blipFill>
                    <a:blip r:embed="rId4" cstate="print"/>
                    <a:srcRect/>
                    <a:stretch>
                      <a:fillRect/>
                    </a:stretch>
                  </pic:blipFill>
                  <pic:spPr>
                    <a:xfrm>
                      <a:off x="0" y="0"/>
                      <a:ext cx="942975" cy="1171575"/>
                    </a:xfrm>
                    <a:prstGeom prst="rect">
                      <a:avLst/>
                    </a:prstGeom>
                    <a:noFill/>
                    <a:ln w="9525">
                      <a:noFill/>
                      <a:miter lim="800000"/>
                      <a:headEnd/>
                      <a:tailEnd/>
                    </a:ln>
                    <a:effectLst/>
                  </pic:spPr>
                </pic:pic>
              </a:graphicData>
            </a:graphic>
          </wp:anchor>
        </w:drawing>
      </w:r>
      <w:r>
        <w:rPr>
          <w:rFonts w:hint="eastAsia" w:ascii="宋体" w:hAnsi="宋体" w:cs="宋体"/>
          <w:color w:val="auto"/>
          <w:sz w:val="24"/>
          <w:highlight w:val="none"/>
        </w:rPr>
        <w:t>以上文件作为本竟买须知的附件，竟买人参与竟买即表明全面接受其中的内容。</w:t>
      </w:r>
    </w:p>
    <w:p w14:paraId="05F00A4A">
      <w:pPr>
        <w:spacing w:line="440" w:lineRule="exact"/>
        <w:rPr>
          <w:rFonts w:ascii="宋体" w:hAnsi="宋体" w:cs="宋体"/>
          <w:color w:val="auto"/>
          <w:sz w:val="24"/>
          <w:highlight w:val="none"/>
        </w:rPr>
      </w:pPr>
    </w:p>
    <w:p w14:paraId="53398827">
      <w:pPr>
        <w:spacing w:line="440" w:lineRule="exact"/>
        <w:jc w:val="right"/>
        <w:rPr>
          <w:rFonts w:ascii="宋体" w:hAnsi="宋体" w:cs="宋体"/>
          <w:color w:val="auto"/>
          <w:sz w:val="24"/>
          <w:highlight w:val="none"/>
        </w:rPr>
      </w:pPr>
      <w:r>
        <w:rPr>
          <w:rFonts w:hint="eastAsia" w:ascii="宋体" w:hAnsi="宋体" w:cs="宋体"/>
          <w:color w:val="auto"/>
          <w:sz w:val="24"/>
          <w:highlight w:val="none"/>
        </w:rPr>
        <w:t>龙岩市拍卖行有限公司</w:t>
      </w:r>
    </w:p>
    <w:p w14:paraId="29C18998">
      <w:pPr>
        <w:spacing w:line="440" w:lineRule="exact"/>
        <w:jc w:val="right"/>
        <w:rPr>
          <w:rFonts w:ascii="宋体" w:hAnsi="宋体" w:cs="宋体"/>
          <w:color w:val="auto"/>
          <w:sz w:val="24"/>
          <w:highlight w:val="none"/>
        </w:rPr>
      </w:pPr>
      <w:r>
        <w:rPr>
          <w:rFonts w:hint="eastAsia" w:ascii="宋体" w:hAnsi="宋体" w:cs="宋体"/>
          <w:color w:val="auto"/>
          <w:sz w:val="24"/>
          <w:highlight w:val="none"/>
        </w:rPr>
        <w:t xml:space="preserve">  2025年</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30</w:t>
      </w:r>
      <w:r>
        <w:rPr>
          <w:rFonts w:hint="eastAsia" w:ascii="宋体" w:hAnsi="宋体" w:cs="宋体"/>
          <w:color w:val="auto"/>
          <w:sz w:val="24"/>
          <w:highlight w:val="none"/>
        </w:rPr>
        <w:t>日</w:t>
      </w:r>
    </w:p>
    <w:p w14:paraId="4F4519F0">
      <w:pPr>
        <w:widowControl/>
        <w:jc w:val="left"/>
        <w:rPr>
          <w:rFonts w:ascii="宋体" w:hAnsi="宋体" w:cs="宋体"/>
          <w:color w:val="auto"/>
          <w:sz w:val="24"/>
          <w:highlight w:val="none"/>
        </w:rPr>
      </w:pPr>
      <w:r>
        <w:rPr>
          <w:rFonts w:hint="eastAsia" w:ascii="宋体" w:hAnsi="宋体" w:cs="宋体"/>
          <w:color w:val="auto"/>
          <w:sz w:val="24"/>
          <w:highlight w:val="none"/>
        </w:rPr>
        <w:br w:type="page"/>
      </w:r>
    </w:p>
    <w:p w14:paraId="06C7FBE2">
      <w:pPr>
        <w:pStyle w:val="22"/>
        <w:rPr>
          <w:rFonts w:ascii="宋体" w:hAnsi="宋体" w:eastAsia="宋体" w:cs="宋体"/>
          <w:color w:val="auto"/>
          <w:highlight w:val="none"/>
        </w:rPr>
      </w:pPr>
      <w:r>
        <w:rPr>
          <w:rFonts w:hint="eastAsia" w:ascii="宋体" w:hAnsi="宋体" w:eastAsia="宋体" w:cs="宋体"/>
          <w:color w:val="auto"/>
          <w:highlight w:val="none"/>
        </w:rPr>
        <w:t>承诺书</w:t>
      </w:r>
    </w:p>
    <w:p w14:paraId="7CA451FF">
      <w:pPr>
        <w:spacing w:line="700" w:lineRule="exact"/>
        <w:rPr>
          <w:rFonts w:ascii="宋体" w:hAnsi="宋体" w:cs="宋体"/>
          <w:color w:val="auto"/>
          <w:sz w:val="24"/>
          <w:highlight w:val="none"/>
          <w:u w:val="single"/>
        </w:rPr>
      </w:pPr>
      <w:r>
        <w:rPr>
          <w:rFonts w:hint="eastAsia" w:ascii="宋体" w:hAnsi="宋体" w:cs="宋体"/>
          <w:color w:val="auto"/>
          <w:sz w:val="24"/>
          <w:highlight w:val="none"/>
          <w:u w:val="single"/>
        </w:rPr>
        <w:t>龙岩市拍卖行有限公司</w:t>
      </w:r>
      <w:r>
        <w:rPr>
          <w:rFonts w:hint="eastAsia" w:ascii="宋体" w:hAnsi="宋体" w:cs="宋体"/>
          <w:color w:val="auto"/>
          <w:sz w:val="24"/>
          <w:highlight w:val="none"/>
        </w:rPr>
        <w:t>：</w:t>
      </w:r>
    </w:p>
    <w:p w14:paraId="5E1F613A">
      <w:pPr>
        <w:tabs>
          <w:tab w:val="left" w:pos="900"/>
        </w:tabs>
        <w:spacing w:line="7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本方就参与贵公司于</w:t>
      </w:r>
      <w:r>
        <w:rPr>
          <w:rFonts w:hint="eastAsia" w:ascii="宋体" w:hAnsi="宋体" w:cs="宋体"/>
          <w:color w:val="auto"/>
          <w:sz w:val="24"/>
          <w:highlight w:val="none"/>
          <w:u w:val="single"/>
        </w:rPr>
        <w:t>2025</w:t>
      </w:r>
      <w:r>
        <w:rPr>
          <w:rFonts w:hint="eastAsia" w:ascii="宋体" w:hAnsi="宋体" w:cs="宋体"/>
          <w:color w:val="auto"/>
          <w:sz w:val="24"/>
          <w:highlight w:val="none"/>
        </w:rPr>
        <w:t>年</w:t>
      </w:r>
      <w:r>
        <w:rPr>
          <w:rFonts w:hint="eastAsia" w:ascii="宋体" w:hAnsi="宋体" w:cs="宋体"/>
          <w:color w:val="auto"/>
          <w:sz w:val="24"/>
          <w:highlight w:val="none"/>
          <w:u w:val="single"/>
          <w:lang w:val="en-US" w:eastAsia="zh-CN"/>
        </w:rPr>
        <w:t>6月18日</w:t>
      </w:r>
      <w:r>
        <w:rPr>
          <w:rFonts w:hint="eastAsia" w:ascii="宋体" w:hAnsi="宋体" w:cs="宋体"/>
          <w:color w:val="auto"/>
          <w:sz w:val="24"/>
          <w:highlight w:val="none"/>
          <w:u w:val="single"/>
          <w:lang w:eastAsia="zh-CN"/>
        </w:rPr>
        <w:t>10:30</w:t>
      </w:r>
      <w:r>
        <w:rPr>
          <w:rFonts w:hint="eastAsia" w:ascii="宋体" w:hAnsi="宋体" w:cs="宋体"/>
          <w:color w:val="auto"/>
          <w:sz w:val="24"/>
          <w:highlight w:val="none"/>
        </w:rPr>
        <w:t>时在</w:t>
      </w:r>
      <w:r>
        <w:rPr>
          <w:rFonts w:hint="eastAsia" w:ascii="宋体" w:hAnsi="宋体" w:cs="宋体"/>
          <w:color w:val="auto"/>
          <w:sz w:val="24"/>
          <w:highlight w:val="none"/>
          <w:u w:val="single"/>
          <w:lang w:eastAsia="zh-CN"/>
        </w:rPr>
        <w:t>龙岩市公共资源交易中心连城分中心1号厅（连城县莲峰镇莲中南路76号宝龙广场三楼）</w:t>
      </w:r>
      <w:r>
        <w:rPr>
          <w:rFonts w:hint="eastAsia" w:ascii="宋体" w:hAnsi="宋体" w:cs="宋体"/>
          <w:color w:val="auto"/>
          <w:sz w:val="24"/>
          <w:highlight w:val="none"/>
        </w:rPr>
        <w:t>举办的</w:t>
      </w:r>
      <w:r>
        <w:rPr>
          <w:rFonts w:hint="eastAsia" w:ascii="宋体" w:hAnsi="宋体" w:cs="宋体"/>
          <w:color w:val="auto"/>
          <w:sz w:val="24"/>
          <w:highlight w:val="none"/>
          <w:u w:val="single"/>
        </w:rPr>
        <w:t>连城县莲峰镇南前花园4号楼</w:t>
      </w:r>
      <w:r>
        <w:rPr>
          <w:rFonts w:hint="eastAsia" w:ascii="宋体" w:hAnsi="宋体" w:cs="宋体"/>
          <w:color w:val="auto"/>
          <w:sz w:val="24"/>
          <w:highlight w:val="none"/>
          <w:u w:val="single"/>
          <w:lang w:eastAsia="zh-CN"/>
        </w:rPr>
        <w:t>15套</w:t>
      </w:r>
      <w:r>
        <w:rPr>
          <w:rFonts w:hint="eastAsia" w:ascii="宋体" w:hAnsi="宋体" w:cs="宋体"/>
          <w:color w:val="auto"/>
          <w:sz w:val="24"/>
          <w:highlight w:val="none"/>
          <w:u w:val="single"/>
        </w:rPr>
        <w:t>房产（整体拍卖）</w:t>
      </w:r>
      <w:r>
        <w:rPr>
          <w:rFonts w:hint="eastAsia" w:ascii="宋体" w:hAnsi="宋体" w:cs="宋体"/>
          <w:color w:val="auto"/>
          <w:sz w:val="24"/>
          <w:highlight w:val="none"/>
        </w:rPr>
        <w:t>（以下简称“本标的”）拍卖活动做出如下承诺：</w:t>
      </w:r>
    </w:p>
    <w:p w14:paraId="72CD2752">
      <w:pPr>
        <w:spacing w:line="7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一、本方已仔细阅读并自愿遵守本次拍卖标的《竞买须知》等拍卖文件的规定；同意按照本须知的内容参加本拍卖标的拍卖活动。</w:t>
      </w:r>
    </w:p>
    <w:p w14:paraId="3CADA196">
      <w:pPr>
        <w:spacing w:line="700" w:lineRule="exact"/>
        <w:ind w:firstLine="480" w:firstLineChars="200"/>
        <w:rPr>
          <w:rFonts w:ascii="宋体" w:hAnsi="宋体" w:cs="宋体"/>
          <w:b/>
          <w:bCs/>
          <w:color w:val="auto"/>
          <w:sz w:val="24"/>
          <w:highlight w:val="none"/>
        </w:rPr>
      </w:pPr>
      <w:r>
        <w:rPr>
          <w:rFonts w:hint="eastAsia" w:ascii="宋体" w:hAnsi="宋体" w:cs="宋体"/>
          <w:color w:val="auto"/>
          <w:sz w:val="24"/>
          <w:highlight w:val="none"/>
        </w:rPr>
        <w:t>二、本方已仔细阅读并自愿遵守《竞买须知》</w:t>
      </w:r>
      <w:r>
        <w:rPr>
          <w:rFonts w:hint="eastAsia" w:ascii="宋体" w:hAnsi="宋体" w:cs="宋体"/>
          <w:b/>
          <w:bCs/>
          <w:color w:val="auto"/>
          <w:sz w:val="24"/>
          <w:highlight w:val="none"/>
        </w:rPr>
        <w:t>，贵公司对于该须知中的重要条款和贵公司的免责条款均已详细说明解读，本人已全面理解和认可该须知的所有条款，且无异议。</w:t>
      </w:r>
    </w:p>
    <w:p w14:paraId="7FE9E870">
      <w:pPr>
        <w:spacing w:line="7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三、本方已完成对本标的的全面调查了解（包括但不限于查阅由贵公司提供的拍卖资料如产权证明、相关合同条款等），对标的情况已充分知晓。本方对竞买行为负责，自行承担包括但不限于因所获取的标的信息不全面、误解等而产生的相应后果。本方已亲赴标的物现场认真查勘，已行使了知情权，接受标的物的现状和一切已知及未知的瑕疵。</w:t>
      </w:r>
    </w:p>
    <w:p w14:paraId="1DB9C986">
      <w:pPr>
        <w:spacing w:line="700" w:lineRule="exact"/>
        <w:ind w:left="120" w:hanging="120" w:hangingChars="50"/>
        <w:rPr>
          <w:rFonts w:ascii="宋体" w:hAnsi="宋体" w:cs="宋体"/>
          <w:color w:val="auto"/>
          <w:sz w:val="24"/>
          <w:highlight w:val="none"/>
        </w:rPr>
      </w:pPr>
    </w:p>
    <w:p w14:paraId="1B221304">
      <w:pPr>
        <w:spacing w:line="700" w:lineRule="exact"/>
        <w:ind w:left="120" w:hanging="120" w:hangingChars="50"/>
        <w:rPr>
          <w:rFonts w:ascii="宋体" w:hAnsi="宋体" w:cs="宋体"/>
          <w:color w:val="auto"/>
          <w:sz w:val="24"/>
          <w:highlight w:val="none"/>
        </w:rPr>
      </w:pPr>
    </w:p>
    <w:p w14:paraId="5E6C51E1">
      <w:pPr>
        <w:spacing w:line="700" w:lineRule="exact"/>
        <w:ind w:firstLine="5160" w:firstLineChars="2150"/>
        <w:rPr>
          <w:rFonts w:ascii="宋体" w:hAnsi="宋体" w:cs="宋体"/>
          <w:color w:val="auto"/>
          <w:sz w:val="24"/>
          <w:highlight w:val="none"/>
          <w:u w:val="single"/>
        </w:rPr>
      </w:pPr>
      <w:r>
        <w:rPr>
          <w:rFonts w:hint="eastAsia" w:ascii="宋体" w:hAnsi="宋体" w:cs="宋体"/>
          <w:color w:val="auto"/>
          <w:sz w:val="24"/>
          <w:highlight w:val="none"/>
        </w:rPr>
        <w:t>承诺方签章：</w:t>
      </w:r>
    </w:p>
    <w:p w14:paraId="37EC01BF">
      <w:pPr>
        <w:spacing w:line="700" w:lineRule="exact"/>
        <w:ind w:firstLine="3960" w:firstLineChars="1650"/>
        <w:jc w:val="center"/>
        <w:rPr>
          <w:rFonts w:ascii="宋体" w:hAnsi="宋体" w:cs="宋体"/>
          <w:color w:val="auto"/>
          <w:sz w:val="24"/>
          <w:highlight w:val="none"/>
        </w:rPr>
      </w:pPr>
      <w:r>
        <w:rPr>
          <w:rFonts w:hint="eastAsia" w:ascii="宋体" w:hAnsi="宋体" w:cs="宋体"/>
          <w:color w:val="auto"/>
          <w:sz w:val="24"/>
          <w:highlight w:val="none"/>
        </w:rPr>
        <w:t>年  月  日</w:t>
      </w:r>
    </w:p>
    <w:p w14:paraId="406647EE">
      <w:pPr>
        <w:jc w:val="right"/>
        <w:rPr>
          <w:rFonts w:ascii="宋体" w:hAnsi="宋体" w:cs="宋体"/>
          <w:color w:val="auto"/>
          <w:sz w:val="24"/>
          <w:highlight w:val="none"/>
        </w:rPr>
      </w:pPr>
    </w:p>
    <w:p w14:paraId="5E605A66">
      <w:pPr>
        <w:jc w:val="right"/>
        <w:rPr>
          <w:rFonts w:ascii="宋体" w:hAnsi="宋体" w:cs="宋体"/>
          <w:b/>
          <w:color w:val="auto"/>
          <w:highlight w:val="none"/>
        </w:rPr>
      </w:pP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IL-Hei-Med-Jian">
    <w:altName w:val="微软雅黑"/>
    <w:panose1 w:val="00000000000000000000"/>
    <w:charset w:val="50"/>
    <w:family w:val="auto"/>
    <w:pitch w:val="default"/>
    <w:sig w:usb0="00000000" w:usb1="00000000" w:usb2="0E040001"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Q4ODMwOTQ1OGQ3ZTgzMDRhZTJiOGEzM2YxYTgzYmUifQ=="/>
  </w:docVars>
  <w:rsids>
    <w:rsidRoot w:val="001F0000"/>
    <w:rsid w:val="00003896"/>
    <w:rsid w:val="00006213"/>
    <w:rsid w:val="00020F34"/>
    <w:rsid w:val="000249EE"/>
    <w:rsid w:val="000273D5"/>
    <w:rsid w:val="000333E4"/>
    <w:rsid w:val="000350F6"/>
    <w:rsid w:val="00035859"/>
    <w:rsid w:val="00040DB9"/>
    <w:rsid w:val="000452F3"/>
    <w:rsid w:val="0005338C"/>
    <w:rsid w:val="00061EEA"/>
    <w:rsid w:val="000625B7"/>
    <w:rsid w:val="0006625D"/>
    <w:rsid w:val="00070908"/>
    <w:rsid w:val="00075ACA"/>
    <w:rsid w:val="00076A83"/>
    <w:rsid w:val="00096373"/>
    <w:rsid w:val="000A3282"/>
    <w:rsid w:val="000B0BE6"/>
    <w:rsid w:val="000B7C65"/>
    <w:rsid w:val="000C1F84"/>
    <w:rsid w:val="000D3584"/>
    <w:rsid w:val="000E1D2E"/>
    <w:rsid w:val="000F3E58"/>
    <w:rsid w:val="0010717F"/>
    <w:rsid w:val="00111F2F"/>
    <w:rsid w:val="00112FC6"/>
    <w:rsid w:val="001172E6"/>
    <w:rsid w:val="00130230"/>
    <w:rsid w:val="001330FE"/>
    <w:rsid w:val="00150CC0"/>
    <w:rsid w:val="00154443"/>
    <w:rsid w:val="00175DF8"/>
    <w:rsid w:val="00196E18"/>
    <w:rsid w:val="00197585"/>
    <w:rsid w:val="001A0C98"/>
    <w:rsid w:val="001C3EEE"/>
    <w:rsid w:val="001D2070"/>
    <w:rsid w:val="001F0000"/>
    <w:rsid w:val="001F0734"/>
    <w:rsid w:val="002052E9"/>
    <w:rsid w:val="002062DC"/>
    <w:rsid w:val="002076B2"/>
    <w:rsid w:val="0021695F"/>
    <w:rsid w:val="00220832"/>
    <w:rsid w:val="002218A9"/>
    <w:rsid w:val="00222134"/>
    <w:rsid w:val="00233692"/>
    <w:rsid w:val="002457EB"/>
    <w:rsid w:val="00252D67"/>
    <w:rsid w:val="00264652"/>
    <w:rsid w:val="00292249"/>
    <w:rsid w:val="002A0EB3"/>
    <w:rsid w:val="002A5DDF"/>
    <w:rsid w:val="002D6D7E"/>
    <w:rsid w:val="002D7186"/>
    <w:rsid w:val="002E099F"/>
    <w:rsid w:val="002F4858"/>
    <w:rsid w:val="002F4A8A"/>
    <w:rsid w:val="00306589"/>
    <w:rsid w:val="00316512"/>
    <w:rsid w:val="00327FD1"/>
    <w:rsid w:val="003303B8"/>
    <w:rsid w:val="00331BFF"/>
    <w:rsid w:val="00352AA1"/>
    <w:rsid w:val="00363C8F"/>
    <w:rsid w:val="003674DF"/>
    <w:rsid w:val="00377671"/>
    <w:rsid w:val="00387971"/>
    <w:rsid w:val="00393B6E"/>
    <w:rsid w:val="0039685E"/>
    <w:rsid w:val="00396B13"/>
    <w:rsid w:val="003A7A46"/>
    <w:rsid w:val="003B0E18"/>
    <w:rsid w:val="003C55A4"/>
    <w:rsid w:val="003C75AA"/>
    <w:rsid w:val="003E298F"/>
    <w:rsid w:val="003E2DEA"/>
    <w:rsid w:val="003E360C"/>
    <w:rsid w:val="003F2770"/>
    <w:rsid w:val="00400977"/>
    <w:rsid w:val="00412905"/>
    <w:rsid w:val="00425433"/>
    <w:rsid w:val="0042623D"/>
    <w:rsid w:val="0044564F"/>
    <w:rsid w:val="00463A01"/>
    <w:rsid w:val="0046704C"/>
    <w:rsid w:val="00486D39"/>
    <w:rsid w:val="004B2780"/>
    <w:rsid w:val="004B6FA7"/>
    <w:rsid w:val="004C10C1"/>
    <w:rsid w:val="004D025B"/>
    <w:rsid w:val="004E6118"/>
    <w:rsid w:val="004F1B89"/>
    <w:rsid w:val="004F2185"/>
    <w:rsid w:val="004F5B3F"/>
    <w:rsid w:val="004F6A3A"/>
    <w:rsid w:val="005404A6"/>
    <w:rsid w:val="00545808"/>
    <w:rsid w:val="00560617"/>
    <w:rsid w:val="00567119"/>
    <w:rsid w:val="00577947"/>
    <w:rsid w:val="005A4490"/>
    <w:rsid w:val="005A74B2"/>
    <w:rsid w:val="005B26A1"/>
    <w:rsid w:val="005B5AA4"/>
    <w:rsid w:val="00603926"/>
    <w:rsid w:val="00604949"/>
    <w:rsid w:val="00606915"/>
    <w:rsid w:val="0061470E"/>
    <w:rsid w:val="00624A47"/>
    <w:rsid w:val="006257BE"/>
    <w:rsid w:val="00631B8C"/>
    <w:rsid w:val="00652C00"/>
    <w:rsid w:val="0065416D"/>
    <w:rsid w:val="00655674"/>
    <w:rsid w:val="00657E53"/>
    <w:rsid w:val="00680650"/>
    <w:rsid w:val="006836E9"/>
    <w:rsid w:val="0069075C"/>
    <w:rsid w:val="00696F50"/>
    <w:rsid w:val="006A38C3"/>
    <w:rsid w:val="006B049D"/>
    <w:rsid w:val="006D083B"/>
    <w:rsid w:val="006D11E8"/>
    <w:rsid w:val="006E0F03"/>
    <w:rsid w:val="006E6B8B"/>
    <w:rsid w:val="006F132E"/>
    <w:rsid w:val="006F5A8F"/>
    <w:rsid w:val="00703DA7"/>
    <w:rsid w:val="00710660"/>
    <w:rsid w:val="00716D96"/>
    <w:rsid w:val="00722159"/>
    <w:rsid w:val="007357ED"/>
    <w:rsid w:val="00750654"/>
    <w:rsid w:val="007528EF"/>
    <w:rsid w:val="00752A3D"/>
    <w:rsid w:val="00753343"/>
    <w:rsid w:val="00764307"/>
    <w:rsid w:val="00767076"/>
    <w:rsid w:val="007714A0"/>
    <w:rsid w:val="00780DC8"/>
    <w:rsid w:val="0078142F"/>
    <w:rsid w:val="007959C5"/>
    <w:rsid w:val="007A069A"/>
    <w:rsid w:val="007A4244"/>
    <w:rsid w:val="007B0A83"/>
    <w:rsid w:val="007B1D26"/>
    <w:rsid w:val="007B5302"/>
    <w:rsid w:val="007B673B"/>
    <w:rsid w:val="007C05E4"/>
    <w:rsid w:val="007C17A2"/>
    <w:rsid w:val="007C7BF6"/>
    <w:rsid w:val="007D05E8"/>
    <w:rsid w:val="007D1525"/>
    <w:rsid w:val="007E28C8"/>
    <w:rsid w:val="008018E4"/>
    <w:rsid w:val="00801F31"/>
    <w:rsid w:val="00804FBF"/>
    <w:rsid w:val="00826F58"/>
    <w:rsid w:val="00827422"/>
    <w:rsid w:val="00842885"/>
    <w:rsid w:val="0084667E"/>
    <w:rsid w:val="00846D8B"/>
    <w:rsid w:val="00847DC6"/>
    <w:rsid w:val="00851F29"/>
    <w:rsid w:val="00856EAC"/>
    <w:rsid w:val="008709C0"/>
    <w:rsid w:val="008811C2"/>
    <w:rsid w:val="00881D10"/>
    <w:rsid w:val="008865FD"/>
    <w:rsid w:val="00892BD9"/>
    <w:rsid w:val="008A554B"/>
    <w:rsid w:val="008B3111"/>
    <w:rsid w:val="008C50FC"/>
    <w:rsid w:val="008D116C"/>
    <w:rsid w:val="008D1440"/>
    <w:rsid w:val="008F1DB5"/>
    <w:rsid w:val="008F361A"/>
    <w:rsid w:val="0090019F"/>
    <w:rsid w:val="009025AC"/>
    <w:rsid w:val="00905715"/>
    <w:rsid w:val="009169DC"/>
    <w:rsid w:val="00921CE6"/>
    <w:rsid w:val="00927009"/>
    <w:rsid w:val="00930701"/>
    <w:rsid w:val="0093328B"/>
    <w:rsid w:val="00957918"/>
    <w:rsid w:val="009602C8"/>
    <w:rsid w:val="00961DED"/>
    <w:rsid w:val="00971990"/>
    <w:rsid w:val="00976538"/>
    <w:rsid w:val="00986C5E"/>
    <w:rsid w:val="009878FF"/>
    <w:rsid w:val="0099056C"/>
    <w:rsid w:val="00994D5C"/>
    <w:rsid w:val="009961C8"/>
    <w:rsid w:val="009967AA"/>
    <w:rsid w:val="00996BC2"/>
    <w:rsid w:val="009A46A7"/>
    <w:rsid w:val="009A522F"/>
    <w:rsid w:val="009A5C01"/>
    <w:rsid w:val="009B69A6"/>
    <w:rsid w:val="009C418D"/>
    <w:rsid w:val="009D1EC8"/>
    <w:rsid w:val="009D6B98"/>
    <w:rsid w:val="009D70A8"/>
    <w:rsid w:val="00A02E9B"/>
    <w:rsid w:val="00A14109"/>
    <w:rsid w:val="00A22421"/>
    <w:rsid w:val="00A262D7"/>
    <w:rsid w:val="00A30E09"/>
    <w:rsid w:val="00A3744D"/>
    <w:rsid w:val="00A40CF0"/>
    <w:rsid w:val="00A42050"/>
    <w:rsid w:val="00A526CF"/>
    <w:rsid w:val="00A56FC9"/>
    <w:rsid w:val="00A61D56"/>
    <w:rsid w:val="00A65315"/>
    <w:rsid w:val="00A750B7"/>
    <w:rsid w:val="00A9455E"/>
    <w:rsid w:val="00A94864"/>
    <w:rsid w:val="00A97B0A"/>
    <w:rsid w:val="00AA6D2E"/>
    <w:rsid w:val="00AB3552"/>
    <w:rsid w:val="00AC1966"/>
    <w:rsid w:val="00AC642D"/>
    <w:rsid w:val="00AC75B7"/>
    <w:rsid w:val="00AD24C0"/>
    <w:rsid w:val="00AE362A"/>
    <w:rsid w:val="00AE6D59"/>
    <w:rsid w:val="00AF4909"/>
    <w:rsid w:val="00B00749"/>
    <w:rsid w:val="00B01365"/>
    <w:rsid w:val="00B048C7"/>
    <w:rsid w:val="00B04AF8"/>
    <w:rsid w:val="00B1189F"/>
    <w:rsid w:val="00B15DB4"/>
    <w:rsid w:val="00B16B21"/>
    <w:rsid w:val="00B22CD8"/>
    <w:rsid w:val="00B41D7B"/>
    <w:rsid w:val="00B457A2"/>
    <w:rsid w:val="00B514AA"/>
    <w:rsid w:val="00B54F07"/>
    <w:rsid w:val="00B5703C"/>
    <w:rsid w:val="00B6736A"/>
    <w:rsid w:val="00B700AA"/>
    <w:rsid w:val="00B702B2"/>
    <w:rsid w:val="00B7064C"/>
    <w:rsid w:val="00B70E9F"/>
    <w:rsid w:val="00B75CB6"/>
    <w:rsid w:val="00B82AB2"/>
    <w:rsid w:val="00B82CB6"/>
    <w:rsid w:val="00B8491C"/>
    <w:rsid w:val="00B84C86"/>
    <w:rsid w:val="00B9519D"/>
    <w:rsid w:val="00B964FD"/>
    <w:rsid w:val="00BA40CB"/>
    <w:rsid w:val="00BF2C30"/>
    <w:rsid w:val="00C048BB"/>
    <w:rsid w:val="00C10F6D"/>
    <w:rsid w:val="00C117BD"/>
    <w:rsid w:val="00C138D5"/>
    <w:rsid w:val="00C15A4B"/>
    <w:rsid w:val="00C16AC1"/>
    <w:rsid w:val="00C224C9"/>
    <w:rsid w:val="00C556AE"/>
    <w:rsid w:val="00C566AC"/>
    <w:rsid w:val="00C64505"/>
    <w:rsid w:val="00C710A2"/>
    <w:rsid w:val="00C7678C"/>
    <w:rsid w:val="00CA2A68"/>
    <w:rsid w:val="00CA7207"/>
    <w:rsid w:val="00CC37F3"/>
    <w:rsid w:val="00CC7201"/>
    <w:rsid w:val="00CC7DB0"/>
    <w:rsid w:val="00CD11D9"/>
    <w:rsid w:val="00CE5E1F"/>
    <w:rsid w:val="00CE65E6"/>
    <w:rsid w:val="00CE7234"/>
    <w:rsid w:val="00CF0384"/>
    <w:rsid w:val="00CF1584"/>
    <w:rsid w:val="00CF179C"/>
    <w:rsid w:val="00D02F6A"/>
    <w:rsid w:val="00D05EF1"/>
    <w:rsid w:val="00D07830"/>
    <w:rsid w:val="00D13D7C"/>
    <w:rsid w:val="00D16E61"/>
    <w:rsid w:val="00D1788A"/>
    <w:rsid w:val="00D20B15"/>
    <w:rsid w:val="00D21282"/>
    <w:rsid w:val="00D31294"/>
    <w:rsid w:val="00D37C5A"/>
    <w:rsid w:val="00D4063B"/>
    <w:rsid w:val="00D5498B"/>
    <w:rsid w:val="00D550A3"/>
    <w:rsid w:val="00D56CB6"/>
    <w:rsid w:val="00D962E4"/>
    <w:rsid w:val="00DA442B"/>
    <w:rsid w:val="00DB6443"/>
    <w:rsid w:val="00DE1673"/>
    <w:rsid w:val="00DE1B83"/>
    <w:rsid w:val="00DE2F15"/>
    <w:rsid w:val="00DF0D03"/>
    <w:rsid w:val="00DF1958"/>
    <w:rsid w:val="00DF22F8"/>
    <w:rsid w:val="00E012BB"/>
    <w:rsid w:val="00E07B2D"/>
    <w:rsid w:val="00E20DF0"/>
    <w:rsid w:val="00E21D99"/>
    <w:rsid w:val="00E354DD"/>
    <w:rsid w:val="00E40D49"/>
    <w:rsid w:val="00E412DB"/>
    <w:rsid w:val="00E41A49"/>
    <w:rsid w:val="00E53415"/>
    <w:rsid w:val="00E54EDA"/>
    <w:rsid w:val="00E61353"/>
    <w:rsid w:val="00E82BC7"/>
    <w:rsid w:val="00E953AB"/>
    <w:rsid w:val="00E97385"/>
    <w:rsid w:val="00E97918"/>
    <w:rsid w:val="00EB268B"/>
    <w:rsid w:val="00EC2EAF"/>
    <w:rsid w:val="00ED1821"/>
    <w:rsid w:val="00EE2881"/>
    <w:rsid w:val="00EF6576"/>
    <w:rsid w:val="00F177AD"/>
    <w:rsid w:val="00F21DAE"/>
    <w:rsid w:val="00F224B9"/>
    <w:rsid w:val="00F25FCD"/>
    <w:rsid w:val="00F27784"/>
    <w:rsid w:val="00F304C0"/>
    <w:rsid w:val="00F417F7"/>
    <w:rsid w:val="00F526E9"/>
    <w:rsid w:val="00F65903"/>
    <w:rsid w:val="00F70E3E"/>
    <w:rsid w:val="00F80305"/>
    <w:rsid w:val="00F868E7"/>
    <w:rsid w:val="00F95D62"/>
    <w:rsid w:val="00FA17CA"/>
    <w:rsid w:val="00FA2534"/>
    <w:rsid w:val="00FA2D31"/>
    <w:rsid w:val="00FA52F7"/>
    <w:rsid w:val="00FB5960"/>
    <w:rsid w:val="00FB6273"/>
    <w:rsid w:val="00FC7CA6"/>
    <w:rsid w:val="00FD1526"/>
    <w:rsid w:val="00FD7C34"/>
    <w:rsid w:val="00FE20B1"/>
    <w:rsid w:val="00FF3E82"/>
    <w:rsid w:val="02F053FA"/>
    <w:rsid w:val="02F957BA"/>
    <w:rsid w:val="041217AE"/>
    <w:rsid w:val="04243DB5"/>
    <w:rsid w:val="046D5907"/>
    <w:rsid w:val="06127C7F"/>
    <w:rsid w:val="061E6DF3"/>
    <w:rsid w:val="08082A6A"/>
    <w:rsid w:val="09087F2D"/>
    <w:rsid w:val="090D3D34"/>
    <w:rsid w:val="09E73953"/>
    <w:rsid w:val="0F0A77EA"/>
    <w:rsid w:val="1014474D"/>
    <w:rsid w:val="10236D56"/>
    <w:rsid w:val="111D55D6"/>
    <w:rsid w:val="125661BD"/>
    <w:rsid w:val="133534EA"/>
    <w:rsid w:val="14580F7B"/>
    <w:rsid w:val="15591C20"/>
    <w:rsid w:val="16785EC7"/>
    <w:rsid w:val="17937D47"/>
    <w:rsid w:val="17D95B5A"/>
    <w:rsid w:val="181D5DD0"/>
    <w:rsid w:val="182E2B05"/>
    <w:rsid w:val="18FD06C6"/>
    <w:rsid w:val="193B106E"/>
    <w:rsid w:val="1A7C776D"/>
    <w:rsid w:val="1C464DAE"/>
    <w:rsid w:val="1E2D2488"/>
    <w:rsid w:val="1E6C16F7"/>
    <w:rsid w:val="1EE116EA"/>
    <w:rsid w:val="1F1B61FD"/>
    <w:rsid w:val="21DD54D8"/>
    <w:rsid w:val="236B35DE"/>
    <w:rsid w:val="245C4F1A"/>
    <w:rsid w:val="247F5A34"/>
    <w:rsid w:val="25373A88"/>
    <w:rsid w:val="256D713C"/>
    <w:rsid w:val="26D61B36"/>
    <w:rsid w:val="2756483B"/>
    <w:rsid w:val="275B250A"/>
    <w:rsid w:val="28A21EA5"/>
    <w:rsid w:val="28FC05AD"/>
    <w:rsid w:val="2A6615BB"/>
    <w:rsid w:val="2BB53F86"/>
    <w:rsid w:val="2CF611DF"/>
    <w:rsid w:val="2CFB32AA"/>
    <w:rsid w:val="2D047A30"/>
    <w:rsid w:val="2D177F46"/>
    <w:rsid w:val="2DCE1372"/>
    <w:rsid w:val="2EE06F5C"/>
    <w:rsid w:val="2FB20AEC"/>
    <w:rsid w:val="2FEE61B5"/>
    <w:rsid w:val="305849F6"/>
    <w:rsid w:val="310149B3"/>
    <w:rsid w:val="31C62307"/>
    <w:rsid w:val="32393E2F"/>
    <w:rsid w:val="3242177F"/>
    <w:rsid w:val="326C4D06"/>
    <w:rsid w:val="343F1A8D"/>
    <w:rsid w:val="34B57AC5"/>
    <w:rsid w:val="352B1992"/>
    <w:rsid w:val="35686C8D"/>
    <w:rsid w:val="35747523"/>
    <w:rsid w:val="36941E25"/>
    <w:rsid w:val="37076985"/>
    <w:rsid w:val="37AC76B6"/>
    <w:rsid w:val="382E7F1D"/>
    <w:rsid w:val="3883724D"/>
    <w:rsid w:val="38921DA5"/>
    <w:rsid w:val="3B646DBB"/>
    <w:rsid w:val="3CD97164"/>
    <w:rsid w:val="3EB12D6E"/>
    <w:rsid w:val="3EC872EF"/>
    <w:rsid w:val="40E06E45"/>
    <w:rsid w:val="41026B54"/>
    <w:rsid w:val="423563DA"/>
    <w:rsid w:val="43C438A1"/>
    <w:rsid w:val="43DF72A0"/>
    <w:rsid w:val="43F97ED6"/>
    <w:rsid w:val="44D305AF"/>
    <w:rsid w:val="46A45249"/>
    <w:rsid w:val="46AB5DFB"/>
    <w:rsid w:val="471962FC"/>
    <w:rsid w:val="47273D2D"/>
    <w:rsid w:val="49133A5B"/>
    <w:rsid w:val="4AB06DB2"/>
    <w:rsid w:val="4ED14C4C"/>
    <w:rsid w:val="4F71676D"/>
    <w:rsid w:val="50D728A3"/>
    <w:rsid w:val="537E1A3B"/>
    <w:rsid w:val="54760117"/>
    <w:rsid w:val="568D62BE"/>
    <w:rsid w:val="56FF0E7D"/>
    <w:rsid w:val="5B410399"/>
    <w:rsid w:val="5B5B575C"/>
    <w:rsid w:val="5B631C70"/>
    <w:rsid w:val="5C781361"/>
    <w:rsid w:val="5CFE16DC"/>
    <w:rsid w:val="5E557481"/>
    <w:rsid w:val="5F772C46"/>
    <w:rsid w:val="61280FAB"/>
    <w:rsid w:val="62862E1C"/>
    <w:rsid w:val="62AC2121"/>
    <w:rsid w:val="62ED164A"/>
    <w:rsid w:val="634B7540"/>
    <w:rsid w:val="64320FBE"/>
    <w:rsid w:val="6455640F"/>
    <w:rsid w:val="65176F6E"/>
    <w:rsid w:val="660C1107"/>
    <w:rsid w:val="668469F8"/>
    <w:rsid w:val="66853859"/>
    <w:rsid w:val="66AB4D8C"/>
    <w:rsid w:val="66C876DB"/>
    <w:rsid w:val="68C8350F"/>
    <w:rsid w:val="68E3615A"/>
    <w:rsid w:val="69A02B5D"/>
    <w:rsid w:val="6D666D93"/>
    <w:rsid w:val="6ED71821"/>
    <w:rsid w:val="6F7470FC"/>
    <w:rsid w:val="71BC1C54"/>
    <w:rsid w:val="73C60B68"/>
    <w:rsid w:val="75254163"/>
    <w:rsid w:val="77F6147E"/>
    <w:rsid w:val="78E9446D"/>
    <w:rsid w:val="7AA55BE9"/>
    <w:rsid w:val="7AFE34D8"/>
    <w:rsid w:val="7B032D48"/>
    <w:rsid w:val="7BA16274"/>
    <w:rsid w:val="7BC013DF"/>
    <w:rsid w:val="7C3C3E4F"/>
    <w:rsid w:val="7E0A7796"/>
    <w:rsid w:val="7EA17E9B"/>
    <w:rsid w:val="7ECB6868"/>
    <w:rsid w:val="7EF86E49"/>
    <w:rsid w:val="7F1A0C3A"/>
    <w:rsid w:val="7F4D10A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21"/>
    <w:qFormat/>
    <w:uiPriority w:val="9"/>
    <w:pPr>
      <w:keepNext/>
      <w:keepLines/>
      <w:spacing w:before="340" w:after="330" w:line="578" w:lineRule="auto"/>
      <w:outlineLvl w:val="0"/>
    </w:pPr>
    <w:rPr>
      <w:b/>
      <w:bCs/>
      <w:kern w:val="44"/>
      <w:sz w:val="44"/>
      <w:szCs w:val="44"/>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9"/>
    <w:semiHidden/>
    <w:unhideWhenUsed/>
    <w:qFormat/>
    <w:uiPriority w:val="99"/>
    <w:pPr>
      <w:jc w:val="left"/>
    </w:pPr>
  </w:style>
  <w:style w:type="paragraph" w:styleId="4">
    <w:name w:val="Body Text"/>
    <w:basedOn w:val="1"/>
    <w:link w:val="18"/>
    <w:semiHidden/>
    <w:unhideWhenUsed/>
    <w:qFormat/>
    <w:uiPriority w:val="99"/>
    <w:pPr>
      <w:spacing w:after="120"/>
    </w:pPr>
  </w:style>
  <w:style w:type="paragraph" w:styleId="5">
    <w:name w:val="Body Text Indent"/>
    <w:basedOn w:val="1"/>
    <w:link w:val="13"/>
    <w:qFormat/>
    <w:uiPriority w:val="0"/>
    <w:pPr>
      <w:ind w:firstLine="560" w:firstLineChars="200"/>
    </w:pPr>
    <w:rPr>
      <w:sz w:val="28"/>
    </w:rPr>
  </w:style>
  <w:style w:type="paragraph" w:styleId="6">
    <w:name w:val="Balloon Text"/>
    <w:basedOn w:val="1"/>
    <w:link w:val="14"/>
    <w:semiHidden/>
    <w:unhideWhenUsed/>
    <w:qFormat/>
    <w:uiPriority w:val="99"/>
    <w:rPr>
      <w:sz w:val="18"/>
      <w:szCs w:val="18"/>
    </w:rPr>
  </w:style>
  <w:style w:type="paragraph" w:styleId="7">
    <w:name w:val="footer"/>
    <w:basedOn w:val="1"/>
    <w:link w:val="16"/>
    <w:semiHidden/>
    <w:unhideWhenUsed/>
    <w:qFormat/>
    <w:uiPriority w:val="99"/>
    <w:pPr>
      <w:tabs>
        <w:tab w:val="center" w:pos="4153"/>
        <w:tab w:val="right" w:pos="8306"/>
      </w:tabs>
      <w:snapToGrid w:val="0"/>
      <w:jc w:val="left"/>
    </w:pPr>
    <w:rPr>
      <w:sz w:val="18"/>
      <w:szCs w:val="18"/>
    </w:rPr>
  </w:style>
  <w:style w:type="paragraph" w:styleId="8">
    <w:name w:val="header"/>
    <w:basedOn w:val="1"/>
    <w:link w:val="15"/>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100" w:beforeAutospacing="1" w:after="100" w:afterAutospacing="1"/>
      <w:jc w:val="left"/>
    </w:pPr>
    <w:rPr>
      <w:kern w:val="0"/>
      <w:sz w:val="24"/>
    </w:rPr>
  </w:style>
  <w:style w:type="character" w:styleId="12">
    <w:name w:val="annotation reference"/>
    <w:basedOn w:val="11"/>
    <w:semiHidden/>
    <w:unhideWhenUsed/>
    <w:qFormat/>
    <w:uiPriority w:val="99"/>
    <w:rPr>
      <w:sz w:val="21"/>
      <w:szCs w:val="21"/>
    </w:rPr>
  </w:style>
  <w:style w:type="character" w:customStyle="1" w:styleId="13">
    <w:name w:val="正文文本缩进 Char"/>
    <w:basedOn w:val="11"/>
    <w:link w:val="5"/>
    <w:qFormat/>
    <w:uiPriority w:val="0"/>
    <w:rPr>
      <w:rFonts w:ascii="Calibri" w:hAnsi="Calibri" w:eastAsia="宋体" w:cs="Times New Roman"/>
      <w:sz w:val="28"/>
      <w:szCs w:val="24"/>
    </w:rPr>
  </w:style>
  <w:style w:type="character" w:customStyle="1" w:styleId="14">
    <w:name w:val="批注框文本 Char"/>
    <w:basedOn w:val="11"/>
    <w:link w:val="6"/>
    <w:semiHidden/>
    <w:qFormat/>
    <w:uiPriority w:val="99"/>
    <w:rPr>
      <w:rFonts w:ascii="Calibri" w:hAnsi="Calibri" w:eastAsia="宋体" w:cs="Times New Roman"/>
      <w:sz w:val="18"/>
      <w:szCs w:val="18"/>
    </w:rPr>
  </w:style>
  <w:style w:type="character" w:customStyle="1" w:styleId="15">
    <w:name w:val="页眉 Char"/>
    <w:basedOn w:val="11"/>
    <w:link w:val="8"/>
    <w:semiHidden/>
    <w:qFormat/>
    <w:uiPriority w:val="99"/>
    <w:rPr>
      <w:rFonts w:ascii="Calibri" w:hAnsi="Calibri" w:eastAsia="宋体" w:cs="Times New Roman"/>
      <w:sz w:val="18"/>
      <w:szCs w:val="18"/>
    </w:rPr>
  </w:style>
  <w:style w:type="character" w:customStyle="1" w:styleId="16">
    <w:name w:val="页脚 Char"/>
    <w:basedOn w:val="11"/>
    <w:link w:val="7"/>
    <w:semiHidden/>
    <w:qFormat/>
    <w:uiPriority w:val="99"/>
    <w:rPr>
      <w:rFonts w:ascii="Calibri" w:hAnsi="Calibri" w:eastAsia="宋体" w:cs="Times New Roman"/>
      <w:sz w:val="18"/>
      <w:szCs w:val="18"/>
    </w:rPr>
  </w:style>
  <w:style w:type="paragraph" w:styleId="17">
    <w:name w:val="List Paragraph"/>
    <w:basedOn w:val="1"/>
    <w:qFormat/>
    <w:uiPriority w:val="34"/>
    <w:pPr>
      <w:ind w:firstLine="420" w:firstLineChars="200"/>
    </w:pPr>
  </w:style>
  <w:style w:type="character" w:customStyle="1" w:styleId="18">
    <w:name w:val="正文文本 Char"/>
    <w:basedOn w:val="11"/>
    <w:link w:val="4"/>
    <w:semiHidden/>
    <w:qFormat/>
    <w:uiPriority w:val="99"/>
    <w:rPr>
      <w:rFonts w:ascii="Calibri" w:hAnsi="Calibri"/>
      <w:kern w:val="2"/>
      <w:sz w:val="21"/>
      <w:szCs w:val="24"/>
    </w:rPr>
  </w:style>
  <w:style w:type="character" w:customStyle="1" w:styleId="19">
    <w:name w:val="批注文字 Char"/>
    <w:basedOn w:val="11"/>
    <w:link w:val="3"/>
    <w:semiHidden/>
    <w:qFormat/>
    <w:uiPriority w:val="99"/>
    <w:rPr>
      <w:rFonts w:ascii="Calibri" w:hAnsi="Calibri"/>
      <w:kern w:val="2"/>
      <w:sz w:val="21"/>
      <w:szCs w:val="24"/>
    </w:rPr>
  </w:style>
  <w:style w:type="paragraph" w:customStyle="1" w:styleId="20">
    <w:name w:val="Char Char Char1 Char Char Char Char"/>
    <w:basedOn w:val="1"/>
    <w:qFormat/>
    <w:uiPriority w:val="0"/>
    <w:rPr>
      <w:rFonts w:ascii="Times New Roman" w:hAnsi="Times New Roman"/>
      <w:szCs w:val="20"/>
    </w:rPr>
  </w:style>
  <w:style w:type="character" w:customStyle="1" w:styleId="21">
    <w:name w:val="标题 1 Char"/>
    <w:basedOn w:val="11"/>
    <w:link w:val="2"/>
    <w:qFormat/>
    <w:uiPriority w:val="9"/>
    <w:rPr>
      <w:rFonts w:ascii="Calibri" w:hAnsi="Calibri" w:eastAsia="宋体" w:cs="Times New Roman"/>
      <w:b/>
      <w:bCs/>
      <w:kern w:val="44"/>
      <w:sz w:val="44"/>
      <w:szCs w:val="44"/>
    </w:rPr>
  </w:style>
  <w:style w:type="paragraph" w:customStyle="1" w:styleId="22">
    <w:name w:val="汇编大标题1"/>
    <w:basedOn w:val="1"/>
    <w:qFormat/>
    <w:uiPriority w:val="0"/>
    <w:pPr>
      <w:autoSpaceDE w:val="0"/>
      <w:autoSpaceDN w:val="0"/>
      <w:adjustRightInd w:val="0"/>
      <w:spacing w:line="360" w:lineRule="auto"/>
      <w:ind w:right="210" w:rightChars="100"/>
      <w:jc w:val="center"/>
    </w:pPr>
    <w:rPr>
      <w:rFonts w:ascii="黑体" w:hAnsi="SIL-Hei-Med-Jian" w:eastAsia="黑体"/>
      <w:b/>
      <w:bCs/>
      <w:kern w:val="0"/>
      <w:sz w:val="36"/>
      <w:szCs w:val="28"/>
    </w:rPr>
  </w:style>
  <w:style w:type="character" w:customStyle="1" w:styleId="23">
    <w:name w:val="font71"/>
    <w:basedOn w:val="11"/>
    <w:qFormat/>
    <w:uiPriority w:val="0"/>
    <w:rPr>
      <w:rFonts w:hint="eastAsia" w:ascii="宋体" w:hAnsi="宋体" w:eastAsia="宋体" w:cs="宋体"/>
      <w:b/>
      <w:bCs/>
      <w:color w:val="000000"/>
      <w:sz w:val="20"/>
      <w:szCs w:val="20"/>
      <w:u w:val="none"/>
      <w:vertAlign w:val="superscript"/>
    </w:rPr>
  </w:style>
  <w:style w:type="character" w:customStyle="1" w:styleId="24">
    <w:name w:val="font31"/>
    <w:basedOn w:val="11"/>
    <w:qFormat/>
    <w:uiPriority w:val="0"/>
    <w:rPr>
      <w:rFonts w:hint="eastAsia" w:ascii="宋体" w:hAnsi="宋体" w:eastAsia="宋体" w:cs="宋体"/>
      <w:b/>
      <w:bCs/>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F396B0-D1EA-491E-AA4F-5213D34D9352}">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6268</Words>
  <Characters>6659</Characters>
  <Lines>52</Lines>
  <Paragraphs>14</Paragraphs>
  <TotalTime>14</TotalTime>
  <ScaleCrop>false</ScaleCrop>
  <LinksUpToDate>false</LinksUpToDate>
  <CharactersWithSpaces>6687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2021-06-23T10:11:00Z</dcterms:created>
  <dc:creator>Administrator</dc:creator>
  <cp:lastModifiedBy>LCCQ-TY</cp:lastModifiedBy>
  <cp:lastPrinted>2020-09-08T09:26:00Z</cp:lastPrinted>
  <dcterms:modified xsi:type="dcterms:W3CDTF">2025-05-29T02:41:41Z</dcterms:modified>
  <cp:revision>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4A6311A92158477FA031ADE4B792BE4C_13</vt:lpwstr>
  </property>
  <property fmtid="{D5CDD505-2E9C-101B-9397-08002B2CF9AE}" pid="4" name="KSOTemplateDocerSaveRecord">
    <vt:lpwstr>eyJoZGlkIjoiNjZiZmRkOWQxZmRlNmIwMzllOWY5NTJlMTM3MWEwNmEiLCJ1c2VySWQiOiIzNzA2ODMxOTUifQ==</vt:lpwstr>
  </property>
</Properties>
</file>