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0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07E9428C">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50610-2</w:t>
      </w:r>
      <w:r>
        <w:rPr>
          <w:rFonts w:hint="eastAsia" w:asciiTheme="minorEastAsia" w:hAnsiTheme="minorEastAsia" w:eastAsiaTheme="minorEastAsia" w:cstheme="minorEastAsia"/>
          <w:b w:val="0"/>
          <w:bCs w:val="0"/>
          <w:color w:val="auto"/>
          <w:kern w:val="2"/>
          <w:sz w:val="24"/>
          <w:szCs w:val="24"/>
          <w:shd w:val="clear"/>
        </w:rPr>
        <w:t>）</w:t>
      </w:r>
    </w:p>
    <w:p w14:paraId="2C61C40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6032D3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1167976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0000FF"/>
          <w:kern w:val="2"/>
          <w:sz w:val="24"/>
          <w:szCs w:val="24"/>
          <w:shd w:val="clear"/>
          <w:lang w:val="en-US" w:eastAsia="zh-CN"/>
        </w:rPr>
        <w:t>月10日</w:t>
      </w:r>
      <w:r>
        <w:rPr>
          <w:rFonts w:hint="eastAsia" w:asciiTheme="minorEastAsia" w:hAnsiTheme="minorEastAsia" w:eastAsiaTheme="minorEastAsia" w:cstheme="minorEastAsia"/>
          <w:color w:val="auto"/>
          <w:kern w:val="2"/>
          <w:sz w:val="24"/>
          <w:szCs w:val="24"/>
          <w:shd w:val="clear"/>
        </w:rPr>
        <w:t>9:30开始至9:50止（20分钟）。</w:t>
      </w:r>
    </w:p>
    <w:p w14:paraId="104E9F98">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4D933D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0000FF"/>
          <w:kern w:val="2"/>
          <w:sz w:val="24"/>
          <w:szCs w:val="24"/>
          <w:shd w:val="clear"/>
          <w:lang w:val="en-US" w:eastAsia="zh-CN"/>
        </w:rPr>
        <w:t>月4日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0000FF"/>
          <w:kern w:val="2"/>
          <w:sz w:val="24"/>
          <w:szCs w:val="24"/>
          <w:shd w:val="clear"/>
          <w:lang w:val="en-US" w:eastAsia="zh-CN"/>
        </w:rPr>
        <w:t>月9日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4A773F0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64CD639">
      <w:pPr>
        <w:snapToGrid/>
        <w:spacing w:line="520" w:lineRule="exact"/>
        <w:ind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李先生 0597-8911670</w:t>
      </w:r>
    </w:p>
    <w:p w14:paraId="1AB295F1">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8CD3364">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福建连城国有投资集团有限公司办公固定资产采购（第二次）</w:t>
      </w:r>
      <w:r>
        <w:rPr>
          <w:rFonts w:hint="eastAsia" w:asciiTheme="minorEastAsia" w:hAnsiTheme="minorEastAsia" w:eastAsiaTheme="minorEastAsia" w:cstheme="minorEastAsia"/>
          <w:color w:val="auto"/>
          <w:sz w:val="24"/>
          <w:szCs w:val="24"/>
        </w:rPr>
        <w:t>。</w:t>
      </w:r>
    </w:p>
    <w:p w14:paraId="2ACBF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14:paraId="2F3E6A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3.采购清单</w:t>
      </w:r>
    </w:p>
    <w:tbl>
      <w:tblPr>
        <w:tblStyle w:val="12"/>
        <w:tblW w:w="5478" w:type="pct"/>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380"/>
        <w:gridCol w:w="1514"/>
        <w:gridCol w:w="698"/>
        <w:gridCol w:w="1857"/>
        <w:gridCol w:w="1067"/>
        <w:gridCol w:w="121"/>
        <w:gridCol w:w="1126"/>
        <w:gridCol w:w="964"/>
      </w:tblGrid>
      <w:tr w14:paraId="2F82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05EB1A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14:paraId="75B02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7BCFDF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CE47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316C7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0AC3316">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最高单价（元）</w:t>
            </w:r>
          </w:p>
        </w:tc>
        <w:tc>
          <w:tcPr>
            <w:tcW w:w="6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1B2A21">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最高总价（元）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7B023D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9DB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62B9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46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挂式空调</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50C4E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仿宋"/>
                <w:color w:val="000000"/>
                <w:sz w:val="21"/>
                <w:szCs w:val="21"/>
              </w:rPr>
              <w:t>2匹冷暖变频壁挂式空调</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2BF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03942AC3">
            <w:pPr>
              <w:keepNext w:val="0"/>
              <w:keepLines w:val="0"/>
              <w:pageBreakBefore w:val="0"/>
              <w:widowControl w:val="0"/>
              <w:numPr>
                <w:ilvl w:val="0"/>
                <w:numId w:val="2"/>
              </w:numPr>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空调类型：2匹冷暖变频壁挂式空调</w:t>
            </w:r>
          </w:p>
          <w:p w14:paraId="7D593F76">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仿宋"/>
                <w:b w:val="0"/>
                <w:bCs w:val="0"/>
                <w:color w:val="auto"/>
                <w:sz w:val="21"/>
                <w:szCs w:val="21"/>
              </w:rPr>
            </w:pPr>
            <w:r>
              <w:rPr>
                <w:rFonts w:hint="eastAsia" w:ascii="宋体" w:hAnsi="宋体" w:eastAsia="宋体" w:cs="仿宋"/>
                <w:b w:val="0"/>
                <w:bCs w:val="0"/>
                <w:color w:val="auto"/>
                <w:szCs w:val="21"/>
              </w:rPr>
              <w:t>2、外观颜色：白色</w:t>
            </w:r>
          </w:p>
          <w:p w14:paraId="2F1491B3">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3、全年能源消耗率APF：≥4.26（W•h)/( W•h)</w:t>
            </w:r>
          </w:p>
          <w:p w14:paraId="52F35D1A">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4、制冷量：≥5020w</w:t>
            </w:r>
          </w:p>
          <w:p w14:paraId="3996EEE1">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5、制冷季节耗电量：≤627（kW·h）</w:t>
            </w:r>
          </w:p>
          <w:p w14:paraId="1C7DDF71">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6、制冷功率：≤1380w</w:t>
            </w:r>
          </w:p>
          <w:p w14:paraId="0DB7FDC2">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7、制热量：≥6680w</w:t>
            </w:r>
          </w:p>
          <w:p w14:paraId="519762BA">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8、制热季节耗电量：≤497（kW·h）</w:t>
            </w:r>
          </w:p>
          <w:p w14:paraId="3221E68A">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9、制热功率（标准工况）：≤1900w</w:t>
            </w:r>
          </w:p>
          <w:p w14:paraId="3D69C7AE">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10、循环风量（室内机）：≥1000m</w:t>
            </w:r>
            <w:r>
              <w:rPr>
                <w:rFonts w:hint="eastAsia" w:ascii="宋体" w:hAnsi="宋体" w:eastAsia="宋体" w:cs="仿宋"/>
                <w:b w:val="0"/>
                <w:bCs w:val="0"/>
                <w:color w:val="auto"/>
                <w:kern w:val="0"/>
                <w:sz w:val="21"/>
                <w:szCs w:val="21"/>
                <w:vertAlign w:val="superscript"/>
                <w:lang w:val="en-US" w:eastAsia="zh-CN" w:bidi="ar-SA"/>
              </w:rPr>
              <w:t>3</w:t>
            </w:r>
            <w:r>
              <w:rPr>
                <w:rFonts w:hint="eastAsia" w:ascii="宋体" w:hAnsi="宋体" w:eastAsia="宋体" w:cs="仿宋"/>
                <w:b w:val="0"/>
                <w:bCs w:val="0"/>
                <w:color w:val="auto"/>
                <w:kern w:val="0"/>
                <w:sz w:val="21"/>
                <w:szCs w:val="21"/>
                <w:lang w:val="en-US" w:eastAsia="zh-CN" w:bidi="ar-SA"/>
              </w:rPr>
              <w:t>/h</w:t>
            </w:r>
          </w:p>
          <w:p w14:paraId="1C38F03B">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11、室内运行噪音（高风档）(dB)：≤40dB(A)</w:t>
            </w:r>
          </w:p>
          <w:p w14:paraId="1785C234">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12、室外运行噪音：≤53dB(A)</w:t>
            </w:r>
          </w:p>
          <w:p w14:paraId="374D4412">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13、电源性能：220V/50Hz</w:t>
            </w:r>
          </w:p>
          <w:p w14:paraId="69502026">
            <w:pPr>
              <w:keepNext w:val="0"/>
              <w:keepLines w:val="0"/>
              <w:pageBreakBefore w:val="0"/>
              <w:widowControl w:val="0"/>
              <w:tabs>
                <w:tab w:val="left" w:pos="52"/>
              </w:tabs>
              <w:kinsoku/>
              <w:wordWrap/>
              <w:overflowPunct/>
              <w:topLinePunct w:val="0"/>
              <w:autoSpaceDE/>
              <w:autoSpaceDN/>
              <w:bidi w:val="0"/>
              <w:adjustRightInd/>
              <w:spacing w:before="0" w:beforeAutospacing="0" w:after="0" w:afterAutospacing="0" w:line="400" w:lineRule="exact"/>
              <w:jc w:val="left"/>
              <w:textAlignment w:val="auto"/>
              <w:rPr>
                <w:rFonts w:hint="eastAsia" w:ascii="宋体" w:hAnsi="宋体" w:eastAsia="宋体" w:cs="仿宋"/>
                <w:b w:val="0"/>
                <w:bCs w:val="0"/>
                <w:color w:val="auto"/>
                <w:kern w:val="0"/>
                <w:sz w:val="21"/>
                <w:szCs w:val="21"/>
                <w:lang w:val="en-US" w:eastAsia="zh-CN" w:bidi="ar-SA"/>
              </w:rPr>
            </w:pPr>
            <w:r>
              <w:rPr>
                <w:rFonts w:hint="eastAsia" w:ascii="宋体" w:hAnsi="宋体" w:eastAsia="宋体" w:cs="仿宋"/>
                <w:b w:val="0"/>
                <w:bCs w:val="0"/>
                <w:color w:val="auto"/>
                <w:kern w:val="0"/>
                <w:sz w:val="21"/>
                <w:szCs w:val="21"/>
                <w:lang w:val="en-US" w:eastAsia="zh-CN" w:bidi="ar-SA"/>
              </w:rPr>
              <w:t>14、售后服务：整机保修6年</w:t>
            </w:r>
          </w:p>
          <w:p w14:paraId="01EBE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仿宋"/>
                <w:b w:val="0"/>
                <w:bCs w:val="0"/>
                <w:color w:val="auto"/>
                <w:kern w:val="0"/>
                <w:sz w:val="21"/>
                <w:szCs w:val="21"/>
                <w:lang w:val="en-US" w:eastAsia="zh-CN" w:bidi="ar-SA"/>
              </w:rPr>
              <w:t>15、能效等级：二级或者优于二级</w:t>
            </w:r>
          </w:p>
        </w:tc>
        <w:tc>
          <w:tcPr>
            <w:tcW w:w="6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4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0139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36400</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5909D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49B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326" w:type="pct"/>
            <w:tcBorders>
              <w:top w:val="single" w:color="auto" w:sz="4" w:space="0"/>
              <w:left w:val="single" w:color="000000" w:sz="4" w:space="0"/>
              <w:bottom w:val="single" w:color="000000" w:sz="4" w:space="0"/>
              <w:right w:val="single" w:color="000000" w:sz="4" w:space="0"/>
            </w:tcBorders>
            <w:shd w:val="clear" w:color="auto" w:fill="auto"/>
            <w:vAlign w:val="center"/>
          </w:tcPr>
          <w:p w14:paraId="3CB0C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8" w:type="pct"/>
            <w:tcBorders>
              <w:top w:val="single" w:color="auto" w:sz="4" w:space="0"/>
              <w:left w:val="single" w:color="000000" w:sz="4" w:space="0"/>
              <w:bottom w:val="single" w:color="000000" w:sz="4" w:space="0"/>
              <w:right w:val="single" w:color="000000" w:sz="4" w:space="0"/>
            </w:tcBorders>
            <w:shd w:val="clear" w:color="auto" w:fill="auto"/>
            <w:vAlign w:val="center"/>
          </w:tcPr>
          <w:p w14:paraId="7C43FD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4"/>
                <w:szCs w:val="24"/>
                <w:u w:val="none"/>
                <w:lang w:val="en-US" w:eastAsia="zh-CN" w:bidi="ar"/>
              </w:rPr>
              <w:t>立试空调</w:t>
            </w:r>
          </w:p>
        </w:tc>
        <w:tc>
          <w:tcPr>
            <w:tcW w:w="810" w:type="pct"/>
            <w:tcBorders>
              <w:top w:val="single" w:color="auto" w:sz="4" w:space="0"/>
              <w:left w:val="single" w:color="000000" w:sz="4" w:space="0"/>
              <w:bottom w:val="single" w:color="000000" w:sz="4" w:space="0"/>
              <w:right w:val="single" w:color="000000" w:sz="4" w:space="0"/>
            </w:tcBorders>
            <w:shd w:val="clear" w:color="auto" w:fill="auto"/>
            <w:vAlign w:val="center"/>
          </w:tcPr>
          <w:p w14:paraId="1A685CFC">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bookmarkStart w:id="0" w:name="OLE_LINK2"/>
            <w:r>
              <w:rPr>
                <w:rFonts w:hint="eastAsia" w:ascii="宋体" w:hAnsi="宋体" w:eastAsia="宋体" w:cs="仿宋"/>
                <w:sz w:val="21"/>
                <w:szCs w:val="21"/>
              </w:rPr>
              <w:t>3匹冷暖变频立柜式空调</w:t>
            </w:r>
            <w:bookmarkEnd w:id="0"/>
          </w:p>
        </w:tc>
        <w:tc>
          <w:tcPr>
            <w:tcW w:w="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3685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4" w:type="pct"/>
            <w:tcBorders>
              <w:top w:val="single" w:color="auto" w:sz="4" w:space="0"/>
              <w:left w:val="single" w:color="000000" w:sz="4" w:space="0"/>
              <w:bottom w:val="single" w:color="000000" w:sz="4" w:space="0"/>
              <w:right w:val="single" w:color="000000" w:sz="4" w:space="0"/>
            </w:tcBorders>
            <w:shd w:val="clear" w:color="auto" w:fill="auto"/>
            <w:vAlign w:val="center"/>
          </w:tcPr>
          <w:p w14:paraId="3CB055C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仿宋"/>
                <w:b w:val="0"/>
                <w:bCs w:val="0"/>
                <w:color w:val="auto"/>
                <w:szCs w:val="21"/>
              </w:rPr>
            </w:pPr>
            <w:r>
              <w:rPr>
                <w:rFonts w:hint="eastAsia" w:ascii="宋体" w:hAnsi="宋体" w:eastAsia="宋体" w:cs="Times New Roman"/>
                <w:b w:val="0"/>
                <w:bCs w:val="0"/>
                <w:color w:val="auto"/>
                <w:szCs w:val="21"/>
              </w:rPr>
              <w:t>1、空调类型：</w:t>
            </w:r>
            <w:r>
              <w:rPr>
                <w:rFonts w:hint="eastAsia" w:ascii="宋体" w:hAnsi="宋体" w:eastAsia="宋体" w:cs="仿宋"/>
                <w:b w:val="0"/>
                <w:bCs w:val="0"/>
                <w:color w:val="auto"/>
                <w:szCs w:val="21"/>
              </w:rPr>
              <w:t>3匹冷暖变频立柜式空调</w:t>
            </w:r>
          </w:p>
          <w:p w14:paraId="5A84614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仿宋"/>
                <w:b w:val="0"/>
                <w:bCs w:val="0"/>
                <w:color w:val="auto"/>
                <w:szCs w:val="21"/>
              </w:rPr>
            </w:pPr>
            <w:r>
              <w:rPr>
                <w:rFonts w:hint="eastAsia" w:ascii="宋体" w:hAnsi="宋体" w:eastAsia="宋体" w:cs="仿宋"/>
                <w:b w:val="0"/>
                <w:bCs w:val="0"/>
                <w:color w:val="auto"/>
                <w:szCs w:val="21"/>
              </w:rPr>
              <w:t>2、外观颜色：白色</w:t>
            </w:r>
          </w:p>
          <w:p w14:paraId="1C9A57B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3、全年能源消耗率APF：≥4.12（</w:t>
            </w:r>
            <w:r>
              <w:rPr>
                <w:rFonts w:hint="eastAsia" w:ascii="宋体" w:hAnsi="宋体" w:eastAsia="宋体" w:cs="宋体"/>
                <w:b w:val="0"/>
                <w:bCs w:val="0"/>
                <w:color w:val="auto"/>
                <w:szCs w:val="21"/>
              </w:rPr>
              <w:t>W•h</w:t>
            </w:r>
            <w:r>
              <w:rPr>
                <w:rFonts w:hint="eastAsia" w:ascii="宋体" w:hAnsi="宋体" w:eastAsia="宋体" w:cs="Times New Roman"/>
                <w:b w:val="0"/>
                <w:bCs w:val="0"/>
                <w:color w:val="auto"/>
                <w:szCs w:val="21"/>
              </w:rPr>
              <w:t>)/(</w:t>
            </w:r>
            <w:r>
              <w:rPr>
                <w:rFonts w:hint="eastAsia" w:ascii="宋体" w:hAnsi="宋体" w:eastAsia="宋体" w:cs="宋体"/>
                <w:b w:val="0"/>
                <w:bCs w:val="0"/>
                <w:color w:val="auto"/>
                <w:szCs w:val="21"/>
              </w:rPr>
              <w:t xml:space="preserve"> W•h</w:t>
            </w:r>
            <w:r>
              <w:rPr>
                <w:rFonts w:hint="eastAsia" w:ascii="宋体" w:hAnsi="宋体" w:eastAsia="宋体" w:cs="Times New Roman"/>
                <w:b w:val="0"/>
                <w:bCs w:val="0"/>
                <w:color w:val="auto"/>
                <w:szCs w:val="21"/>
              </w:rPr>
              <w:t>)</w:t>
            </w:r>
          </w:p>
          <w:p w14:paraId="462AB29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4、制冷量：≥7400w</w:t>
            </w:r>
          </w:p>
          <w:p w14:paraId="32C4DCE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5、制冷季节耗电量：≤948（kW•h）</w:t>
            </w:r>
          </w:p>
          <w:p w14:paraId="0EE0DAA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6、制冷功率：≤2090w</w:t>
            </w:r>
            <w:r>
              <w:rPr>
                <w:rFonts w:hint="eastAsia" w:ascii="宋体" w:hAnsi="宋体" w:eastAsia="宋体" w:cs="Times New Roman"/>
                <w:b w:val="0"/>
                <w:bCs w:val="0"/>
                <w:color w:val="auto"/>
                <w:szCs w:val="21"/>
              </w:rPr>
              <w:cr/>
            </w:r>
            <w:r>
              <w:rPr>
                <w:rFonts w:hint="eastAsia" w:ascii="宋体" w:hAnsi="宋体" w:eastAsia="宋体" w:cs="Times New Roman"/>
                <w:b w:val="0"/>
                <w:bCs w:val="0"/>
                <w:color w:val="auto"/>
                <w:szCs w:val="21"/>
              </w:rPr>
              <w:t>7、制热量：≥9650w</w:t>
            </w:r>
          </w:p>
          <w:p w14:paraId="2CBD14D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8、制热季节耗电量：≤766（kW•h）</w:t>
            </w:r>
          </w:p>
          <w:p w14:paraId="4AF5CA6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9、制热功率（标准工况）：≤2750w</w:t>
            </w:r>
          </w:p>
          <w:p w14:paraId="74D1DD8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10、循环风量</w:t>
            </w:r>
            <w:r>
              <w:rPr>
                <w:rFonts w:hint="eastAsia" w:ascii="宋体" w:hAnsi="宋体" w:eastAsia="宋体" w:cs="仿宋"/>
                <w:b w:val="0"/>
                <w:bCs w:val="0"/>
                <w:color w:val="auto"/>
                <w:sz w:val="21"/>
                <w:szCs w:val="21"/>
              </w:rPr>
              <w:t>（室内机）</w:t>
            </w:r>
            <w:r>
              <w:rPr>
                <w:rFonts w:hint="eastAsia" w:ascii="宋体" w:hAnsi="宋体" w:eastAsia="宋体" w:cs="Times New Roman"/>
                <w:b w:val="0"/>
                <w:bCs w:val="0"/>
                <w:color w:val="auto"/>
                <w:szCs w:val="21"/>
              </w:rPr>
              <w:t>：≥1210</w:t>
            </w:r>
            <w:r>
              <w:rPr>
                <w:rFonts w:hint="eastAsia" w:ascii="宋体" w:hAnsi="宋体" w:eastAsia="宋体" w:cs="宋体"/>
                <w:b w:val="0"/>
                <w:bCs w:val="0"/>
                <w:color w:val="auto"/>
                <w:kern w:val="0"/>
                <w:szCs w:val="21"/>
              </w:rPr>
              <w:t xml:space="preserve"> m</w:t>
            </w:r>
            <w:r>
              <w:rPr>
                <w:rFonts w:hint="eastAsia" w:ascii="宋体" w:hAnsi="宋体" w:eastAsia="宋体" w:cs="宋体"/>
                <w:b w:val="0"/>
                <w:bCs w:val="0"/>
                <w:color w:val="auto"/>
                <w:kern w:val="0"/>
                <w:szCs w:val="21"/>
                <w:vertAlign w:val="superscript"/>
              </w:rPr>
              <w:t>3</w:t>
            </w:r>
            <w:r>
              <w:rPr>
                <w:rFonts w:hint="eastAsia" w:ascii="宋体" w:hAnsi="宋体" w:eastAsia="宋体" w:cs="Times New Roman"/>
                <w:b w:val="0"/>
                <w:bCs w:val="0"/>
                <w:color w:val="auto"/>
                <w:szCs w:val="21"/>
              </w:rPr>
              <w:t>/h</w:t>
            </w:r>
          </w:p>
          <w:p w14:paraId="349735D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11、室内运行噪音（高风档）(dB)：≤42dB(A)</w:t>
            </w:r>
          </w:p>
          <w:p w14:paraId="02E898D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12、室外运行噪音：≤56dB(A)</w:t>
            </w:r>
          </w:p>
          <w:p w14:paraId="013FA8A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1</w:t>
            </w:r>
            <w:r>
              <w:rPr>
                <w:rFonts w:hint="eastAsia" w:ascii="宋体" w:hAnsi="宋体" w:eastAsia="宋体" w:cs="Times New Roman"/>
                <w:b w:val="0"/>
                <w:bCs w:val="0"/>
                <w:color w:val="auto"/>
                <w:szCs w:val="21"/>
                <w:lang w:val="en-US" w:eastAsia="zh-CN"/>
              </w:rPr>
              <w:t>3</w:t>
            </w:r>
            <w:r>
              <w:rPr>
                <w:rFonts w:hint="eastAsia" w:ascii="宋体" w:hAnsi="宋体" w:eastAsia="宋体" w:cs="Times New Roman"/>
                <w:b w:val="0"/>
                <w:bCs w:val="0"/>
                <w:color w:val="auto"/>
                <w:szCs w:val="21"/>
              </w:rPr>
              <w:t>、电源性能：220V/50Hz</w:t>
            </w:r>
          </w:p>
          <w:p w14:paraId="573752D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1</w:t>
            </w:r>
            <w:r>
              <w:rPr>
                <w:rFonts w:hint="eastAsia" w:ascii="宋体" w:hAnsi="宋体" w:eastAsia="宋体" w:cs="Times New Roman"/>
                <w:b w:val="0"/>
                <w:bCs w:val="0"/>
                <w:color w:val="auto"/>
                <w:szCs w:val="21"/>
                <w:lang w:val="en-US" w:eastAsia="zh-CN"/>
              </w:rPr>
              <w:t>4</w:t>
            </w:r>
            <w:r>
              <w:rPr>
                <w:rFonts w:hint="eastAsia" w:ascii="宋体" w:hAnsi="宋体" w:eastAsia="宋体" w:cs="Times New Roman"/>
                <w:b w:val="0"/>
                <w:bCs w:val="0"/>
                <w:color w:val="auto"/>
                <w:szCs w:val="21"/>
              </w:rPr>
              <w:t>、</w:t>
            </w:r>
            <w:r>
              <w:rPr>
                <w:rFonts w:hint="eastAsia" w:ascii="宋体" w:hAnsi="宋体" w:eastAsia="宋体" w:cs="仿宋"/>
                <w:b w:val="0"/>
                <w:bCs w:val="0"/>
                <w:color w:val="auto"/>
                <w:sz w:val="21"/>
                <w:szCs w:val="21"/>
                <w:lang w:val="en-US" w:eastAsia="zh-CN"/>
              </w:rPr>
              <w:t>售后</w:t>
            </w:r>
            <w:r>
              <w:rPr>
                <w:rFonts w:hint="eastAsia" w:ascii="宋体" w:hAnsi="宋体" w:eastAsia="宋体" w:cs="仿宋"/>
                <w:b w:val="0"/>
                <w:bCs w:val="0"/>
                <w:color w:val="auto"/>
                <w:sz w:val="21"/>
                <w:szCs w:val="21"/>
              </w:rPr>
              <w:t>服务</w:t>
            </w:r>
            <w:r>
              <w:rPr>
                <w:rFonts w:hint="eastAsia" w:ascii="宋体" w:hAnsi="宋体" w:eastAsia="宋体" w:cs="Times New Roman"/>
                <w:b w:val="0"/>
                <w:bCs w:val="0"/>
                <w:color w:val="auto"/>
                <w:szCs w:val="21"/>
              </w:rPr>
              <w:t>：整机保修6年</w:t>
            </w:r>
          </w:p>
          <w:p w14:paraId="4C29E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仿宋"/>
                <w:b w:val="0"/>
                <w:bCs w:val="0"/>
                <w:color w:val="auto"/>
                <w:szCs w:val="21"/>
              </w:rPr>
              <w:t>1</w:t>
            </w:r>
            <w:r>
              <w:rPr>
                <w:rFonts w:hint="eastAsia" w:ascii="宋体" w:hAnsi="宋体" w:eastAsia="宋体" w:cs="仿宋"/>
                <w:b w:val="0"/>
                <w:bCs w:val="0"/>
                <w:color w:val="auto"/>
                <w:szCs w:val="21"/>
                <w:lang w:val="en-US" w:eastAsia="zh-CN"/>
              </w:rPr>
              <w:t>5</w:t>
            </w:r>
            <w:r>
              <w:rPr>
                <w:rFonts w:hint="eastAsia" w:ascii="宋体" w:hAnsi="宋体" w:eastAsia="宋体" w:cs="仿宋"/>
                <w:b w:val="0"/>
                <w:bCs w:val="0"/>
                <w:color w:val="auto"/>
                <w:szCs w:val="21"/>
              </w:rPr>
              <w:t>、能效等级：二级或者优于二级</w:t>
            </w:r>
          </w:p>
        </w:tc>
        <w:tc>
          <w:tcPr>
            <w:tcW w:w="571" w:type="pct"/>
            <w:tcBorders>
              <w:top w:val="single" w:color="auto" w:sz="4" w:space="0"/>
              <w:left w:val="single" w:color="000000" w:sz="4" w:space="0"/>
              <w:bottom w:val="single" w:color="000000" w:sz="4" w:space="0"/>
              <w:right w:val="single" w:color="000000" w:sz="4" w:space="0"/>
            </w:tcBorders>
            <w:shd w:val="clear" w:color="auto" w:fill="auto"/>
            <w:vAlign w:val="center"/>
          </w:tcPr>
          <w:p w14:paraId="2FC1B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66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8E6C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516" w:type="pct"/>
            <w:tcBorders>
              <w:top w:val="single" w:color="auto" w:sz="4" w:space="0"/>
              <w:left w:val="single" w:color="000000" w:sz="4" w:space="0"/>
              <w:bottom w:val="single" w:color="000000" w:sz="4" w:space="0"/>
              <w:right w:val="single" w:color="000000" w:sz="4" w:space="0"/>
            </w:tcBorders>
            <w:shd w:val="clear" w:color="auto" w:fill="auto"/>
            <w:vAlign w:val="center"/>
          </w:tcPr>
          <w:p w14:paraId="7ACD2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B65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D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E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E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产品尺寸：520*430*1404MM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5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9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300L双门紫外线+臭氧6层国标二星级高温消毒</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额定功率：≥300W，主要材质：金属+加厚钢化玻璃</w:t>
            </w:r>
            <w:r>
              <w:rPr>
                <w:rFonts w:hint="eastAsia" w:ascii="宋体" w:hAnsi="宋体" w:cs="宋体"/>
                <w:i w:val="0"/>
                <w:iCs w:val="0"/>
                <w:color w:val="000000"/>
                <w:kern w:val="0"/>
                <w:sz w:val="22"/>
                <w:szCs w:val="22"/>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5489">
            <w:pPr>
              <w:rPr>
                <w:rFonts w:hint="eastAsia" w:ascii="宋体" w:hAnsi="宋体" w:eastAsia="宋体" w:cs="宋体"/>
                <w:i w:val="0"/>
                <w:iCs w:val="0"/>
                <w:color w:val="000000"/>
                <w:sz w:val="22"/>
                <w:szCs w:val="22"/>
                <w:u w:val="none"/>
              </w:rPr>
            </w:pPr>
          </w:p>
        </w:tc>
      </w:tr>
      <w:tr w14:paraId="2AD0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2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E7291">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12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62B66">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56300（含税价）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0DDF">
            <w:pPr>
              <w:rPr>
                <w:rFonts w:hint="eastAsia" w:ascii="宋体" w:hAnsi="宋体" w:eastAsia="宋体" w:cs="宋体"/>
                <w:b/>
                <w:bCs/>
                <w:i w:val="0"/>
                <w:iCs w:val="0"/>
                <w:color w:val="000000"/>
                <w:kern w:val="0"/>
                <w:sz w:val="22"/>
                <w:szCs w:val="22"/>
                <w:u w:val="none"/>
                <w:lang w:val="en-US" w:eastAsia="zh-CN" w:bidi="ar"/>
              </w:rPr>
            </w:pPr>
          </w:p>
        </w:tc>
      </w:tr>
    </w:tbl>
    <w:p w14:paraId="6D72927A">
      <w:pPr>
        <w:pStyle w:val="11"/>
        <w:numPr>
          <w:ilvl w:val="2"/>
          <w:numId w:val="0"/>
        </w:numPr>
        <w:ind w:left="210" w:leftChars="0"/>
        <w:rPr>
          <w:rFonts w:hint="default" w:eastAsia="宋体"/>
          <w:lang w:val="en-US" w:eastAsia="zh-CN"/>
        </w:rPr>
      </w:pPr>
    </w:p>
    <w:p w14:paraId="2142B81A">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最高控制价：本项目最高控制价为56300元（含税包干），竞价人以总价报价方式进行报价，竞价人在报价时不得高于最高限价，根据有效供应商报价排名情况，由低到高排序，最低的一名即为成交人。最高控制价为包干价，包括但不限于货物款、运输费、安装费、辅料、税费等，竞价人应对本次供货内容应有充分认识，自行判断能够完成本项目所需的费用，风险费用应自行考虑计入投标报价，竞价人未考虑风险因素造成的损失由竞价人自行负责。</w:t>
      </w:r>
    </w:p>
    <w:p w14:paraId="7A68508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5.供</w:t>
      </w:r>
      <w:r>
        <w:rPr>
          <w:rFonts w:hint="eastAsia" w:ascii="宋体" w:hAnsi="宋体" w:eastAsia="宋体" w:cs="宋体"/>
          <w:b w:val="0"/>
          <w:bCs w:val="0"/>
          <w:i w:val="0"/>
          <w:iCs w:val="0"/>
          <w:caps w:val="0"/>
          <w:color w:val="333333"/>
          <w:spacing w:val="0"/>
          <w:sz w:val="24"/>
          <w:szCs w:val="24"/>
          <w:shd w:val="clear" w:fill="FFFFFF"/>
          <w:lang w:val="en-US" w:eastAsia="zh-CN"/>
        </w:rPr>
        <w:t>货</w:t>
      </w:r>
      <w:r>
        <w:rPr>
          <w:rFonts w:hint="eastAsia" w:ascii="宋体" w:hAnsi="宋体" w:eastAsia="宋体" w:cs="宋体"/>
          <w:i w:val="0"/>
          <w:iCs w:val="0"/>
          <w:caps w:val="0"/>
          <w:color w:val="333333"/>
          <w:spacing w:val="0"/>
          <w:sz w:val="24"/>
          <w:szCs w:val="24"/>
          <w:shd w:val="clear" w:fill="FFFFFF"/>
          <w:lang w:val="en-US" w:eastAsia="zh-CN"/>
        </w:rPr>
        <w:t>期限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合同签订后10日内完成供货并安装完毕。</w:t>
      </w:r>
    </w:p>
    <w:p w14:paraId="17CF8FBA">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14:paraId="482AC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14:paraId="5BE0C9BC">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14:paraId="1B5AE2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14:paraId="635A36B3">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14:paraId="44A8008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14:paraId="5BC1331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14:paraId="0AEFE4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14:paraId="0701872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14:paraId="0CFBFA0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217900B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62E5DB6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14:paraId="4D8053CC">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14:paraId="5DA2B372">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1）标志：产品表层有明显的型号规格等标志，该标志在寿命期内应清晰、永久。</w:t>
      </w:r>
    </w:p>
    <w:p w14:paraId="7FE51406">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2）包装：产品的包装应保证在运输、储藏和安装期间的安全及性能不受损害。包装盒/箱内应附有产品合格证、出厂日期、产品说明书、附件及附件清单等。</w:t>
      </w:r>
    </w:p>
    <w:p w14:paraId="5E5292C5">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3）运输：产品在运输过程中应避免雨雪的直接淋袭或烈日的暴晒。</w:t>
      </w:r>
    </w:p>
    <w:p w14:paraId="7222B942">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14:paraId="4DF2848B">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745A8F2">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否  </w:t>
      </w:r>
    </w:p>
    <w:p w14:paraId="27DF739A">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sz w:val="24"/>
          <w:szCs w:val="24"/>
          <w:lang w:val="en-US" w:eastAsia="zh-CN"/>
        </w:rPr>
        <w:t>11.</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14:paraId="70979075">
      <w:pPr>
        <w:keepNext w:val="0"/>
        <w:keepLines w:val="0"/>
        <w:pageBreakBefore w:val="0"/>
        <w:widowControl/>
        <w:kinsoku/>
        <w:wordWrap/>
        <w:topLinePunct w:val="0"/>
        <w:bidi w:val="0"/>
        <w:spacing w:line="360" w:lineRule="auto"/>
        <w:ind w:left="0" w:firstLine="480"/>
        <w:jc w:val="left"/>
        <w:rPr>
          <w:rFonts w:hint="default"/>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4757071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5B4496F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1.竞价人必须遵守中华人民共和国法律、法规，能够提供本竞价文件所述货物及服务的具有法人资格的境内供应商（失信被执行人除外）。</w:t>
      </w:r>
    </w:p>
    <w:p w14:paraId="1C6B31DB">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2.具有履行合同所必需的能力。</w:t>
      </w:r>
    </w:p>
    <w:p w14:paraId="58541102">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3.《采购清单》中的参数要求均为重要要求，成交人提供的货物需符合该要求。</w:t>
      </w:r>
    </w:p>
    <w:p w14:paraId="469F2820">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4.本项目不允许挂靠其他公司资格及分包，不接受联合体参与竞价；</w:t>
      </w:r>
    </w:p>
    <w:p w14:paraId="1BF470F1">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5.符合具备法律、行政法规规定的其他条件；</w:t>
      </w:r>
    </w:p>
    <w:p w14:paraId="570B6AAF">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shd w:val="clear"/>
        </w:rPr>
        <w:t>6.已认真阅读并同意本公告附件-网络竞价须知。</w:t>
      </w:r>
    </w:p>
    <w:p w14:paraId="68E9D984">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0540947">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1000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2025年6月9日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2C9EB83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29E64F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79066357">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311675A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25C99361">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5269B3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5EC2449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5FE810E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0C28F6D5">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48582CBE">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47FE2E4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2602188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20F2871">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7F1E4B9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7D5310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00B7D20D">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14:paraId="6A686FA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0EF8A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5CB07BF">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182F024D">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789D0F9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5F11C1">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1EBE99A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3AC4EC51">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546A7D2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6239C34">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76021D6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44E8FB5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35FF9DF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4910B9E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6C1DCCC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5612992B">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0DB860DE">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5168DF7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2E151479">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8CC3770">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10B3385A">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CAA14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7F9DCE9B">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5E7BC90E">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2025年6月4日</w:t>
      </w:r>
    </w:p>
    <w:p w14:paraId="4F81559E">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069E452A">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5C8F455B">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5136763C">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5F24B10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6月10日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福建连城国有投资集团有限公司办公固定资产采购（第二次）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500610-2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427DA1B">
      <w:pPr>
        <w:spacing w:line="440" w:lineRule="exact"/>
        <w:rPr>
          <w:rFonts w:hint="eastAsia" w:asciiTheme="minorEastAsia" w:hAnsiTheme="minorEastAsia" w:eastAsiaTheme="minorEastAsia" w:cstheme="minorEastAsia"/>
          <w:color w:val="auto"/>
          <w:sz w:val="24"/>
          <w:szCs w:val="24"/>
        </w:rPr>
      </w:pPr>
    </w:p>
    <w:p w14:paraId="7DE930F7">
      <w:pPr>
        <w:spacing w:line="440" w:lineRule="exact"/>
        <w:rPr>
          <w:rFonts w:hint="eastAsia" w:asciiTheme="minorEastAsia" w:hAnsiTheme="minorEastAsia" w:eastAsiaTheme="minorEastAsia" w:cstheme="minorEastAsia"/>
          <w:color w:val="auto"/>
          <w:sz w:val="24"/>
          <w:szCs w:val="24"/>
        </w:rPr>
      </w:pPr>
    </w:p>
    <w:p w14:paraId="6470FDC5">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B50D42D">
      <w:pPr>
        <w:spacing w:line="440" w:lineRule="exact"/>
        <w:rPr>
          <w:rFonts w:hint="eastAsia" w:asciiTheme="minorEastAsia" w:hAnsiTheme="minorEastAsia" w:eastAsiaTheme="minorEastAsia" w:cstheme="minorEastAsia"/>
          <w:color w:val="auto"/>
          <w:sz w:val="24"/>
          <w:szCs w:val="24"/>
        </w:rPr>
      </w:pPr>
    </w:p>
    <w:p w14:paraId="3350AF5A">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797D90F">
      <w:pPr>
        <w:spacing w:line="440" w:lineRule="exact"/>
        <w:rPr>
          <w:rFonts w:hint="eastAsia" w:asciiTheme="minorEastAsia" w:hAnsiTheme="minorEastAsia" w:eastAsiaTheme="minorEastAsia" w:cstheme="minorEastAsia"/>
          <w:color w:val="auto"/>
          <w:sz w:val="24"/>
          <w:szCs w:val="24"/>
        </w:rPr>
      </w:pPr>
    </w:p>
    <w:p w14:paraId="1110A9A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3E9A290">
      <w:pPr>
        <w:spacing w:line="440" w:lineRule="exact"/>
        <w:rPr>
          <w:rFonts w:hint="eastAsia" w:asciiTheme="minorEastAsia" w:hAnsiTheme="minorEastAsia" w:eastAsiaTheme="minorEastAsia" w:cstheme="minorEastAsia"/>
          <w:color w:val="auto"/>
          <w:sz w:val="24"/>
          <w:szCs w:val="24"/>
        </w:rPr>
      </w:pPr>
    </w:p>
    <w:p w14:paraId="50F7F8D1">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1F985B46">
      <w:pPr>
        <w:spacing w:line="440" w:lineRule="exact"/>
        <w:rPr>
          <w:rFonts w:hint="eastAsia" w:asciiTheme="minorEastAsia" w:hAnsiTheme="minorEastAsia" w:eastAsiaTheme="minorEastAsia" w:cstheme="minorEastAsia"/>
          <w:color w:val="auto"/>
          <w:sz w:val="24"/>
          <w:szCs w:val="24"/>
        </w:rPr>
      </w:pPr>
    </w:p>
    <w:p w14:paraId="150C87DE">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6DC180EB"/>
    <w:p w14:paraId="44FCCFA3">
      <w:pPr>
        <w:pStyle w:val="2"/>
      </w:pPr>
    </w:p>
    <w:p w14:paraId="4DF9B7D6"/>
    <w:p w14:paraId="6A56E320">
      <w:pPr>
        <w:pStyle w:val="2"/>
      </w:pPr>
    </w:p>
    <w:p w14:paraId="15A6269E"/>
    <w:p w14:paraId="2E1318E6">
      <w:pPr>
        <w:pStyle w:val="2"/>
      </w:pPr>
    </w:p>
    <w:p w14:paraId="27E5E3D0"/>
    <w:p w14:paraId="27E595AB">
      <w:pPr>
        <w:pStyle w:val="2"/>
      </w:pPr>
    </w:p>
    <w:p w14:paraId="03F009DA"/>
    <w:p w14:paraId="472A160F"/>
    <w:p w14:paraId="52D3A900">
      <w:pPr>
        <w:pStyle w:val="2"/>
      </w:pPr>
    </w:p>
    <w:p w14:paraId="4CCEE6B3"/>
    <w:p w14:paraId="7A4B9AAC">
      <w:pPr>
        <w:pStyle w:val="2"/>
      </w:pPr>
    </w:p>
    <w:p w14:paraId="08B4AC6A"/>
    <w:p w14:paraId="4C47BC73">
      <w:pPr>
        <w:pStyle w:val="18"/>
        <w:pageBreakBefore w:val="0"/>
        <w:kinsoku/>
        <w:wordWrap/>
        <w:overflowPunct/>
        <w:topLinePunct w:val="0"/>
        <w:bidi w:val="0"/>
        <w:spacing w:line="360" w:lineRule="auto"/>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ascii="Calibri" w:hAnsi="宋体" w:eastAsia="宋体" w:cs="宋体"/>
          <w:color w:val="000000" w:themeColor="text1"/>
          <w:spacing w:val="0"/>
          <w:sz w:val="32"/>
          <w:szCs w:val="32"/>
          <w:highlight w:val="none"/>
          <w:lang w:val="en-US" w:eastAsia="zh-CN"/>
          <w14:textFill>
            <w14:solidFill>
              <w14:schemeClr w14:val="tx1"/>
            </w14:solidFill>
          </w14:textFill>
        </w:rPr>
        <w:t>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14:paraId="03382537">
      <w:pPr>
        <w:spacing w:line="360" w:lineRule="auto"/>
        <w:rPr>
          <w:rFonts w:hint="eastAsia" w:asciiTheme="minorEastAsia" w:hAnsiTheme="minorEastAsia" w:cstheme="minorEastAsia"/>
          <w:spacing w:val="0"/>
          <w:sz w:val="24"/>
          <w:szCs w:val="24"/>
          <w:lang w:val="en-US" w:eastAsia="zh-CN"/>
        </w:rPr>
      </w:pPr>
    </w:p>
    <w:p w14:paraId="1098DE74">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福建连城国有投资集团有限公司</w:t>
      </w:r>
      <w:r>
        <w:rPr>
          <w:rFonts w:hint="eastAsia" w:asciiTheme="minorEastAsia" w:hAnsiTheme="minorEastAsia" w:cstheme="minorEastAsia"/>
          <w:spacing w:val="0"/>
          <w:sz w:val="24"/>
          <w:szCs w:val="24"/>
          <w:lang w:eastAsia="zh-CN"/>
        </w:rPr>
        <w:t xml:space="preserve"> </w:t>
      </w:r>
    </w:p>
    <w:p w14:paraId="455889CB">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14:paraId="466FDAD9">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14:paraId="7325C954">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14:paraId="585AB75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14:paraId="704EC7B1">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14:paraId="5682813B">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14:paraId="760BFEA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670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94D91B2">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14:paraId="786725DA">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14:paraId="250F8926">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14:paraId="455A7070">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14:paraId="506EDFB3">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14:paraId="1349C793">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14:paraId="3F452CE2">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14:paraId="641F26CD">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14:paraId="7D1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A5FDCA2">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47BBA045">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4AF2932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A8EA646">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1728A6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7C040F00">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78BE075">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3E7E82AB">
            <w:pPr>
              <w:spacing w:line="360" w:lineRule="auto"/>
              <w:jc w:val="center"/>
              <w:rPr>
                <w:rFonts w:hint="eastAsia" w:asciiTheme="minorEastAsia" w:hAnsiTheme="minorEastAsia" w:cstheme="minorEastAsia"/>
                <w:sz w:val="24"/>
                <w:lang w:val="en-US" w:eastAsia="zh-CN"/>
              </w:rPr>
            </w:pPr>
          </w:p>
        </w:tc>
      </w:tr>
      <w:tr w14:paraId="5D8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24B274BB">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43A03EB5">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52CA5AB9">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DFF2AB9">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6A3C8F3">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F77B1C7">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9A4AF8F">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99419CB">
            <w:pPr>
              <w:spacing w:line="360" w:lineRule="auto"/>
              <w:jc w:val="center"/>
              <w:rPr>
                <w:rFonts w:hint="eastAsia" w:asciiTheme="minorEastAsia" w:hAnsiTheme="minorEastAsia" w:cstheme="minorEastAsia"/>
                <w:sz w:val="24"/>
                <w:lang w:val="en-US" w:eastAsia="zh-CN"/>
              </w:rPr>
            </w:pPr>
          </w:p>
        </w:tc>
      </w:tr>
      <w:tr w14:paraId="62B0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1A6079F4">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3BDD4ED9">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143EC96C">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B3B14E8">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4C32128">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848BFE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F42961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5916924">
            <w:pPr>
              <w:spacing w:line="360" w:lineRule="auto"/>
              <w:jc w:val="center"/>
              <w:rPr>
                <w:rFonts w:hint="eastAsia" w:asciiTheme="minorEastAsia" w:hAnsiTheme="minorEastAsia" w:cstheme="minorEastAsia"/>
                <w:sz w:val="24"/>
                <w:lang w:val="en-US" w:eastAsia="zh-CN"/>
              </w:rPr>
            </w:pPr>
          </w:p>
        </w:tc>
      </w:tr>
      <w:tr w14:paraId="1804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EA8D056">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530B8223">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56969C15">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FB0B24D">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4AA91A6">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71E98F1">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A42F0B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FA4E1A8">
            <w:pPr>
              <w:spacing w:line="360" w:lineRule="auto"/>
              <w:jc w:val="center"/>
              <w:rPr>
                <w:rFonts w:hint="eastAsia" w:asciiTheme="minorEastAsia" w:hAnsiTheme="minorEastAsia" w:cstheme="minorEastAsia"/>
                <w:sz w:val="24"/>
                <w:lang w:val="en-US" w:eastAsia="zh-CN"/>
              </w:rPr>
            </w:pPr>
          </w:p>
        </w:tc>
      </w:tr>
    </w:tbl>
    <w:p w14:paraId="3D36D67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14:paraId="3ABCC8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14:paraId="16A6583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14:paraId="33696AC3">
      <w:pPr>
        <w:spacing w:before="120" w:line="360" w:lineRule="auto"/>
        <w:ind w:firstLine="240" w:firstLineChars="1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4.1、交付时间：</w:t>
      </w:r>
      <w:r>
        <w:rPr>
          <w:rFonts w:hint="eastAsia" w:asciiTheme="minorEastAsia" w:hAnsiTheme="minorEastAsia" w:eastAsiaTheme="minorEastAsia" w:cstheme="minorEastAsia"/>
          <w:spacing w:val="0"/>
          <w:sz w:val="24"/>
          <w:szCs w:val="24"/>
          <w:u w:val="single"/>
          <w:lang w:val="en-US" w:eastAsia="zh-CN"/>
        </w:rPr>
        <w:t>合同签订后10日内完成供货并安装完毕。</w:t>
      </w:r>
    </w:p>
    <w:p w14:paraId="2767F323">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eastAsiaTheme="minorEastAsia"/>
          <w:sz w:val="24"/>
          <w:lang w:val="en-US" w:eastAsia="zh-CN"/>
        </w:rPr>
        <w:t>2</w:t>
      </w:r>
      <w:r>
        <w:rPr>
          <w:rFonts w:hint="eastAsia" w:ascii="宋体" w:hAnsi="宋体"/>
          <w:sz w:val="24"/>
        </w:rPr>
        <w:t>、交付地点：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14:paraId="086BA087">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3</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14:paraId="216863B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14:paraId="27D6F627">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福建连城国有投资集团有限公司办公固定资产采购（第二次</w:t>
      </w:r>
      <w:bookmarkStart w:id="1" w:name="_GoBack"/>
      <w:bookmarkEnd w:id="1"/>
      <w:r>
        <w:rPr>
          <w:rFonts w:hint="eastAsia" w:ascii="宋体" w:hAnsi="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14:paraId="031BB5FD">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14:paraId="62B6A1AD">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3423C4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046C3BA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16950019">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4ABB975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14:paraId="0E9447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333CFC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14:paraId="44248E9E">
            <w:pPr>
              <w:widowControl w:val="0"/>
              <w:shd w:val="clear" w:color="auto" w:fill="auto"/>
              <w:spacing w:after="0" w:line="626" w:lineRule="exact"/>
              <w:jc w:val="center"/>
              <w:rPr>
                <w:rFonts w:hint="default" w:ascii="宋体" w:hAnsi="宋体" w:eastAsia="宋体" w:cs="宋体"/>
                <w:kern w:val="2"/>
                <w:sz w:val="24"/>
                <w:szCs w:val="22"/>
                <w:u w:val="none"/>
                <w:shd w:val="clear" w:color="auto" w:fill="auto"/>
                <w:lang w:val="en-US" w:eastAsia="zh-CN" w:bidi="zh-TW"/>
              </w:rPr>
            </w:pPr>
            <w:r>
              <w:rPr>
                <w:rFonts w:hint="eastAsia" w:ascii="宋体" w:hAnsi="宋体" w:eastAsia="宋体" w:cs="宋体"/>
                <w:kern w:val="2"/>
                <w:sz w:val="24"/>
                <w:szCs w:val="22"/>
                <w:u w:val="none"/>
                <w:shd w:val="clear" w:color="auto" w:fill="auto"/>
                <w:lang w:val="en-US" w:eastAsia="zh-CN" w:bidi="zh-TW"/>
              </w:rPr>
              <w:t>30</w:t>
            </w:r>
          </w:p>
        </w:tc>
        <w:tc>
          <w:tcPr>
            <w:tcW w:w="6354" w:type="dxa"/>
            <w:tcBorders>
              <w:top w:val="outset" w:color="auto" w:sz="6" w:space="0"/>
              <w:left w:val="outset" w:color="auto" w:sz="6" w:space="0"/>
              <w:bottom w:val="outset" w:color="auto" w:sz="6" w:space="0"/>
              <w:right w:val="outset" w:color="auto" w:sz="6" w:space="0"/>
            </w:tcBorders>
            <w:vAlign w:val="center"/>
          </w:tcPr>
          <w:p w14:paraId="62A2A610">
            <w:pPr>
              <w:spacing w:line="360" w:lineRule="auto"/>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支付合同价款的30%；</w:t>
            </w:r>
          </w:p>
        </w:tc>
      </w:tr>
      <w:tr w14:paraId="3BC7B7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4EDA27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14:paraId="067E5FCA">
            <w:pPr>
              <w:widowControl w:val="0"/>
              <w:shd w:val="clear" w:color="auto" w:fill="auto"/>
              <w:spacing w:after="0" w:line="626" w:lineRule="exact"/>
              <w:jc w:val="center"/>
              <w:rPr>
                <w:rFonts w:hint="default" w:ascii="宋体" w:hAnsi="宋体" w:eastAsia="宋体" w:cs="宋体"/>
                <w:kern w:val="2"/>
                <w:sz w:val="24"/>
                <w:szCs w:val="22"/>
                <w:u w:val="none"/>
                <w:shd w:val="clear" w:color="auto" w:fill="auto"/>
                <w:lang w:val="en-US" w:eastAsia="zh-CN" w:bidi="zh-TW"/>
              </w:rPr>
            </w:pPr>
            <w:r>
              <w:rPr>
                <w:rFonts w:hint="eastAsia" w:ascii="宋体" w:hAnsi="宋体" w:eastAsia="宋体" w:cs="宋体"/>
                <w:color w:val="auto"/>
                <w:kern w:val="2"/>
                <w:sz w:val="24"/>
                <w:szCs w:val="24"/>
                <w:highlight w:val="none"/>
                <w:u w:val="none"/>
                <w:shd w:val="clear" w:color="auto" w:fill="auto"/>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14:paraId="6BBFB87A">
            <w:pPr>
              <w:spacing w:line="360" w:lineRule="auto"/>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支付至合同价款的50%；</w:t>
            </w:r>
          </w:p>
        </w:tc>
      </w:tr>
      <w:tr w14:paraId="1C7AB5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2A5EB5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14:paraId="1DA99F0C">
            <w:pPr>
              <w:widowControl w:val="0"/>
              <w:shd w:val="clear" w:color="auto" w:fill="auto"/>
              <w:spacing w:after="0" w:line="626" w:lineRule="exact"/>
              <w:jc w:val="center"/>
              <w:rPr>
                <w:rFonts w:hint="eastAsia" w:ascii="宋体" w:hAnsi="宋体" w:eastAsia="宋体" w:cs="宋体"/>
                <w:kern w:val="2"/>
                <w:sz w:val="24"/>
                <w:szCs w:val="22"/>
                <w:u w:val="none"/>
                <w:shd w:val="clear" w:color="auto" w:fill="auto"/>
                <w:lang w:val="zh-TW" w:eastAsia="zh-TW" w:bidi="zh-TW"/>
              </w:rPr>
            </w:pPr>
            <w:r>
              <w:rPr>
                <w:rFonts w:hint="eastAsia" w:ascii="宋体" w:hAnsi="宋体" w:eastAsia="宋体" w:cs="宋体"/>
                <w:color w:val="auto"/>
                <w:kern w:val="2"/>
                <w:sz w:val="24"/>
                <w:szCs w:val="24"/>
                <w:highlight w:val="none"/>
                <w:u w:val="none"/>
                <w:shd w:val="clear" w:color="auto" w:fill="auto"/>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14:paraId="5C7892D4">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支付至合同价款的97%；</w:t>
            </w:r>
          </w:p>
        </w:tc>
      </w:tr>
      <w:tr w14:paraId="2DA71E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0913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14:paraId="04A30BEF">
            <w:pPr>
              <w:widowControl w:val="0"/>
              <w:shd w:val="clear" w:color="auto" w:fill="auto"/>
              <w:spacing w:after="0" w:line="626" w:lineRule="exact"/>
              <w:jc w:val="center"/>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color w:val="auto"/>
                <w:kern w:val="2"/>
                <w:sz w:val="24"/>
                <w:szCs w:val="24"/>
                <w:highlight w:val="none"/>
                <w:u w:val="none"/>
                <w:shd w:val="clear" w:color="auto" w:fill="auto"/>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14:paraId="585C0506">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rPr>
              <w:t>设备质保期</w:t>
            </w:r>
            <w:r>
              <w:rPr>
                <w:rFonts w:hint="eastAsia" w:ascii="宋体" w:hAnsi="宋体" w:eastAsia="宋体" w:cs="宋体"/>
                <w:sz w:val="24"/>
                <w:lang w:val="en-US" w:eastAsia="zh-CN"/>
              </w:rPr>
              <w:t>满</w:t>
            </w:r>
            <w:r>
              <w:rPr>
                <w:rFonts w:hint="eastAsia" w:ascii="宋体" w:hAnsi="宋体" w:eastAsia="宋体" w:cs="宋体"/>
                <w:sz w:val="24"/>
              </w:rPr>
              <w:t>后且</w:t>
            </w:r>
            <w:r>
              <w:rPr>
                <w:rFonts w:hint="eastAsia" w:ascii="宋体" w:hAnsi="宋体" w:eastAsia="宋体" w:cs="宋体"/>
                <w:color w:val="000000"/>
                <w:kern w:val="0"/>
                <w:sz w:val="24"/>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sz w:val="24"/>
              </w:rPr>
              <w:t>支付</w:t>
            </w:r>
            <w:r>
              <w:rPr>
                <w:rFonts w:hint="eastAsia" w:ascii="宋体" w:hAnsi="宋体" w:eastAsia="宋体" w:cs="宋体"/>
                <w:sz w:val="24"/>
                <w:lang w:val="en-US" w:eastAsia="zh-CN"/>
              </w:rPr>
              <w:t>剩余合同价款（</w:t>
            </w:r>
            <w:r>
              <w:rPr>
                <w:rFonts w:hint="eastAsia" w:ascii="宋体" w:hAnsi="宋体" w:eastAsia="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eastAsia="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剩余款项再由甲方支付给乙方</w:t>
            </w:r>
            <w:r>
              <w:rPr>
                <w:rFonts w:hint="eastAsia" w:ascii="宋体" w:hAnsi="宋体" w:eastAsia="宋体" w:cs="宋体"/>
                <w:sz w:val="24"/>
                <w:u w:val="none"/>
                <w:lang w:val="en-US" w:eastAsia="zh-CN"/>
              </w:rPr>
              <w:t>）</w:t>
            </w:r>
            <w:r>
              <w:rPr>
                <w:rFonts w:hint="eastAsia" w:ascii="宋体" w:hAnsi="宋体" w:eastAsia="宋体" w:cs="宋体"/>
                <w:sz w:val="24"/>
                <w:lang w:val="en-US" w:eastAsia="zh-CN"/>
              </w:rPr>
              <w:t>。</w:t>
            </w:r>
          </w:p>
        </w:tc>
      </w:tr>
    </w:tbl>
    <w:p w14:paraId="5709E9C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6D85E3BF">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31EC2A8D">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14:paraId="077E1711">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21F1410B">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14:paraId="1E8272BC">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14:paraId="6E0AC313">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14:paraId="45D5DC87">
      <w:pPr>
        <w:pStyle w:val="10"/>
        <w:keepNext w:val="0"/>
        <w:keepLines w:val="0"/>
        <w:widowControl/>
        <w:numPr>
          <w:ilvl w:val="0"/>
          <w:numId w:val="4"/>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14:paraId="47DB39F2">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14:paraId="143082C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14:paraId="7710621F">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14:paraId="1EB1ADA4">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14:paraId="5C3A25B6">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14:paraId="70666780">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14:paraId="4FB5FBBE">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14:paraId="4C1F6CB5">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14:paraId="039D1792">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14:paraId="4AA6532D">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14:paraId="24F2741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14:paraId="6FB3B5D1">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14:paraId="0FA7DC5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14:paraId="170AF264">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14:paraId="7DD92A4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14:paraId="0E88EE9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14:paraId="289AE65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14:paraId="5515BA32">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14:paraId="02EE4A7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14:paraId="5E8896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B4709C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2E5163B7">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14:paraId="49D7D2C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14:paraId="2C472DE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14:paraId="3E61196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14:paraId="703AFE4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14:paraId="5CD09F1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14:paraId="5D961D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14:paraId="28DFB2F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14:paraId="02DDFDE2">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14:paraId="0485E1E2">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14:paraId="2EEC5006">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14:paraId="3EC68896">
      <w:pPr>
        <w:keepNext/>
        <w:keepLines/>
        <w:widowControl w:val="0"/>
        <w:numPr>
          <w:ilvl w:val="-1"/>
          <w:numId w:val="0"/>
        </w:numPr>
        <w:tabs>
          <w:tab w:val="left" w:pos="425"/>
        </w:tabs>
        <w:spacing w:before="0" w:after="0" w:line="400" w:lineRule="exact"/>
        <w:ind w:left="0" w:firstLine="0"/>
        <w:jc w:val="both"/>
        <w:outlineLvl w:val="2"/>
        <w:rPr>
          <w:rFonts w:hint="default" w:ascii="Calibri" w:hAnsi="Calibri" w:cs="宋体" w:eastAsiaTheme="minorEastAsia"/>
          <w:b w:val="0"/>
          <w:bCs w:val="0"/>
          <w:kern w:val="2"/>
          <w:sz w:val="24"/>
          <w:szCs w:val="20"/>
          <w:lang w:val="en-US" w:eastAsia="zh-CN" w:bidi="ar-SA"/>
        </w:rPr>
      </w:pPr>
      <w:r>
        <w:rPr>
          <w:rFonts w:hint="eastAsia" w:asciiTheme="minorEastAsia" w:hAnsiTheme="minorEastAsia" w:eastAsiaTheme="minorEastAsia" w:cstheme="minorEastAsia"/>
          <w:b w:val="0"/>
          <w:bCs w:val="0"/>
          <w:kern w:val="2"/>
          <w:sz w:val="24"/>
          <w:szCs w:val="20"/>
          <w:lang w:val="en-US" w:eastAsia="zh-CN" w:bidi="ar-SA"/>
        </w:rPr>
        <w:t>统一社会信用代码：                    统一社会信用代码：</w:t>
      </w:r>
    </w:p>
    <w:p w14:paraId="53201C57">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 xml:space="preserve">人：                </w:t>
      </w: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人：</w:t>
      </w:r>
    </w:p>
    <w:p w14:paraId="4353FC6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14:paraId="3C75D639">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14:paraId="481A24A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14:paraId="38CE56B9">
      <w:pPr>
        <w:pStyle w:val="10"/>
        <w:spacing w:before="75" w:beforeAutospacing="0" w:after="75" w:afterAutospacing="0" w:line="360" w:lineRule="auto"/>
        <w:rPr>
          <w:rFonts w:hint="eastAsia" w:asciiTheme="minorEastAsia" w:hAnsiTheme="minorEastAsia" w:eastAsiaTheme="minorEastAsia" w:cstheme="minorEastAsia"/>
        </w:rPr>
      </w:pPr>
    </w:p>
    <w:p w14:paraId="2B651B9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14:paraId="2595F9F1">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14:paraId="14DDFFD0"/>
    <w:p w14:paraId="3A4BBBE4">
      <w:pPr>
        <w:pStyle w:val="10"/>
        <w:spacing w:before="75" w:beforeAutospacing="0" w:after="75" w:afterAutospacing="0" w:line="360" w:lineRule="auto"/>
        <w:rPr>
          <w:rFonts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1DF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44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1744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9C95">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B55C8"/>
    <w:multiLevelType w:val="singleLevel"/>
    <w:tmpl w:val="DA5B55C8"/>
    <w:lvl w:ilvl="0" w:tentative="0">
      <w:start w:val="1"/>
      <w:numFmt w:val="decimal"/>
      <w:suff w:val="nothing"/>
      <w:lvlText w:val="%1、"/>
      <w:lvlJc w:val="left"/>
    </w:lvl>
  </w:abstractNum>
  <w:abstractNum w:abstractNumId="1">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2">
    <w:nsid w:val="0A45C6E6"/>
    <w:multiLevelType w:val="singleLevel"/>
    <w:tmpl w:val="0A45C6E6"/>
    <w:lvl w:ilvl="0" w:tentative="0">
      <w:start w:val="4"/>
      <w:numFmt w:val="decimal"/>
      <w:lvlText w:val="%1."/>
      <w:lvlJc w:val="left"/>
      <w:pPr>
        <w:tabs>
          <w:tab w:val="left" w:pos="312"/>
        </w:tabs>
      </w:pPr>
    </w:lvl>
  </w:abstractNum>
  <w:abstractNum w:abstractNumId="3">
    <w:nsid w:val="5EC6BB90"/>
    <w:multiLevelType w:val="singleLevel"/>
    <w:tmpl w:val="5EC6BB90"/>
    <w:lvl w:ilvl="0" w:tentative="0">
      <w:start w:val="10"/>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0B44D3"/>
    <w:rsid w:val="0114696D"/>
    <w:rsid w:val="025874A5"/>
    <w:rsid w:val="02AE00E7"/>
    <w:rsid w:val="034677B9"/>
    <w:rsid w:val="039B541A"/>
    <w:rsid w:val="05DA79C7"/>
    <w:rsid w:val="07100621"/>
    <w:rsid w:val="073315E1"/>
    <w:rsid w:val="07D50D0A"/>
    <w:rsid w:val="08174AFA"/>
    <w:rsid w:val="08F12A2E"/>
    <w:rsid w:val="0A2F0DBE"/>
    <w:rsid w:val="0C9876E7"/>
    <w:rsid w:val="0E97237F"/>
    <w:rsid w:val="0EC73CBB"/>
    <w:rsid w:val="0FE577B4"/>
    <w:rsid w:val="0FFC33FA"/>
    <w:rsid w:val="1001144E"/>
    <w:rsid w:val="13182D37"/>
    <w:rsid w:val="13761663"/>
    <w:rsid w:val="166C0A45"/>
    <w:rsid w:val="1876206B"/>
    <w:rsid w:val="1E3B7457"/>
    <w:rsid w:val="1E3D18A3"/>
    <w:rsid w:val="1F151CB4"/>
    <w:rsid w:val="1F986481"/>
    <w:rsid w:val="21E169EA"/>
    <w:rsid w:val="23DF1A1B"/>
    <w:rsid w:val="290520D8"/>
    <w:rsid w:val="2AEB24EE"/>
    <w:rsid w:val="2BDB5197"/>
    <w:rsid w:val="2DEA4E78"/>
    <w:rsid w:val="2ED2428A"/>
    <w:rsid w:val="303411DC"/>
    <w:rsid w:val="31D67EB0"/>
    <w:rsid w:val="36323860"/>
    <w:rsid w:val="3802063D"/>
    <w:rsid w:val="3AF410E4"/>
    <w:rsid w:val="3CC179FF"/>
    <w:rsid w:val="3E467EA9"/>
    <w:rsid w:val="411B561D"/>
    <w:rsid w:val="42F851B8"/>
    <w:rsid w:val="44A21BB1"/>
    <w:rsid w:val="475A5FE3"/>
    <w:rsid w:val="487E46E3"/>
    <w:rsid w:val="4A174A8F"/>
    <w:rsid w:val="4AD86409"/>
    <w:rsid w:val="4C0D3FFB"/>
    <w:rsid w:val="50BA005B"/>
    <w:rsid w:val="51316796"/>
    <w:rsid w:val="51BD6537"/>
    <w:rsid w:val="52623FB6"/>
    <w:rsid w:val="52896FF7"/>
    <w:rsid w:val="534F31D7"/>
    <w:rsid w:val="558C043F"/>
    <w:rsid w:val="563B1BAA"/>
    <w:rsid w:val="58393655"/>
    <w:rsid w:val="5A3B0686"/>
    <w:rsid w:val="5A8D4B2E"/>
    <w:rsid w:val="5C732614"/>
    <w:rsid w:val="5D081E82"/>
    <w:rsid w:val="5D1C319C"/>
    <w:rsid w:val="5D211DB5"/>
    <w:rsid w:val="5DFD637E"/>
    <w:rsid w:val="5F8B79B9"/>
    <w:rsid w:val="61AF4C4A"/>
    <w:rsid w:val="63EE0517"/>
    <w:rsid w:val="646023AE"/>
    <w:rsid w:val="660C7EBD"/>
    <w:rsid w:val="66154481"/>
    <w:rsid w:val="67393D61"/>
    <w:rsid w:val="69913E1E"/>
    <w:rsid w:val="699D27C3"/>
    <w:rsid w:val="6B4A616F"/>
    <w:rsid w:val="6C327132"/>
    <w:rsid w:val="6FA523D2"/>
    <w:rsid w:val="6FA63AB6"/>
    <w:rsid w:val="728B4E57"/>
    <w:rsid w:val="73625832"/>
    <w:rsid w:val="75B01893"/>
    <w:rsid w:val="76B40C43"/>
    <w:rsid w:val="774953C0"/>
    <w:rsid w:val="7AFB1A3F"/>
    <w:rsid w:val="7C2A25D8"/>
    <w:rsid w:val="7E483361"/>
    <w:rsid w:val="7F0361DD"/>
    <w:rsid w:val="7F9C651C"/>
    <w:rsid w:val="7FAA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7843</Words>
  <Characters>8402</Characters>
  <Lines>0</Lines>
  <Paragraphs>0</Paragraphs>
  <TotalTime>4</TotalTime>
  <ScaleCrop>false</ScaleCrop>
  <LinksUpToDate>false</LinksUpToDate>
  <CharactersWithSpaces>8689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2024-04-12T07:29:00Z</cp:lastPrinted>
  <dcterms:modified xsi:type="dcterms:W3CDTF">2025-06-04T08:19:10Z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