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1"/>
      <w:bookmarkStart w:id="1" w:name="OLE_LINK2"/>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LCCQJJ20250611-1</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6</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11</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6</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5</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6</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10</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连城县农副产品集散交易配送中心可行性研究报告编制服务采购项目</w:t>
      </w:r>
      <w:r>
        <w:rPr>
          <w:rFonts w:hint="eastAsia" w:asciiTheme="minorEastAsia" w:hAnsiTheme="minorEastAsia" w:eastAsiaTheme="minorEastAsia" w:cstheme="minorEastAsia"/>
          <w:color w:val="0000FF"/>
          <w:sz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34000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编制范围：本项目用地面积约3080平方米，新建一栋农副产品集散交易配送中心大楼，总建筑面积约9081平方米。大楼主要功能为农副产品集散交易、农副产品检测及冷藏存储等。并在庙前镇、新泉镇、朋口镇、莒溪镇、姑田镇、北团镇、、曲溪乡、宣和乡、罗坊乡、塘前乡、四堡镇、赖源乡等12个乡镇设立配送站。成交人需为委托人做可行性研究并提供相应的成果报告，编制的可行性研究报告主要用于申请政策性开发性金融工具(基金)，涉及具体编制相关信息将在后续进行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2）本次采购服务的内容为委托专业咨询服务机构提供项目投资可行性研究报告编制服务。主要内容包括但不限于：项目总论、项目背景及必要性分析、产业定位与需求分析、场地概况、环境影响评价及投资收益、财务评价、经济效益分析、社会效益评价、项目投融资与财务方案、风险分析、研究结论与建议等。</w:t>
      </w:r>
    </w:p>
    <w:p>
      <w:pPr>
        <w:pStyle w:val="5"/>
        <w:pageBreakBefore w:val="0"/>
        <w:kinsoku/>
        <w:wordWrap/>
        <w:topLinePunct w:val="0"/>
        <w:bidi w:val="0"/>
        <w:spacing w:before="0" w:after="0" w:line="480" w:lineRule="exact"/>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（3）按国家相关规范技术要求交付完整的可研成果，</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并通过委托人组织的审查与评审</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4.成果要求：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编制期限15日历天，提供报告成果文本6份，电子版1份、原件扫描件一份。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完成全部可研编制内容，确定输出完稿后且获得委托人审查认可，可研成果满足委托人需求并提供有效增值税发票，15个工作日内支付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7.违约责任：</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（2）在签订采购合同之后，成交人要求解除合同的，视为成交人违约，对委托人造成的损失的，成交人需支付相应的赔偿，</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赔偿金额为标的额度的10%。</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（3）在明确违约责任后，成交人应在接到书面通知书起七天内支付违约金、赔偿金等。</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（4）如成交人无法按时交付的，每延期一天支付赔偿金为标的额度的0.5%。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pPr>
        <w:pageBreakBefore w:val="0"/>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2.未被列入“信用中国”网(www.creditchina.gov.cn)“记录失信被执行人或重大税收违人名单或政府采购严重违法失信行为”记录名单。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4.须持有有效的工程咨询单位乙级及以上资信证书。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w:t>
      </w:r>
      <w:r>
        <w:rPr>
          <w:rFonts w:ascii="宋体" w:hAnsi="宋体" w:eastAsia="宋体" w:cs="宋体"/>
          <w:b/>
          <w:bCs/>
          <w:color w:val="000000" w:themeColor="text1"/>
          <w:kern w:val="0"/>
          <w:sz w:val="24"/>
          <w:szCs w:val="24"/>
          <w14:textFill>
            <w14:solidFill>
              <w14:schemeClr w14:val="tx1"/>
            </w14:solidFill>
          </w14:textFill>
        </w:rPr>
        <w:t>须具有</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1例及以上</w:t>
      </w:r>
      <w:r>
        <w:rPr>
          <w:rFonts w:ascii="宋体" w:hAnsi="宋体" w:eastAsia="宋体" w:cs="宋体"/>
          <w:b/>
          <w:bCs/>
          <w:color w:val="000000" w:themeColor="text1"/>
          <w:kern w:val="0"/>
          <w:sz w:val="24"/>
          <w:szCs w:val="24"/>
          <w14:textFill>
            <w14:solidFill>
              <w14:schemeClr w14:val="tx1"/>
            </w14:solidFill>
          </w14:textFill>
        </w:rPr>
        <w:t>项目可研编制经验，提供本公告发布之日前（以合同签订日期为准）的合同复印件；合同须至少包含双方印章、合同标的内容、签订时间等关键信息</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8.</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68</w:t>
      </w:r>
      <w:r>
        <w:rPr>
          <w:rFonts w:hint="eastAsia" w:asciiTheme="minorEastAsia" w:hAnsiTheme="minorEastAsia" w:eastAsiaTheme="minorEastAsia" w:cstheme="minorEastAsia"/>
          <w:color w:val="0000FF"/>
          <w:sz w:val="24"/>
          <w:highlight w:val="none"/>
          <w:u w:val="single"/>
        </w:rPr>
        <w:t>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6</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10</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工程咨询单位乙级及以上资信证书复印件</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可研编制经验证明</w:t>
      </w:r>
      <w:r>
        <w:rPr>
          <w:rFonts w:hint="eastAsia" w:asciiTheme="minorEastAsia" w:hAnsiTheme="minorEastAsia" w:eastAsiaTheme="minorEastAsia" w:cstheme="minorEastAsia"/>
          <w:sz w:val="24"/>
          <w:highlight w:val="none"/>
          <w:lang w:val="en-US" w:eastAsia="zh-CN"/>
        </w:rPr>
        <w:t>材料</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未被列入“信用中国”网(www.creditchina.gov.cn)“记录失信被执行人或重大税收违人名单或政府采购严重违法失信行为”证明材料；</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lang w:val="en-US" w:eastAsia="zh-CN"/>
        </w:rPr>
        <w:t>报名资料</w:t>
      </w:r>
      <w:r>
        <w:rPr>
          <w:rFonts w:hint="eastAsia" w:asciiTheme="minorEastAsia" w:hAnsiTheme="minorEastAsia" w:eastAsiaTheme="minorEastAsia" w:cstheme="minorEastAsia"/>
          <w:b/>
          <w:bCs/>
          <w:sz w:val="24"/>
          <w:highlight w:val="none"/>
        </w:rPr>
        <w:t>格式</w:t>
      </w:r>
      <w:r>
        <w:rPr>
          <w:rFonts w:hint="eastAsia" w:asciiTheme="minorEastAsia" w:hAnsiTheme="minorEastAsia" w:eastAsiaTheme="minorEastAsia" w:cstheme="minorEastAsia"/>
          <w:b/>
          <w:bCs/>
          <w:sz w:val="24"/>
          <w:highlight w:val="none"/>
          <w:u w:val="none"/>
        </w:rPr>
        <w:t>详见附件。</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pageBreakBefore w:val="0"/>
        <w:widowControl/>
        <w:kinsoku/>
        <w:wordWrap/>
        <w:topLinePunct w:val="0"/>
        <w:bidi w:val="0"/>
        <w:spacing w:line="480" w:lineRule="exact"/>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18"/>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4.竞价人应以服务费总价进行报价，竞价系统设置的价格</w:t>
      </w:r>
      <w:r>
        <w:rPr>
          <w:rFonts w:hint="eastAsia" w:asciiTheme="minorEastAsia" w:hAnsiTheme="minorEastAsia" w:eastAsiaTheme="minorEastAsia" w:cstheme="minorEastAsia"/>
          <w:color w:val="0000FF"/>
          <w:kern w:val="2"/>
          <w:sz w:val="24"/>
          <w:szCs w:val="24"/>
          <w:shd w:val="clear"/>
          <w:lang w:val="en-US" w:eastAsia="zh-CN" w:bidi="ar-SA"/>
        </w:rPr>
        <w:t>34000元</w:t>
      </w:r>
      <w:r>
        <w:rPr>
          <w:rFonts w:hint="eastAsia" w:asciiTheme="minorEastAsia" w:hAnsiTheme="minorEastAsia" w:eastAsiaTheme="minorEastAsia" w:cstheme="minorEastAsia"/>
          <w:color w:val="auto"/>
          <w:kern w:val="2"/>
          <w:sz w:val="24"/>
          <w:szCs w:val="24"/>
          <w:shd w:val="clear"/>
          <w:lang w:val="en-US" w:eastAsia="zh-CN" w:bidi="ar-SA"/>
        </w:rPr>
        <w:t>表示服务费最高价为人民币</w:t>
      </w:r>
      <w:r>
        <w:rPr>
          <w:rFonts w:hint="eastAsia" w:asciiTheme="minorEastAsia" w:hAnsiTheme="minorEastAsia" w:eastAsiaTheme="minorEastAsia" w:cstheme="minorEastAsia"/>
          <w:color w:val="0000FF"/>
          <w:kern w:val="2"/>
          <w:sz w:val="24"/>
          <w:szCs w:val="24"/>
          <w:shd w:val="clear"/>
          <w:lang w:val="en-US" w:eastAsia="zh-CN" w:bidi="ar-SA"/>
        </w:rPr>
        <w:t>34000元</w:t>
      </w:r>
      <w:r>
        <w:rPr>
          <w:rFonts w:hint="eastAsia" w:asciiTheme="minorEastAsia" w:hAnsiTheme="minorEastAsia" w:eastAsiaTheme="minorEastAsia" w:cstheme="minorEastAsia"/>
          <w:color w:val="auto"/>
          <w:kern w:val="2"/>
          <w:sz w:val="24"/>
          <w:szCs w:val="24"/>
          <w:shd w:val="clear"/>
          <w:lang w:val="en-US" w:eastAsia="zh-CN" w:bidi="ar-SA"/>
        </w:rPr>
        <w:t>，竞价人在竞价系统填报价格高于</w:t>
      </w:r>
      <w:r>
        <w:rPr>
          <w:rFonts w:hint="eastAsia" w:asciiTheme="minorEastAsia" w:hAnsiTheme="minorEastAsia" w:eastAsiaTheme="minorEastAsia" w:cstheme="minorEastAsia"/>
          <w:color w:val="0000FF"/>
          <w:kern w:val="2"/>
          <w:sz w:val="24"/>
          <w:szCs w:val="24"/>
          <w:shd w:val="clear"/>
          <w:lang w:val="en-US" w:eastAsia="zh-CN" w:bidi="ar-SA"/>
        </w:rPr>
        <w:t>34000元</w:t>
      </w:r>
      <w:r>
        <w:rPr>
          <w:rFonts w:hint="eastAsia" w:asciiTheme="minorEastAsia" w:hAnsiTheme="minorEastAsia" w:eastAsiaTheme="minorEastAsia" w:cstheme="minorEastAsia"/>
          <w:color w:val="auto"/>
          <w:kern w:val="2"/>
          <w:sz w:val="24"/>
          <w:szCs w:val="24"/>
          <w:shd w:val="clear"/>
          <w:lang w:val="en-US" w:eastAsia="zh-CN" w:bidi="ar-SA"/>
        </w:rPr>
        <w:t xml:space="preserve">为无效报价，填报价格最低的竞价人作为本项目成交人。项目实施过程中的一切费用均包含在报价总价中，委托人不再另行支付。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w:t>
      </w:r>
      <w:bookmarkStart w:id="2" w:name="_GoBack"/>
      <w:bookmarkEnd w:id="2"/>
      <w:r>
        <w:rPr>
          <w:rFonts w:hint="eastAsia" w:asciiTheme="minorEastAsia" w:hAnsiTheme="minorEastAsia" w:eastAsiaTheme="minorEastAsia" w:cstheme="minorEastAsia"/>
          <w:sz w:val="24"/>
          <w:highlight w:val="none"/>
        </w:rPr>
        <w:t>知书》等相关文件，否则视同为违约。</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pPr>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FF"/>
          <w:sz w:val="24"/>
          <w:highlight w:val="none"/>
        </w:rPr>
        <w:t>竞价成交后，本项目的交易服务费按成交价的1.5%向成交人收取</w:t>
      </w:r>
      <w:r>
        <w:rPr>
          <w:rFonts w:hint="eastAsia" w:asciiTheme="minorEastAsia" w:hAnsiTheme="minorEastAsia" w:eastAsiaTheme="minorEastAsia" w:cstheme="minorEastAsia"/>
          <w:b/>
          <w:bCs/>
          <w:color w:val="0000FF"/>
          <w:sz w:val="24"/>
          <w:highlight w:val="none"/>
          <w:lang w:eastAsia="zh-CN"/>
        </w:rPr>
        <w:t>，</w:t>
      </w:r>
      <w:r>
        <w:rPr>
          <w:rFonts w:hint="eastAsia" w:asciiTheme="minorEastAsia" w:hAnsiTheme="minorEastAsia" w:eastAsiaTheme="minorEastAsia" w:cstheme="minorEastAsia"/>
          <w:b/>
          <w:bCs/>
          <w:color w:val="0000FF"/>
          <w:sz w:val="24"/>
          <w:highlight w:val="none"/>
          <w:lang w:val="en-US" w:eastAsia="zh-CN"/>
        </w:rPr>
        <w:t>不足3000元的，按3000元计费</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2025年6月5日</w:t>
      </w:r>
    </w:p>
    <w:p>
      <w:pPr>
        <w:pStyle w:val="7"/>
        <w:rPr>
          <w:rFonts w:hint="eastAsia"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6月11日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连城县农副产品集散交易配送中心可行性研究报告编制服务采购项目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LCCQJJ20250611-1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7"/>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连城县莲兴乡村投资建设有限公司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3.2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价格为包干价，包括但不限于设备进出场费、竞价服务费、现场踏勘费、交通费、住宿费。餐饮费、税费等一切相关费用。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both"/>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Theme="minorEastAsia" w:hAnsiTheme="minorEastAsia" w:eastAsiaTheme="minorEastAsia" w:cstheme="minorEastAsia"/>
          <w:b w:val="0"/>
          <w:bCs w:val="0"/>
          <w:i w:val="0"/>
          <w:iCs w:val="0"/>
          <w:caps w:val="0"/>
          <w:color w:val="0000FF"/>
          <w:spacing w:val="0"/>
          <w:kern w:val="0"/>
          <w:sz w:val="24"/>
          <w:szCs w:val="24"/>
          <w:highlight w:val="none"/>
          <w:u w:val="single"/>
          <w:shd w:val="clear" w:fill="FFFFFF"/>
          <w:lang w:val="en-US" w:eastAsia="zh-CN" w:bidi="ar"/>
        </w:rPr>
        <w:t>编制期限15日历天，提供报告成果文本6份，电子版1份、原件扫描件一份。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编制范围：本项目用地面积约3080平方米，新建一栋农副产品集散交易配送中心大楼，总建筑面积约9081平方米。大楼主要功能为农副产品集散交易、农副产品检测及冷藏存储等。并在庙前镇、新泉镇、朋口镇、莒溪镇、姑田镇、北团镇、、曲溪乡、宣和乡、罗坊乡、塘前乡、四堡镇、赖源乡等12个乡镇设立配送站。成交人需为委托人做可行性研究并提供相应的成果报告，涉及具体编制相关信息将在后续进行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2）本次采购服务的内容为委托专业咨询服务机构提供项目投资可行性研究报告编制服务。主要内容包括但不限于：项目总论、项目背景及必要性分析、产业定位与需求分析、场地概况、环境影响评价及投资收益、财务评价、经济效益分析、社会效益评价、项目投融资与财务方案、风险分析、研究结论与建议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6.服务标准和服务要求：按国家相关规范技术要求交付完整的可研成果，并通过甲方组织的审查与评审。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完成全部可研编制内容，确定输出完稿后且获得甲方审查认可，可研成果满足甲方需求并提供有效增值税发票，15个工作日内支付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8.2商业秘密指双方有关项目信息及其它技术信息。</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val="en-US" w:eastAsia="zh-CN"/>
        </w:rPr>
        <w:t>自合同签订之日起至甲方确认所有设计内容符合要求后180日</w:t>
      </w:r>
      <w:r>
        <w:rPr>
          <w:rFonts w:hint="eastAsia" w:asciiTheme="minorEastAsia" w:hAnsiTheme="minorEastAsia" w:cstheme="minorEastAsia"/>
          <w:color w:val="auto"/>
          <w:spacing w:val="0"/>
          <w:sz w:val="24"/>
          <w:szCs w:val="24"/>
          <w:highlight w:val="none"/>
          <w:u w:val="single"/>
          <w:lang w:val="en-US" w:eastAsia="zh-CN"/>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w:t>
      </w:r>
      <w:r>
        <w:rPr>
          <w:rFonts w:hint="eastAsia" w:asciiTheme="minorEastAsia" w:hAnsiTheme="minorEastAsia" w:eastAsiaTheme="minorEastAsia"/>
          <w:color w:val="auto"/>
          <w:sz w:val="24"/>
          <w:szCs w:val="24"/>
          <w:highlight w:val="none"/>
          <w:lang w:val="en-US" w:eastAsia="zh-CN"/>
        </w:rPr>
        <w:t>十</w:t>
      </w:r>
      <w:r>
        <w:rPr>
          <w:rFonts w:hint="eastAsia" w:asciiTheme="minorEastAsia" w:hAnsiTheme="minorEastAsia" w:eastAsiaTheme="minorEastAsia"/>
          <w:color w:val="auto"/>
          <w:sz w:val="24"/>
          <w:szCs w:val="24"/>
          <w:highlight w:val="none"/>
        </w:rPr>
        <w:t>个</w:t>
      </w:r>
      <w:r>
        <w:rPr>
          <w:rFonts w:hint="eastAsia" w:asciiTheme="minorEastAsia" w:hAnsiTheme="minorEastAsia" w:eastAsiaTheme="minorEastAsia"/>
          <w:color w:val="auto"/>
          <w:sz w:val="24"/>
          <w:szCs w:val="24"/>
          <w:highlight w:val="none"/>
          <w:lang w:val="en-US" w:eastAsia="zh-CN"/>
        </w:rPr>
        <w:t>日历日</w:t>
      </w:r>
      <w:r>
        <w:rPr>
          <w:rFonts w:hint="eastAsia" w:asciiTheme="minorEastAsia" w:hAnsiTheme="minorEastAsia" w:eastAsiaTheme="minorEastAsia"/>
          <w:color w:val="auto"/>
          <w:sz w:val="24"/>
          <w:szCs w:val="24"/>
          <w:highlight w:val="none"/>
        </w:rPr>
        <w:t>内重新设计提交。</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13"/>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10.9供应商未按本合同约定的时间向甲方交付成果的，每逾期一天向甲方支付贰仟元违约金，逾期超过10天的，甲方有权解除合同。</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10.10人员要求：项目成交后，乙方须至少拟派一名设计师在甲方指定地点驻场至少5个工作日，且根据甲方需要随时到现场进行沟通设计，不得拒绝。每拒绝一次需向甲方支付违约金贰仟元。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4"/>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pPr>
        <w:pStyle w:val="22"/>
        <w:ind w:left="0" w:leftChars="0" w:firstLine="0" w:firstLineChars="0"/>
      </w:pPr>
    </w:p>
    <w:p>
      <w:pPr>
        <w:pStyle w:val="7"/>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4AC90"/>
    <w:multiLevelType w:val="singleLevel"/>
    <w:tmpl w:val="F454AC9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04A65DFA"/>
    <w:rsid w:val="1D4A7C13"/>
    <w:rsid w:val="1D895EB1"/>
    <w:rsid w:val="1E2123D7"/>
    <w:rsid w:val="209C6E63"/>
    <w:rsid w:val="2BD31870"/>
    <w:rsid w:val="2E6F1761"/>
    <w:rsid w:val="3BD95FA3"/>
    <w:rsid w:val="4175600C"/>
    <w:rsid w:val="49584DE8"/>
    <w:rsid w:val="4BB535D6"/>
    <w:rsid w:val="58070D78"/>
    <w:rsid w:val="582B4610"/>
    <w:rsid w:val="64D771FD"/>
    <w:rsid w:val="6A1A5C69"/>
    <w:rsid w:val="6AD42A74"/>
    <w:rsid w:val="769F0C62"/>
    <w:rsid w:val="77F9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7">
    <w:name w:val="Normal Indent"/>
    <w:basedOn w:val="1"/>
    <w:qFormat/>
    <w:uiPriority w:val="0"/>
    <w:pPr>
      <w:ind w:firstLine="420"/>
    </w:pPr>
    <w:rPr>
      <w:szCs w:val="20"/>
    </w:rPr>
  </w:style>
  <w:style w:type="paragraph" w:styleId="8">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7">
    <w:name w:val="Strong"/>
    <w:basedOn w:val="16"/>
    <w:qFormat/>
    <w:uiPriority w:val="0"/>
  </w:style>
  <w:style w:type="paragraph" w:customStyle="1" w:styleId="18">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9">
    <w:name w:val="List Paragraph"/>
    <w:basedOn w:val="1"/>
    <w:qFormat/>
    <w:uiPriority w:val="34"/>
    <w:pPr>
      <w:ind w:firstLine="420" w:firstLineChars="200"/>
    </w:pPr>
  </w:style>
  <w:style w:type="paragraph" w:customStyle="1" w:styleId="20">
    <w:name w:val="样式3"/>
    <w:basedOn w:val="8"/>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6"/>
    <w:qFormat/>
    <w:uiPriority w:val="0"/>
    <w:pPr>
      <w:spacing w:before="0" w:after="0" w:line="400" w:lineRule="exact"/>
    </w:pPr>
    <w:rPr>
      <w:rFonts w:ascii="Courier New" w:hAnsi="Courier New" w:eastAsia="（使用中文字体）" w:cs="HiddenHorzOCl"/>
      <w:b w:val="0"/>
      <w:sz w:val="24"/>
      <w:szCs w:val="20"/>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7955</Words>
  <Characters>8421</Characters>
  <Lines>0</Lines>
  <Paragraphs>0</Paragraphs>
  <TotalTime>0</TotalTime>
  <ScaleCrop>false</ScaleCrop>
  <LinksUpToDate>false</LinksUpToDate>
  <CharactersWithSpaces>8776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2025-03-17T06:54:00Z</cp:lastPrinted>
  <dcterms:modified xsi:type="dcterms:W3CDTF">2025-06-16T11:32:37Z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eyJoZGlkIjoiZWIzMjg2ZWVhZjU4ODI0MzZmMDhlYmFkMjQ3MGFiOTMiLCJ1c2VySWQiOiI0MTAxMzI3NDIifQ==</vt:lpwstr>
  </property>
</Properties>
</file>