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4494B">
      <w:pPr>
        <w:jc w:val="center"/>
        <w:rPr>
          <w:rFonts w:ascii="宋体" w:hAnsi="宋体" w:cs="宋体"/>
          <w:b/>
          <w:bCs/>
          <w:sz w:val="36"/>
          <w:szCs w:val="36"/>
        </w:rPr>
      </w:pPr>
      <w:r>
        <w:rPr>
          <w:rFonts w:hint="eastAsia" w:ascii="宋体" w:hAnsi="宋体" w:cs="宋体"/>
          <w:b/>
          <w:bCs/>
          <w:sz w:val="36"/>
          <w:szCs w:val="36"/>
        </w:rPr>
        <w:t>竞买须知</w:t>
      </w:r>
    </w:p>
    <w:p w14:paraId="04B3D77D">
      <w:pPr>
        <w:jc w:val="center"/>
        <w:rPr>
          <w:rFonts w:ascii="宋体" w:hAnsi="宋体" w:cs="宋体"/>
          <w:sz w:val="24"/>
        </w:rPr>
      </w:pPr>
      <w:r>
        <w:rPr>
          <w:rFonts w:hint="eastAsia" w:ascii="宋体" w:hAnsi="宋体" w:cs="宋体"/>
          <w:sz w:val="24"/>
        </w:rPr>
        <w:t>[项目编号:LC20250715]</w:t>
      </w:r>
    </w:p>
    <w:p w14:paraId="61C6FD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龙岩市拍卖行有限公司（以下简称拍卖人）遵循“公开、公平、公正、诚实信用”的原则，根据《中华人民共和国拍卖法》及相关法律、法规，针对本次拍卖标的，特制定本须知将有关的拍卖事宜敬告各位竞买人，请竞买人详细阅读，拍卖人视所有参加本次拍卖会的竞买人已完全了解须知并愿意遵守执行。</w:t>
      </w:r>
    </w:p>
    <w:p w14:paraId="03F7391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一、公开拍卖、报名及展示的时间、地点：</w:t>
      </w:r>
    </w:p>
    <w:p w14:paraId="165F1C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拍卖会时间：2025年7月15日上午10:30时</w:t>
      </w:r>
    </w:p>
    <w:p w14:paraId="6965C8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拍卖会地点：龙岩市公共资源交易中心连城分中心1号厅（连城县莲峰镇莲中南路76号宝龙广场三楼）</w:t>
      </w:r>
    </w:p>
    <w:p w14:paraId="50A054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报名及交竞买保证金截止时间：2025年7月14日17时（以保证金到账为准）</w:t>
      </w:r>
    </w:p>
    <w:p w14:paraId="27D8CE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报名地点：龙岩市高岭土大厦8层</w:t>
      </w:r>
    </w:p>
    <w:p w14:paraId="178E93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拍卖标的展示时间：2025年7月10-11日(预约看样)</w:t>
      </w:r>
    </w:p>
    <w:p w14:paraId="2DBEE7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拍卖标的展示地点：标的所在地</w:t>
      </w:r>
    </w:p>
    <w:p w14:paraId="08F6B3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联系电话：0597-2301659，8911670，联系人：曹小姐</w:t>
      </w:r>
    </w:p>
    <w:p w14:paraId="6A7C008A">
      <w:pPr>
        <w:keepNext w:val="0"/>
        <w:keepLines w:val="0"/>
        <w:pageBreakBefore w:val="0"/>
        <w:widowControl w:val="0"/>
        <w:kinsoku/>
        <w:wordWrap/>
        <w:overflowPunct/>
        <w:topLinePunct w:val="0"/>
        <w:autoSpaceDE/>
        <w:autoSpaceDN/>
        <w:bidi w:val="0"/>
        <w:adjustRightInd/>
        <w:snapToGrid/>
        <w:spacing w:line="400" w:lineRule="exact"/>
        <w:ind w:left="50" w:firstLine="361" w:firstLineChars="150"/>
        <w:textAlignment w:val="auto"/>
        <w:rPr>
          <w:rFonts w:ascii="宋体" w:hAnsi="宋体" w:cs="宋体"/>
          <w:b/>
          <w:bCs/>
          <w:sz w:val="24"/>
        </w:rPr>
      </w:pPr>
      <w:r>
        <w:rPr>
          <w:rFonts w:hint="eastAsia" w:ascii="宋体" w:hAnsi="宋体" w:cs="宋体"/>
          <w:b/>
          <w:bCs/>
          <w:sz w:val="24"/>
        </w:rPr>
        <w:t>二、拍卖标的：</w:t>
      </w:r>
    </w:p>
    <w:p w14:paraId="11D3AEE8">
      <w:pPr>
        <w:keepNext w:val="0"/>
        <w:keepLines w:val="0"/>
        <w:pageBreakBefore w:val="0"/>
        <w:widowControl w:val="0"/>
        <w:kinsoku/>
        <w:wordWrap/>
        <w:overflowPunct/>
        <w:topLinePunct w:val="0"/>
        <w:autoSpaceDE/>
        <w:autoSpaceDN/>
        <w:bidi w:val="0"/>
        <w:adjustRightInd/>
        <w:snapToGrid/>
        <w:spacing w:line="400" w:lineRule="exact"/>
        <w:ind w:left="50" w:firstLine="361" w:firstLineChars="150"/>
        <w:textAlignment w:val="auto"/>
        <w:rPr>
          <w:rFonts w:ascii="宋体" w:hAnsi="宋体" w:cs="宋体"/>
          <w:b/>
          <w:bCs/>
          <w:sz w:val="24"/>
        </w:rPr>
      </w:pPr>
      <w:r>
        <w:rPr>
          <w:rFonts w:hint="eastAsia" w:ascii="宋体" w:hAnsi="宋体" w:cs="宋体"/>
          <w:b/>
          <w:bCs/>
          <w:sz w:val="24"/>
        </w:rPr>
        <w:t>标的一、连城县莲峰镇南前花园4号楼8套房产（整体拍卖，详见《南前花园房产拍卖清单》及产权证复印件）。</w:t>
      </w:r>
    </w:p>
    <w:p w14:paraId="04A8FCDB">
      <w:pPr>
        <w:keepNext w:val="0"/>
        <w:keepLines w:val="0"/>
        <w:pageBreakBefore w:val="0"/>
        <w:widowControl w:val="0"/>
        <w:kinsoku/>
        <w:wordWrap/>
        <w:overflowPunct/>
        <w:topLinePunct w:val="0"/>
        <w:autoSpaceDE/>
        <w:autoSpaceDN/>
        <w:bidi w:val="0"/>
        <w:adjustRightInd/>
        <w:snapToGrid/>
        <w:spacing w:line="400" w:lineRule="exact"/>
        <w:ind w:left="50" w:firstLine="361" w:firstLineChars="150"/>
        <w:textAlignment w:val="auto"/>
        <w:rPr>
          <w:rFonts w:ascii="宋体" w:hAnsi="宋体" w:cs="宋体"/>
          <w:b/>
          <w:bCs/>
          <w:sz w:val="24"/>
        </w:rPr>
      </w:pPr>
      <w:r>
        <w:rPr>
          <w:rFonts w:hint="eastAsia" w:ascii="宋体" w:hAnsi="宋体" w:cs="宋体"/>
          <w:b/>
          <w:bCs/>
          <w:sz w:val="24"/>
        </w:rPr>
        <w:t>起拍价：341.18万元            竞买保证金：50万元</w:t>
      </w:r>
    </w:p>
    <w:p w14:paraId="3CD8C118">
      <w:pPr>
        <w:spacing w:line="440" w:lineRule="exact"/>
        <w:jc w:val="center"/>
        <w:rPr>
          <w:rFonts w:ascii="宋体" w:hAnsi="宋体" w:cs="宋体"/>
          <w:b/>
          <w:bCs/>
          <w:sz w:val="24"/>
        </w:rPr>
      </w:pPr>
      <w:r>
        <w:rPr>
          <w:rFonts w:hint="eastAsia" w:ascii="宋体" w:hAnsi="宋体" w:cs="宋体"/>
          <w:b/>
          <w:bCs/>
          <w:sz w:val="24"/>
        </w:rPr>
        <w:t>南前花园房产拍卖清单</w:t>
      </w:r>
    </w:p>
    <w:tbl>
      <w:tblPr>
        <w:tblStyle w:val="1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50"/>
        <w:gridCol w:w="1471"/>
        <w:gridCol w:w="4275"/>
        <w:gridCol w:w="1440"/>
      </w:tblGrid>
      <w:tr w14:paraId="182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shd w:val="clear" w:color="auto" w:fill="auto"/>
            <w:vAlign w:val="center"/>
          </w:tcPr>
          <w:p w14:paraId="393F5EC9">
            <w:pPr>
              <w:widowControl/>
              <w:jc w:val="center"/>
              <w:rPr>
                <w:rFonts w:ascii="宋体" w:hAnsi="宋体" w:cs="宋体"/>
                <w:b/>
                <w:bCs/>
                <w:kern w:val="0"/>
                <w:sz w:val="22"/>
                <w:szCs w:val="22"/>
              </w:rPr>
            </w:pPr>
            <w:r>
              <w:rPr>
                <w:rFonts w:hint="eastAsia" w:ascii="宋体" w:hAnsi="宋体" w:cs="宋体"/>
                <w:b/>
                <w:bCs/>
                <w:kern w:val="0"/>
                <w:sz w:val="22"/>
                <w:szCs w:val="22"/>
              </w:rPr>
              <w:t>标的</w:t>
            </w:r>
          </w:p>
        </w:tc>
        <w:tc>
          <w:tcPr>
            <w:tcW w:w="1050" w:type="dxa"/>
            <w:shd w:val="clear" w:color="auto" w:fill="auto"/>
            <w:vAlign w:val="center"/>
          </w:tcPr>
          <w:p w14:paraId="5CF9745C">
            <w:pPr>
              <w:widowControl/>
              <w:jc w:val="center"/>
              <w:rPr>
                <w:rFonts w:ascii="宋体" w:hAnsi="宋体" w:cs="宋体"/>
                <w:b/>
                <w:bCs/>
                <w:kern w:val="0"/>
                <w:sz w:val="22"/>
                <w:szCs w:val="22"/>
              </w:rPr>
            </w:pPr>
            <w:r>
              <w:rPr>
                <w:rFonts w:hint="eastAsia" w:ascii="宋体" w:hAnsi="宋体" w:cs="宋体"/>
                <w:b/>
                <w:bCs/>
                <w:kern w:val="0"/>
                <w:sz w:val="22"/>
                <w:szCs w:val="22"/>
              </w:rPr>
              <w:t>房号</w:t>
            </w:r>
          </w:p>
        </w:tc>
        <w:tc>
          <w:tcPr>
            <w:tcW w:w="1471" w:type="dxa"/>
            <w:shd w:val="clear" w:color="auto" w:fill="auto"/>
            <w:vAlign w:val="center"/>
          </w:tcPr>
          <w:p w14:paraId="307C786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建筑面积</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w:t>
            </w:r>
          </w:p>
        </w:tc>
        <w:tc>
          <w:tcPr>
            <w:tcW w:w="4275" w:type="dxa"/>
            <w:shd w:val="clear" w:color="auto" w:fill="auto"/>
            <w:vAlign w:val="center"/>
          </w:tcPr>
          <w:p w14:paraId="0D1F9F1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房产证号</w:t>
            </w:r>
          </w:p>
        </w:tc>
        <w:tc>
          <w:tcPr>
            <w:tcW w:w="1440" w:type="dxa"/>
            <w:shd w:val="clear" w:color="auto" w:fill="auto"/>
            <w:vAlign w:val="center"/>
          </w:tcPr>
          <w:p w14:paraId="0948E767">
            <w:pPr>
              <w:widowControl/>
              <w:jc w:val="center"/>
              <w:rPr>
                <w:rFonts w:ascii="宋体" w:hAnsi="宋体" w:cs="宋体"/>
                <w:b/>
                <w:bCs/>
                <w:kern w:val="0"/>
                <w:sz w:val="22"/>
                <w:szCs w:val="22"/>
              </w:rPr>
            </w:pPr>
            <w:r>
              <w:rPr>
                <w:rFonts w:hint="eastAsia" w:ascii="宋体" w:hAnsi="宋体" w:cs="宋体"/>
                <w:b/>
                <w:bCs/>
                <w:kern w:val="0"/>
                <w:sz w:val="22"/>
                <w:szCs w:val="22"/>
              </w:rPr>
              <w:t>备注</w:t>
            </w:r>
          </w:p>
        </w:tc>
      </w:tr>
      <w:tr w14:paraId="7887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restart"/>
            <w:shd w:val="clear" w:color="auto" w:fill="auto"/>
            <w:noWrap/>
            <w:vAlign w:val="center"/>
          </w:tcPr>
          <w:p w14:paraId="4FCC6418">
            <w:pPr>
              <w:widowControl/>
              <w:jc w:val="center"/>
              <w:rPr>
                <w:rFonts w:ascii="宋体" w:hAnsi="宋体" w:cs="宋体"/>
                <w:kern w:val="0"/>
                <w:sz w:val="22"/>
                <w:szCs w:val="22"/>
              </w:rPr>
            </w:pPr>
            <w:r>
              <w:rPr>
                <w:rFonts w:hint="eastAsia" w:ascii="宋体" w:hAnsi="宋体" w:cs="宋体"/>
                <w:kern w:val="0"/>
                <w:sz w:val="22"/>
                <w:szCs w:val="22"/>
              </w:rPr>
              <w:t>1</w:t>
            </w:r>
          </w:p>
        </w:tc>
        <w:tc>
          <w:tcPr>
            <w:tcW w:w="1050" w:type="dxa"/>
            <w:shd w:val="clear" w:color="auto" w:fill="auto"/>
            <w:vAlign w:val="center"/>
          </w:tcPr>
          <w:p w14:paraId="6DC7341F">
            <w:pPr>
              <w:widowControl/>
              <w:jc w:val="center"/>
              <w:rPr>
                <w:rFonts w:ascii="宋体" w:hAnsi="宋体" w:cs="宋体"/>
                <w:kern w:val="0"/>
                <w:sz w:val="22"/>
                <w:szCs w:val="22"/>
              </w:rPr>
            </w:pPr>
            <w:r>
              <w:rPr>
                <w:rFonts w:hint="eastAsia" w:ascii="宋体" w:hAnsi="宋体" w:cs="宋体"/>
                <w:kern w:val="0"/>
                <w:sz w:val="22"/>
                <w:szCs w:val="22"/>
              </w:rPr>
              <w:t>4-201</w:t>
            </w:r>
          </w:p>
        </w:tc>
        <w:tc>
          <w:tcPr>
            <w:tcW w:w="1471" w:type="dxa"/>
            <w:shd w:val="clear" w:color="auto" w:fill="auto"/>
            <w:vAlign w:val="center"/>
          </w:tcPr>
          <w:p w14:paraId="4C4CE0F2">
            <w:pPr>
              <w:widowControl/>
              <w:jc w:val="center"/>
              <w:rPr>
                <w:rFonts w:ascii="宋体" w:hAnsi="宋体" w:cs="宋体"/>
                <w:kern w:val="0"/>
                <w:sz w:val="22"/>
                <w:szCs w:val="22"/>
              </w:rPr>
            </w:pPr>
            <w:r>
              <w:rPr>
                <w:rFonts w:hint="eastAsia" w:ascii="宋体" w:hAnsi="宋体" w:cs="宋体"/>
                <w:kern w:val="0"/>
                <w:sz w:val="22"/>
                <w:szCs w:val="22"/>
              </w:rPr>
              <w:t xml:space="preserve">105.74 </w:t>
            </w:r>
          </w:p>
        </w:tc>
        <w:tc>
          <w:tcPr>
            <w:tcW w:w="4275" w:type="dxa"/>
            <w:shd w:val="clear" w:color="auto" w:fill="auto"/>
            <w:noWrap/>
            <w:vAlign w:val="center"/>
          </w:tcPr>
          <w:p w14:paraId="1C928467">
            <w:pPr>
              <w:widowControl/>
              <w:jc w:val="center"/>
              <w:rPr>
                <w:rFonts w:ascii="宋体" w:hAnsi="宋体" w:cs="宋体"/>
                <w:kern w:val="0"/>
                <w:sz w:val="22"/>
                <w:szCs w:val="22"/>
              </w:rPr>
            </w:pPr>
            <w:r>
              <w:rPr>
                <w:rFonts w:hint="eastAsia" w:ascii="宋体" w:hAnsi="宋体" w:cs="宋体"/>
                <w:kern w:val="0"/>
                <w:sz w:val="22"/>
                <w:szCs w:val="22"/>
              </w:rPr>
              <w:t>闽（2023）连城县不动产权第0007412号</w:t>
            </w:r>
          </w:p>
        </w:tc>
        <w:tc>
          <w:tcPr>
            <w:tcW w:w="1440" w:type="dxa"/>
            <w:vMerge w:val="restart"/>
            <w:shd w:val="clear" w:color="auto" w:fill="auto"/>
            <w:noWrap/>
            <w:vAlign w:val="center"/>
          </w:tcPr>
          <w:p w14:paraId="08B234F9">
            <w:pPr>
              <w:widowControl/>
              <w:jc w:val="center"/>
              <w:rPr>
                <w:rFonts w:ascii="宋体" w:hAnsi="宋体" w:cs="宋体"/>
                <w:kern w:val="0"/>
                <w:sz w:val="22"/>
                <w:szCs w:val="22"/>
              </w:rPr>
            </w:pPr>
            <w:r>
              <w:rPr>
                <w:rFonts w:hint="eastAsia" w:ascii="宋体" w:hAnsi="宋体" w:cs="宋体"/>
                <w:kern w:val="0"/>
                <w:sz w:val="22"/>
                <w:szCs w:val="22"/>
              </w:rPr>
              <w:t>整体拍卖</w:t>
            </w:r>
          </w:p>
        </w:tc>
      </w:tr>
      <w:tr w14:paraId="478F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1440C38C">
            <w:pPr>
              <w:widowControl/>
              <w:jc w:val="left"/>
              <w:rPr>
                <w:rFonts w:ascii="宋体" w:hAnsi="宋体" w:cs="宋体"/>
                <w:kern w:val="0"/>
                <w:sz w:val="22"/>
                <w:szCs w:val="22"/>
              </w:rPr>
            </w:pPr>
          </w:p>
        </w:tc>
        <w:tc>
          <w:tcPr>
            <w:tcW w:w="1050" w:type="dxa"/>
            <w:shd w:val="clear" w:color="auto" w:fill="auto"/>
            <w:vAlign w:val="center"/>
          </w:tcPr>
          <w:p w14:paraId="2FE72A77">
            <w:pPr>
              <w:widowControl/>
              <w:jc w:val="center"/>
              <w:rPr>
                <w:rFonts w:ascii="宋体" w:hAnsi="宋体" w:cs="宋体"/>
                <w:kern w:val="0"/>
                <w:sz w:val="22"/>
                <w:szCs w:val="22"/>
              </w:rPr>
            </w:pPr>
            <w:r>
              <w:rPr>
                <w:rFonts w:hint="eastAsia" w:ascii="宋体" w:hAnsi="宋体" w:cs="宋体"/>
                <w:kern w:val="0"/>
                <w:sz w:val="22"/>
                <w:szCs w:val="22"/>
              </w:rPr>
              <w:t>4-207</w:t>
            </w:r>
          </w:p>
        </w:tc>
        <w:tc>
          <w:tcPr>
            <w:tcW w:w="1471" w:type="dxa"/>
            <w:shd w:val="clear" w:color="auto" w:fill="auto"/>
            <w:vAlign w:val="center"/>
          </w:tcPr>
          <w:p w14:paraId="2A452B27">
            <w:pPr>
              <w:widowControl/>
              <w:jc w:val="center"/>
              <w:rPr>
                <w:rFonts w:ascii="宋体" w:hAnsi="宋体" w:cs="宋体"/>
                <w:kern w:val="0"/>
                <w:sz w:val="22"/>
                <w:szCs w:val="22"/>
              </w:rPr>
            </w:pPr>
            <w:r>
              <w:rPr>
                <w:rFonts w:hint="eastAsia" w:ascii="宋体" w:hAnsi="宋体" w:cs="宋体"/>
                <w:kern w:val="0"/>
                <w:sz w:val="22"/>
                <w:szCs w:val="22"/>
              </w:rPr>
              <w:t xml:space="preserve">105.51 </w:t>
            </w:r>
          </w:p>
        </w:tc>
        <w:tc>
          <w:tcPr>
            <w:tcW w:w="4275" w:type="dxa"/>
            <w:shd w:val="clear" w:color="auto" w:fill="auto"/>
            <w:noWrap/>
            <w:vAlign w:val="center"/>
          </w:tcPr>
          <w:p w14:paraId="7A8CD57A">
            <w:pPr>
              <w:widowControl/>
              <w:jc w:val="center"/>
              <w:rPr>
                <w:rFonts w:ascii="宋体" w:hAnsi="宋体" w:cs="宋体"/>
                <w:kern w:val="0"/>
                <w:sz w:val="22"/>
                <w:szCs w:val="22"/>
              </w:rPr>
            </w:pPr>
            <w:r>
              <w:rPr>
                <w:rFonts w:hint="eastAsia" w:ascii="宋体" w:hAnsi="宋体" w:cs="宋体"/>
                <w:kern w:val="0"/>
                <w:sz w:val="22"/>
                <w:szCs w:val="22"/>
              </w:rPr>
              <w:t>闽（2023）连城县不动产权第0007420号</w:t>
            </w:r>
          </w:p>
        </w:tc>
        <w:tc>
          <w:tcPr>
            <w:tcW w:w="1440" w:type="dxa"/>
            <w:vMerge w:val="continue"/>
            <w:vAlign w:val="center"/>
          </w:tcPr>
          <w:p w14:paraId="7FE01063">
            <w:pPr>
              <w:widowControl/>
              <w:jc w:val="left"/>
              <w:rPr>
                <w:rFonts w:ascii="宋体" w:hAnsi="宋体" w:cs="宋体"/>
                <w:kern w:val="0"/>
                <w:sz w:val="22"/>
                <w:szCs w:val="22"/>
              </w:rPr>
            </w:pPr>
          </w:p>
        </w:tc>
      </w:tr>
      <w:tr w14:paraId="5865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09DF1A61">
            <w:pPr>
              <w:widowControl/>
              <w:jc w:val="left"/>
              <w:rPr>
                <w:rFonts w:ascii="宋体" w:hAnsi="宋体" w:cs="宋体"/>
                <w:kern w:val="0"/>
                <w:sz w:val="22"/>
                <w:szCs w:val="22"/>
              </w:rPr>
            </w:pPr>
          </w:p>
        </w:tc>
        <w:tc>
          <w:tcPr>
            <w:tcW w:w="1050" w:type="dxa"/>
            <w:shd w:val="clear" w:color="auto" w:fill="auto"/>
            <w:vAlign w:val="center"/>
          </w:tcPr>
          <w:p w14:paraId="7B3C2EDC">
            <w:pPr>
              <w:widowControl/>
              <w:jc w:val="center"/>
              <w:rPr>
                <w:rFonts w:ascii="宋体" w:hAnsi="宋体" w:cs="宋体"/>
                <w:kern w:val="0"/>
                <w:sz w:val="22"/>
                <w:szCs w:val="22"/>
              </w:rPr>
            </w:pPr>
            <w:r>
              <w:rPr>
                <w:rFonts w:hint="eastAsia" w:ascii="宋体" w:hAnsi="宋体" w:cs="宋体"/>
                <w:kern w:val="0"/>
                <w:sz w:val="22"/>
                <w:szCs w:val="22"/>
              </w:rPr>
              <w:t>4-301</w:t>
            </w:r>
          </w:p>
        </w:tc>
        <w:tc>
          <w:tcPr>
            <w:tcW w:w="1471" w:type="dxa"/>
            <w:shd w:val="clear" w:color="auto" w:fill="auto"/>
            <w:vAlign w:val="center"/>
          </w:tcPr>
          <w:p w14:paraId="708A0355">
            <w:pPr>
              <w:widowControl/>
              <w:jc w:val="center"/>
              <w:rPr>
                <w:rFonts w:ascii="宋体" w:hAnsi="宋体" w:cs="宋体"/>
                <w:kern w:val="0"/>
                <w:sz w:val="22"/>
                <w:szCs w:val="22"/>
              </w:rPr>
            </w:pPr>
            <w:r>
              <w:rPr>
                <w:rFonts w:hint="eastAsia" w:ascii="宋体" w:hAnsi="宋体" w:cs="宋体"/>
                <w:kern w:val="0"/>
                <w:sz w:val="22"/>
                <w:szCs w:val="22"/>
              </w:rPr>
              <w:t xml:space="preserve">105.74 </w:t>
            </w:r>
          </w:p>
        </w:tc>
        <w:tc>
          <w:tcPr>
            <w:tcW w:w="4275" w:type="dxa"/>
            <w:shd w:val="clear" w:color="auto" w:fill="auto"/>
            <w:noWrap/>
            <w:vAlign w:val="center"/>
          </w:tcPr>
          <w:p w14:paraId="590B53E5">
            <w:pPr>
              <w:widowControl/>
              <w:jc w:val="center"/>
              <w:rPr>
                <w:rFonts w:ascii="宋体" w:hAnsi="宋体" w:cs="宋体"/>
                <w:kern w:val="0"/>
                <w:sz w:val="22"/>
                <w:szCs w:val="22"/>
              </w:rPr>
            </w:pPr>
            <w:r>
              <w:rPr>
                <w:rFonts w:hint="eastAsia" w:ascii="宋体" w:hAnsi="宋体" w:cs="宋体"/>
                <w:kern w:val="0"/>
                <w:sz w:val="22"/>
                <w:szCs w:val="22"/>
              </w:rPr>
              <w:t>闽（2023）连城县不动产权第0007411号</w:t>
            </w:r>
          </w:p>
        </w:tc>
        <w:tc>
          <w:tcPr>
            <w:tcW w:w="1440" w:type="dxa"/>
            <w:vMerge w:val="continue"/>
            <w:vAlign w:val="center"/>
          </w:tcPr>
          <w:p w14:paraId="1DE30A91">
            <w:pPr>
              <w:widowControl/>
              <w:jc w:val="left"/>
              <w:rPr>
                <w:rFonts w:ascii="宋体" w:hAnsi="宋体" w:cs="宋体"/>
                <w:kern w:val="0"/>
                <w:sz w:val="22"/>
                <w:szCs w:val="22"/>
              </w:rPr>
            </w:pPr>
          </w:p>
        </w:tc>
      </w:tr>
      <w:tr w14:paraId="2B6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5881A343">
            <w:pPr>
              <w:widowControl/>
              <w:jc w:val="left"/>
              <w:rPr>
                <w:rFonts w:ascii="宋体" w:hAnsi="宋体" w:cs="宋体"/>
                <w:kern w:val="0"/>
                <w:sz w:val="22"/>
                <w:szCs w:val="22"/>
              </w:rPr>
            </w:pPr>
          </w:p>
        </w:tc>
        <w:tc>
          <w:tcPr>
            <w:tcW w:w="1050" w:type="dxa"/>
            <w:shd w:val="clear" w:color="auto" w:fill="auto"/>
            <w:vAlign w:val="center"/>
          </w:tcPr>
          <w:p w14:paraId="008EEE91">
            <w:pPr>
              <w:widowControl/>
              <w:jc w:val="center"/>
              <w:rPr>
                <w:rFonts w:ascii="宋体" w:hAnsi="宋体" w:cs="宋体"/>
                <w:kern w:val="0"/>
                <w:sz w:val="22"/>
                <w:szCs w:val="22"/>
              </w:rPr>
            </w:pPr>
            <w:r>
              <w:rPr>
                <w:rFonts w:hint="eastAsia" w:ascii="宋体" w:hAnsi="宋体" w:cs="宋体"/>
                <w:kern w:val="0"/>
                <w:sz w:val="22"/>
                <w:szCs w:val="22"/>
              </w:rPr>
              <w:t>4-401</w:t>
            </w:r>
          </w:p>
        </w:tc>
        <w:tc>
          <w:tcPr>
            <w:tcW w:w="1471" w:type="dxa"/>
            <w:shd w:val="clear" w:color="auto" w:fill="auto"/>
            <w:vAlign w:val="center"/>
          </w:tcPr>
          <w:p w14:paraId="5A12C3C3">
            <w:pPr>
              <w:widowControl/>
              <w:jc w:val="center"/>
              <w:rPr>
                <w:rFonts w:ascii="宋体" w:hAnsi="宋体" w:cs="宋体"/>
                <w:kern w:val="0"/>
                <w:sz w:val="22"/>
                <w:szCs w:val="22"/>
              </w:rPr>
            </w:pPr>
            <w:r>
              <w:rPr>
                <w:rFonts w:hint="eastAsia" w:ascii="宋体" w:hAnsi="宋体" w:cs="宋体"/>
                <w:kern w:val="0"/>
                <w:sz w:val="22"/>
                <w:szCs w:val="22"/>
              </w:rPr>
              <w:t xml:space="preserve">105.74 </w:t>
            </w:r>
          </w:p>
        </w:tc>
        <w:tc>
          <w:tcPr>
            <w:tcW w:w="4275" w:type="dxa"/>
            <w:shd w:val="clear" w:color="auto" w:fill="auto"/>
            <w:noWrap/>
            <w:vAlign w:val="center"/>
          </w:tcPr>
          <w:p w14:paraId="0681A107">
            <w:pPr>
              <w:widowControl/>
              <w:jc w:val="center"/>
              <w:rPr>
                <w:rFonts w:ascii="宋体" w:hAnsi="宋体" w:cs="宋体"/>
                <w:kern w:val="0"/>
                <w:sz w:val="22"/>
                <w:szCs w:val="22"/>
              </w:rPr>
            </w:pPr>
            <w:r>
              <w:rPr>
                <w:rFonts w:hint="eastAsia" w:ascii="宋体" w:hAnsi="宋体" w:cs="宋体"/>
                <w:kern w:val="0"/>
                <w:sz w:val="22"/>
                <w:szCs w:val="22"/>
              </w:rPr>
              <w:t>闽（2023）连城县不动产权第0007409号</w:t>
            </w:r>
          </w:p>
        </w:tc>
        <w:tc>
          <w:tcPr>
            <w:tcW w:w="1440" w:type="dxa"/>
            <w:vMerge w:val="continue"/>
            <w:vAlign w:val="center"/>
          </w:tcPr>
          <w:p w14:paraId="62872A67">
            <w:pPr>
              <w:widowControl/>
              <w:jc w:val="left"/>
              <w:rPr>
                <w:rFonts w:ascii="宋体" w:hAnsi="宋体" w:cs="宋体"/>
                <w:kern w:val="0"/>
                <w:sz w:val="22"/>
                <w:szCs w:val="22"/>
              </w:rPr>
            </w:pPr>
          </w:p>
        </w:tc>
      </w:tr>
      <w:tr w14:paraId="0905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75A0D381">
            <w:pPr>
              <w:widowControl/>
              <w:jc w:val="left"/>
              <w:rPr>
                <w:rFonts w:ascii="宋体" w:hAnsi="宋体" w:cs="宋体"/>
                <w:kern w:val="0"/>
                <w:sz w:val="22"/>
                <w:szCs w:val="22"/>
              </w:rPr>
            </w:pPr>
          </w:p>
        </w:tc>
        <w:tc>
          <w:tcPr>
            <w:tcW w:w="1050" w:type="dxa"/>
            <w:shd w:val="clear" w:color="auto" w:fill="auto"/>
            <w:vAlign w:val="center"/>
          </w:tcPr>
          <w:p w14:paraId="4216A94B">
            <w:pPr>
              <w:widowControl/>
              <w:jc w:val="center"/>
              <w:rPr>
                <w:rFonts w:ascii="宋体" w:hAnsi="宋体" w:cs="宋体"/>
                <w:kern w:val="0"/>
                <w:sz w:val="22"/>
                <w:szCs w:val="22"/>
              </w:rPr>
            </w:pPr>
            <w:r>
              <w:rPr>
                <w:rFonts w:hint="eastAsia" w:ascii="宋体" w:hAnsi="宋体" w:cs="宋体"/>
                <w:kern w:val="0"/>
                <w:sz w:val="22"/>
                <w:szCs w:val="22"/>
              </w:rPr>
              <w:t>4-403</w:t>
            </w:r>
          </w:p>
        </w:tc>
        <w:tc>
          <w:tcPr>
            <w:tcW w:w="1471" w:type="dxa"/>
            <w:shd w:val="clear" w:color="auto" w:fill="auto"/>
            <w:vAlign w:val="center"/>
          </w:tcPr>
          <w:p w14:paraId="59502EF0">
            <w:pPr>
              <w:widowControl/>
              <w:jc w:val="center"/>
              <w:rPr>
                <w:rFonts w:ascii="宋体" w:hAnsi="宋体" w:cs="宋体"/>
                <w:kern w:val="0"/>
                <w:sz w:val="22"/>
                <w:szCs w:val="22"/>
              </w:rPr>
            </w:pPr>
            <w:r>
              <w:rPr>
                <w:rFonts w:hint="eastAsia" w:ascii="宋体" w:hAnsi="宋体" w:cs="宋体"/>
                <w:kern w:val="0"/>
                <w:sz w:val="22"/>
                <w:szCs w:val="22"/>
              </w:rPr>
              <w:t xml:space="preserve">96.03 </w:t>
            </w:r>
          </w:p>
        </w:tc>
        <w:tc>
          <w:tcPr>
            <w:tcW w:w="4275" w:type="dxa"/>
            <w:shd w:val="clear" w:color="auto" w:fill="auto"/>
            <w:noWrap/>
            <w:vAlign w:val="center"/>
          </w:tcPr>
          <w:p w14:paraId="02C03C94">
            <w:pPr>
              <w:widowControl/>
              <w:jc w:val="center"/>
              <w:rPr>
                <w:rFonts w:ascii="宋体" w:hAnsi="宋体" w:cs="宋体"/>
                <w:kern w:val="0"/>
                <w:sz w:val="22"/>
                <w:szCs w:val="22"/>
              </w:rPr>
            </w:pPr>
            <w:r>
              <w:rPr>
                <w:rFonts w:hint="eastAsia" w:ascii="宋体" w:hAnsi="宋体" w:cs="宋体"/>
                <w:kern w:val="0"/>
                <w:sz w:val="22"/>
                <w:szCs w:val="22"/>
              </w:rPr>
              <w:t>闽（2023）连城县不动产权第0007424号</w:t>
            </w:r>
          </w:p>
        </w:tc>
        <w:tc>
          <w:tcPr>
            <w:tcW w:w="1440" w:type="dxa"/>
            <w:vMerge w:val="continue"/>
            <w:vAlign w:val="center"/>
          </w:tcPr>
          <w:p w14:paraId="693DFD3A">
            <w:pPr>
              <w:widowControl/>
              <w:jc w:val="left"/>
              <w:rPr>
                <w:rFonts w:ascii="宋体" w:hAnsi="宋体" w:cs="宋体"/>
                <w:kern w:val="0"/>
                <w:sz w:val="22"/>
                <w:szCs w:val="22"/>
              </w:rPr>
            </w:pPr>
          </w:p>
        </w:tc>
      </w:tr>
      <w:tr w14:paraId="4114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0EE50B7F">
            <w:pPr>
              <w:widowControl/>
              <w:jc w:val="left"/>
              <w:rPr>
                <w:rFonts w:ascii="宋体" w:hAnsi="宋体" w:cs="宋体"/>
                <w:kern w:val="0"/>
                <w:sz w:val="22"/>
                <w:szCs w:val="22"/>
              </w:rPr>
            </w:pPr>
          </w:p>
        </w:tc>
        <w:tc>
          <w:tcPr>
            <w:tcW w:w="1050" w:type="dxa"/>
            <w:shd w:val="clear" w:color="auto" w:fill="auto"/>
            <w:vAlign w:val="center"/>
          </w:tcPr>
          <w:p w14:paraId="0EE4AEDC">
            <w:pPr>
              <w:widowControl/>
              <w:jc w:val="center"/>
              <w:rPr>
                <w:rFonts w:ascii="宋体" w:hAnsi="宋体" w:cs="宋体"/>
                <w:kern w:val="0"/>
                <w:sz w:val="22"/>
                <w:szCs w:val="22"/>
              </w:rPr>
            </w:pPr>
            <w:r>
              <w:rPr>
                <w:rFonts w:hint="eastAsia" w:ascii="宋体" w:hAnsi="宋体" w:cs="宋体"/>
                <w:kern w:val="0"/>
                <w:sz w:val="22"/>
                <w:szCs w:val="22"/>
              </w:rPr>
              <w:t>4-501</w:t>
            </w:r>
          </w:p>
        </w:tc>
        <w:tc>
          <w:tcPr>
            <w:tcW w:w="1471" w:type="dxa"/>
            <w:shd w:val="clear" w:color="auto" w:fill="auto"/>
            <w:vAlign w:val="center"/>
          </w:tcPr>
          <w:p w14:paraId="12EEFE30">
            <w:pPr>
              <w:widowControl/>
              <w:jc w:val="center"/>
              <w:rPr>
                <w:rFonts w:ascii="宋体" w:hAnsi="宋体" w:cs="宋体"/>
                <w:kern w:val="0"/>
                <w:sz w:val="22"/>
                <w:szCs w:val="22"/>
              </w:rPr>
            </w:pPr>
            <w:r>
              <w:rPr>
                <w:rFonts w:hint="eastAsia" w:ascii="宋体" w:hAnsi="宋体" w:cs="宋体"/>
                <w:kern w:val="0"/>
                <w:sz w:val="22"/>
                <w:szCs w:val="22"/>
              </w:rPr>
              <w:t xml:space="preserve">105.74 </w:t>
            </w:r>
          </w:p>
        </w:tc>
        <w:tc>
          <w:tcPr>
            <w:tcW w:w="4275" w:type="dxa"/>
            <w:shd w:val="clear" w:color="auto" w:fill="auto"/>
            <w:noWrap/>
            <w:vAlign w:val="center"/>
          </w:tcPr>
          <w:p w14:paraId="6EEE9C38">
            <w:pPr>
              <w:widowControl/>
              <w:jc w:val="center"/>
              <w:rPr>
                <w:rFonts w:ascii="宋体" w:hAnsi="宋体" w:cs="宋体"/>
                <w:kern w:val="0"/>
                <w:sz w:val="22"/>
                <w:szCs w:val="22"/>
              </w:rPr>
            </w:pPr>
            <w:r>
              <w:rPr>
                <w:rFonts w:hint="eastAsia" w:ascii="宋体" w:hAnsi="宋体" w:cs="宋体"/>
                <w:kern w:val="0"/>
                <w:sz w:val="22"/>
                <w:szCs w:val="22"/>
              </w:rPr>
              <w:t>闽（2023）连城县不动产权第0007408号</w:t>
            </w:r>
          </w:p>
        </w:tc>
        <w:tc>
          <w:tcPr>
            <w:tcW w:w="1440" w:type="dxa"/>
            <w:vMerge w:val="continue"/>
            <w:vAlign w:val="center"/>
          </w:tcPr>
          <w:p w14:paraId="1C16821F">
            <w:pPr>
              <w:widowControl/>
              <w:jc w:val="left"/>
              <w:rPr>
                <w:rFonts w:ascii="宋体" w:hAnsi="宋体" w:cs="宋体"/>
                <w:kern w:val="0"/>
                <w:sz w:val="22"/>
                <w:szCs w:val="22"/>
              </w:rPr>
            </w:pPr>
          </w:p>
        </w:tc>
      </w:tr>
      <w:tr w14:paraId="12AE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32229EE2">
            <w:pPr>
              <w:widowControl/>
              <w:jc w:val="left"/>
              <w:rPr>
                <w:rFonts w:ascii="宋体" w:hAnsi="宋体" w:cs="宋体"/>
                <w:kern w:val="0"/>
                <w:sz w:val="22"/>
                <w:szCs w:val="22"/>
              </w:rPr>
            </w:pPr>
          </w:p>
        </w:tc>
        <w:tc>
          <w:tcPr>
            <w:tcW w:w="1050" w:type="dxa"/>
            <w:shd w:val="clear" w:color="auto" w:fill="auto"/>
            <w:vAlign w:val="center"/>
          </w:tcPr>
          <w:p w14:paraId="6333DAE1">
            <w:pPr>
              <w:widowControl/>
              <w:jc w:val="center"/>
              <w:rPr>
                <w:rFonts w:ascii="宋体" w:hAnsi="宋体" w:cs="宋体"/>
                <w:kern w:val="0"/>
                <w:sz w:val="22"/>
                <w:szCs w:val="22"/>
              </w:rPr>
            </w:pPr>
            <w:r>
              <w:rPr>
                <w:rFonts w:hint="eastAsia" w:ascii="宋体" w:hAnsi="宋体" w:cs="宋体"/>
                <w:kern w:val="0"/>
                <w:sz w:val="22"/>
                <w:szCs w:val="22"/>
              </w:rPr>
              <w:t>4-503</w:t>
            </w:r>
          </w:p>
        </w:tc>
        <w:tc>
          <w:tcPr>
            <w:tcW w:w="1471" w:type="dxa"/>
            <w:shd w:val="clear" w:color="auto" w:fill="auto"/>
            <w:vAlign w:val="center"/>
          </w:tcPr>
          <w:p w14:paraId="3B2F02AE">
            <w:pPr>
              <w:widowControl/>
              <w:jc w:val="center"/>
              <w:rPr>
                <w:rFonts w:ascii="宋体" w:hAnsi="宋体" w:cs="宋体"/>
                <w:kern w:val="0"/>
                <w:sz w:val="22"/>
                <w:szCs w:val="22"/>
              </w:rPr>
            </w:pPr>
            <w:r>
              <w:rPr>
                <w:rFonts w:hint="eastAsia" w:ascii="宋体" w:hAnsi="宋体" w:cs="宋体"/>
                <w:kern w:val="0"/>
                <w:sz w:val="22"/>
                <w:szCs w:val="22"/>
              </w:rPr>
              <w:t xml:space="preserve">96.03 </w:t>
            </w:r>
          </w:p>
        </w:tc>
        <w:tc>
          <w:tcPr>
            <w:tcW w:w="4275" w:type="dxa"/>
            <w:shd w:val="clear" w:color="auto" w:fill="auto"/>
            <w:noWrap/>
            <w:vAlign w:val="center"/>
          </w:tcPr>
          <w:p w14:paraId="3F37492E">
            <w:pPr>
              <w:widowControl/>
              <w:jc w:val="center"/>
              <w:rPr>
                <w:rFonts w:ascii="宋体" w:hAnsi="宋体" w:cs="宋体"/>
                <w:kern w:val="0"/>
                <w:sz w:val="22"/>
                <w:szCs w:val="22"/>
              </w:rPr>
            </w:pPr>
            <w:r>
              <w:rPr>
                <w:rFonts w:hint="eastAsia" w:ascii="宋体" w:hAnsi="宋体" w:cs="宋体"/>
                <w:kern w:val="0"/>
                <w:sz w:val="22"/>
                <w:szCs w:val="22"/>
              </w:rPr>
              <w:t>闽（2023）连城县不动产权第0007426号</w:t>
            </w:r>
          </w:p>
        </w:tc>
        <w:tc>
          <w:tcPr>
            <w:tcW w:w="1440" w:type="dxa"/>
            <w:vMerge w:val="continue"/>
            <w:vAlign w:val="center"/>
          </w:tcPr>
          <w:p w14:paraId="173A58E3">
            <w:pPr>
              <w:widowControl/>
              <w:jc w:val="left"/>
              <w:rPr>
                <w:rFonts w:ascii="宋体" w:hAnsi="宋体" w:cs="宋体"/>
                <w:kern w:val="0"/>
                <w:sz w:val="22"/>
                <w:szCs w:val="22"/>
              </w:rPr>
            </w:pPr>
          </w:p>
        </w:tc>
      </w:tr>
      <w:tr w14:paraId="6186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5" w:type="dxa"/>
            <w:vMerge w:val="continue"/>
            <w:vAlign w:val="center"/>
          </w:tcPr>
          <w:p w14:paraId="183C82C8">
            <w:pPr>
              <w:widowControl/>
              <w:jc w:val="left"/>
              <w:rPr>
                <w:rFonts w:ascii="宋体" w:hAnsi="宋体" w:cs="宋体"/>
                <w:kern w:val="0"/>
                <w:sz w:val="22"/>
                <w:szCs w:val="22"/>
              </w:rPr>
            </w:pPr>
          </w:p>
        </w:tc>
        <w:tc>
          <w:tcPr>
            <w:tcW w:w="1050" w:type="dxa"/>
            <w:shd w:val="clear" w:color="auto" w:fill="auto"/>
            <w:vAlign w:val="center"/>
          </w:tcPr>
          <w:p w14:paraId="3F8B2347">
            <w:pPr>
              <w:widowControl/>
              <w:jc w:val="center"/>
              <w:rPr>
                <w:rFonts w:ascii="宋体" w:hAnsi="宋体" w:cs="宋体"/>
                <w:kern w:val="0"/>
                <w:sz w:val="22"/>
                <w:szCs w:val="22"/>
              </w:rPr>
            </w:pPr>
            <w:r>
              <w:rPr>
                <w:rFonts w:hint="eastAsia" w:ascii="宋体" w:hAnsi="宋体" w:cs="宋体"/>
                <w:kern w:val="0"/>
                <w:sz w:val="22"/>
                <w:szCs w:val="22"/>
              </w:rPr>
              <w:t>4-1101</w:t>
            </w:r>
          </w:p>
        </w:tc>
        <w:tc>
          <w:tcPr>
            <w:tcW w:w="1471" w:type="dxa"/>
            <w:shd w:val="clear" w:color="auto" w:fill="auto"/>
            <w:vAlign w:val="center"/>
          </w:tcPr>
          <w:p w14:paraId="38A24D85">
            <w:pPr>
              <w:widowControl/>
              <w:jc w:val="center"/>
              <w:rPr>
                <w:rFonts w:ascii="宋体" w:hAnsi="宋体" w:cs="宋体"/>
                <w:kern w:val="0"/>
                <w:sz w:val="22"/>
                <w:szCs w:val="22"/>
              </w:rPr>
            </w:pPr>
            <w:r>
              <w:rPr>
                <w:rFonts w:hint="eastAsia" w:ascii="宋体" w:hAnsi="宋体" w:cs="宋体"/>
                <w:kern w:val="0"/>
                <w:sz w:val="22"/>
                <w:szCs w:val="22"/>
              </w:rPr>
              <w:t xml:space="preserve">105.74 </w:t>
            </w:r>
          </w:p>
        </w:tc>
        <w:tc>
          <w:tcPr>
            <w:tcW w:w="4275" w:type="dxa"/>
            <w:shd w:val="clear" w:color="auto" w:fill="auto"/>
            <w:noWrap/>
            <w:vAlign w:val="center"/>
          </w:tcPr>
          <w:p w14:paraId="70E7251A">
            <w:pPr>
              <w:widowControl/>
              <w:jc w:val="center"/>
              <w:rPr>
                <w:rFonts w:ascii="宋体" w:hAnsi="宋体" w:cs="宋体"/>
                <w:kern w:val="0"/>
                <w:sz w:val="22"/>
                <w:szCs w:val="22"/>
              </w:rPr>
            </w:pPr>
            <w:r>
              <w:rPr>
                <w:rFonts w:hint="eastAsia" w:ascii="宋体" w:hAnsi="宋体" w:cs="宋体"/>
                <w:kern w:val="0"/>
                <w:sz w:val="22"/>
                <w:szCs w:val="22"/>
              </w:rPr>
              <w:t>闽（2023）连城县不动产权第0007377号</w:t>
            </w:r>
          </w:p>
        </w:tc>
        <w:tc>
          <w:tcPr>
            <w:tcW w:w="1440" w:type="dxa"/>
            <w:vMerge w:val="continue"/>
            <w:vAlign w:val="center"/>
          </w:tcPr>
          <w:p w14:paraId="78101FF5">
            <w:pPr>
              <w:widowControl/>
              <w:jc w:val="left"/>
              <w:rPr>
                <w:rFonts w:ascii="宋体" w:hAnsi="宋体" w:cs="宋体"/>
                <w:kern w:val="0"/>
                <w:sz w:val="22"/>
                <w:szCs w:val="22"/>
              </w:rPr>
            </w:pPr>
          </w:p>
        </w:tc>
      </w:tr>
    </w:tbl>
    <w:p w14:paraId="3B08E216">
      <w:pPr>
        <w:keepNext w:val="0"/>
        <w:keepLines w:val="0"/>
        <w:pageBreakBefore w:val="0"/>
        <w:widowControl w:val="0"/>
        <w:kinsoku/>
        <w:wordWrap/>
        <w:overflowPunct/>
        <w:topLinePunct w:val="0"/>
        <w:autoSpaceDE/>
        <w:autoSpaceDN/>
        <w:bidi w:val="0"/>
        <w:adjustRightInd/>
        <w:snapToGrid/>
        <w:spacing w:line="400" w:lineRule="exact"/>
        <w:ind w:left="51" w:firstLine="361" w:firstLineChars="150"/>
        <w:textAlignment w:val="auto"/>
        <w:rPr>
          <w:rFonts w:ascii="宋体" w:hAnsi="宋体" w:cs="宋体"/>
          <w:b/>
          <w:bCs/>
          <w:sz w:val="24"/>
        </w:rPr>
      </w:pPr>
      <w:r>
        <w:rPr>
          <w:rFonts w:hint="eastAsia" w:ascii="宋体" w:hAnsi="宋体" w:cs="宋体"/>
          <w:b/>
          <w:bCs/>
          <w:sz w:val="24"/>
        </w:rPr>
        <w:t>标的二、连城县莲峰镇南前花园4号楼8套房产（整体拍卖，详见《南前花园房产拍卖清单》及产权证复印件）。</w:t>
      </w:r>
    </w:p>
    <w:p w14:paraId="1440478B">
      <w:pPr>
        <w:keepNext w:val="0"/>
        <w:keepLines w:val="0"/>
        <w:pageBreakBefore w:val="0"/>
        <w:widowControl w:val="0"/>
        <w:kinsoku/>
        <w:wordWrap/>
        <w:overflowPunct/>
        <w:topLinePunct w:val="0"/>
        <w:autoSpaceDE/>
        <w:autoSpaceDN/>
        <w:bidi w:val="0"/>
        <w:adjustRightInd/>
        <w:snapToGrid/>
        <w:spacing w:line="400" w:lineRule="exact"/>
        <w:ind w:left="51" w:firstLine="361" w:firstLineChars="150"/>
        <w:textAlignment w:val="auto"/>
        <w:rPr>
          <w:rFonts w:ascii="宋体" w:hAnsi="宋体" w:cs="宋体"/>
          <w:b/>
          <w:bCs/>
          <w:sz w:val="24"/>
        </w:rPr>
      </w:pPr>
      <w:r>
        <w:rPr>
          <w:rFonts w:hint="eastAsia" w:ascii="宋体" w:hAnsi="宋体" w:cs="宋体"/>
          <w:b/>
          <w:bCs/>
          <w:sz w:val="24"/>
        </w:rPr>
        <w:t>起拍价：300.52万元            竞买保证金：50万元</w:t>
      </w:r>
    </w:p>
    <w:p w14:paraId="50AF4AA4">
      <w:pPr>
        <w:spacing w:line="440" w:lineRule="exact"/>
        <w:jc w:val="center"/>
        <w:rPr>
          <w:rFonts w:ascii="宋体" w:hAnsi="宋体" w:cs="宋体"/>
          <w:b/>
          <w:bCs/>
          <w:sz w:val="24"/>
        </w:rPr>
      </w:pPr>
      <w:r>
        <w:rPr>
          <w:rFonts w:hint="eastAsia" w:ascii="宋体" w:hAnsi="宋体" w:cs="宋体"/>
          <w:b/>
          <w:bCs/>
          <w:sz w:val="24"/>
        </w:rPr>
        <w:t>南前花园房产拍卖清单</w:t>
      </w:r>
    </w:p>
    <w:tbl>
      <w:tblPr>
        <w:tblStyle w:val="11"/>
        <w:tblW w:w="9132" w:type="dxa"/>
        <w:jc w:val="center"/>
        <w:tblLayout w:type="fixed"/>
        <w:tblCellMar>
          <w:top w:w="0" w:type="dxa"/>
          <w:left w:w="108" w:type="dxa"/>
          <w:bottom w:w="0" w:type="dxa"/>
          <w:right w:w="108" w:type="dxa"/>
        </w:tblCellMar>
      </w:tblPr>
      <w:tblGrid>
        <w:gridCol w:w="700"/>
        <w:gridCol w:w="1120"/>
        <w:gridCol w:w="1749"/>
        <w:gridCol w:w="4351"/>
        <w:gridCol w:w="1212"/>
      </w:tblGrid>
      <w:tr w14:paraId="79CBFADC">
        <w:tblPrEx>
          <w:tblCellMar>
            <w:top w:w="0" w:type="dxa"/>
            <w:left w:w="108" w:type="dxa"/>
            <w:bottom w:w="0" w:type="dxa"/>
            <w:right w:w="108" w:type="dxa"/>
          </w:tblCellMar>
        </w:tblPrEx>
        <w:trPr>
          <w:trHeight w:val="680" w:hRule="exac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4795AB01">
            <w:pPr>
              <w:widowControl/>
              <w:jc w:val="center"/>
              <w:rPr>
                <w:rFonts w:ascii="宋体" w:hAnsi="宋体" w:cs="宋体"/>
                <w:b/>
                <w:bCs/>
                <w:kern w:val="0"/>
                <w:sz w:val="22"/>
                <w:szCs w:val="22"/>
              </w:rPr>
            </w:pPr>
            <w:r>
              <w:rPr>
                <w:rFonts w:hint="eastAsia" w:ascii="宋体" w:hAnsi="宋体" w:cs="宋体"/>
                <w:b/>
                <w:bCs/>
                <w:kern w:val="0"/>
                <w:sz w:val="22"/>
                <w:szCs w:val="22"/>
              </w:rPr>
              <w:t>标的</w:t>
            </w:r>
          </w:p>
        </w:tc>
        <w:tc>
          <w:tcPr>
            <w:tcW w:w="1120" w:type="dxa"/>
            <w:tcBorders>
              <w:top w:val="single" w:color="auto" w:sz="4" w:space="0"/>
              <w:left w:val="nil"/>
              <w:bottom w:val="single" w:color="auto" w:sz="4" w:space="0"/>
              <w:right w:val="single" w:color="auto" w:sz="4" w:space="0"/>
            </w:tcBorders>
            <w:shd w:val="clear" w:color="auto" w:fill="auto"/>
            <w:vAlign w:val="center"/>
          </w:tcPr>
          <w:p w14:paraId="1FE56DD6">
            <w:pPr>
              <w:widowControl/>
              <w:jc w:val="center"/>
              <w:rPr>
                <w:rFonts w:ascii="宋体" w:hAnsi="宋体" w:cs="宋体"/>
                <w:b/>
                <w:bCs/>
                <w:kern w:val="0"/>
                <w:sz w:val="22"/>
                <w:szCs w:val="22"/>
              </w:rPr>
            </w:pPr>
            <w:r>
              <w:rPr>
                <w:rFonts w:hint="eastAsia" w:ascii="宋体" w:hAnsi="宋体" w:cs="宋体"/>
                <w:b/>
                <w:bCs/>
                <w:kern w:val="0"/>
                <w:sz w:val="22"/>
                <w:szCs w:val="22"/>
              </w:rPr>
              <w:t>房号</w:t>
            </w:r>
          </w:p>
        </w:tc>
        <w:tc>
          <w:tcPr>
            <w:tcW w:w="1749" w:type="dxa"/>
            <w:tcBorders>
              <w:top w:val="single" w:color="auto" w:sz="4" w:space="0"/>
              <w:left w:val="nil"/>
              <w:bottom w:val="single" w:color="auto" w:sz="4" w:space="0"/>
              <w:right w:val="single" w:color="auto" w:sz="4" w:space="0"/>
            </w:tcBorders>
            <w:shd w:val="clear" w:color="auto" w:fill="auto"/>
            <w:vAlign w:val="center"/>
          </w:tcPr>
          <w:p w14:paraId="694794E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建筑面积</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w:t>
            </w:r>
          </w:p>
        </w:tc>
        <w:tc>
          <w:tcPr>
            <w:tcW w:w="4351" w:type="dxa"/>
            <w:tcBorders>
              <w:top w:val="single" w:color="auto" w:sz="4" w:space="0"/>
              <w:left w:val="nil"/>
              <w:bottom w:val="single" w:color="auto" w:sz="4" w:space="0"/>
              <w:right w:val="single" w:color="auto" w:sz="4" w:space="0"/>
            </w:tcBorders>
            <w:shd w:val="clear" w:color="auto" w:fill="auto"/>
            <w:vAlign w:val="center"/>
          </w:tcPr>
          <w:p w14:paraId="5CA3051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房产证号</w:t>
            </w:r>
          </w:p>
        </w:tc>
        <w:tc>
          <w:tcPr>
            <w:tcW w:w="1212" w:type="dxa"/>
            <w:tcBorders>
              <w:top w:val="single" w:color="auto" w:sz="4" w:space="0"/>
              <w:left w:val="nil"/>
              <w:bottom w:val="single" w:color="auto" w:sz="4" w:space="0"/>
              <w:right w:val="single" w:color="auto" w:sz="4" w:space="0"/>
            </w:tcBorders>
            <w:shd w:val="clear" w:color="auto" w:fill="auto"/>
            <w:vAlign w:val="center"/>
          </w:tcPr>
          <w:p w14:paraId="7B58DB0C">
            <w:pPr>
              <w:widowControl/>
              <w:jc w:val="center"/>
              <w:rPr>
                <w:rFonts w:ascii="宋体" w:hAnsi="宋体" w:cs="宋体"/>
                <w:b/>
                <w:bCs/>
                <w:kern w:val="0"/>
                <w:sz w:val="22"/>
                <w:szCs w:val="22"/>
              </w:rPr>
            </w:pPr>
            <w:r>
              <w:rPr>
                <w:rFonts w:hint="eastAsia" w:ascii="宋体" w:hAnsi="宋体" w:cs="宋体"/>
                <w:b/>
                <w:bCs/>
                <w:kern w:val="0"/>
                <w:sz w:val="22"/>
                <w:szCs w:val="22"/>
              </w:rPr>
              <w:t>备注</w:t>
            </w:r>
          </w:p>
        </w:tc>
      </w:tr>
      <w:tr w14:paraId="27A32950">
        <w:tblPrEx>
          <w:tblCellMar>
            <w:top w:w="0" w:type="dxa"/>
            <w:left w:w="108" w:type="dxa"/>
            <w:bottom w:w="0" w:type="dxa"/>
            <w:right w:w="108" w:type="dxa"/>
          </w:tblCellMar>
        </w:tblPrEx>
        <w:trPr>
          <w:trHeight w:val="680" w:hRule="exact"/>
          <w:jc w:val="center"/>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14:paraId="74D21F70">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20" w:type="dxa"/>
            <w:tcBorders>
              <w:top w:val="nil"/>
              <w:left w:val="nil"/>
              <w:bottom w:val="single" w:color="auto" w:sz="4" w:space="0"/>
              <w:right w:val="single" w:color="auto" w:sz="4" w:space="0"/>
            </w:tcBorders>
            <w:shd w:val="clear" w:color="auto" w:fill="auto"/>
            <w:vAlign w:val="center"/>
          </w:tcPr>
          <w:p w14:paraId="3457D66E">
            <w:pPr>
              <w:widowControl/>
              <w:jc w:val="center"/>
              <w:rPr>
                <w:rFonts w:ascii="宋体" w:hAnsi="宋体" w:cs="宋体"/>
                <w:kern w:val="0"/>
                <w:sz w:val="22"/>
                <w:szCs w:val="22"/>
              </w:rPr>
            </w:pPr>
            <w:r>
              <w:rPr>
                <w:rFonts w:hint="eastAsia" w:ascii="宋体" w:hAnsi="宋体" w:cs="宋体"/>
                <w:kern w:val="0"/>
                <w:sz w:val="22"/>
                <w:szCs w:val="22"/>
              </w:rPr>
              <w:t>4-404</w:t>
            </w:r>
          </w:p>
        </w:tc>
        <w:tc>
          <w:tcPr>
            <w:tcW w:w="1749" w:type="dxa"/>
            <w:tcBorders>
              <w:top w:val="nil"/>
              <w:left w:val="nil"/>
              <w:bottom w:val="single" w:color="auto" w:sz="4" w:space="0"/>
              <w:right w:val="single" w:color="auto" w:sz="4" w:space="0"/>
            </w:tcBorders>
            <w:shd w:val="clear" w:color="auto" w:fill="auto"/>
            <w:vAlign w:val="center"/>
          </w:tcPr>
          <w:p w14:paraId="731B0EF2">
            <w:pPr>
              <w:widowControl/>
              <w:jc w:val="center"/>
              <w:rPr>
                <w:rFonts w:ascii="宋体" w:hAnsi="宋体" w:cs="宋体"/>
                <w:kern w:val="0"/>
                <w:sz w:val="22"/>
                <w:szCs w:val="22"/>
              </w:rPr>
            </w:pPr>
            <w:r>
              <w:rPr>
                <w:rFonts w:hint="eastAsia" w:ascii="宋体" w:hAnsi="宋体" w:cs="宋体"/>
                <w:kern w:val="0"/>
                <w:sz w:val="22"/>
                <w:szCs w:val="22"/>
              </w:rPr>
              <w:t xml:space="preserve">105.51 </w:t>
            </w:r>
          </w:p>
        </w:tc>
        <w:tc>
          <w:tcPr>
            <w:tcW w:w="4351" w:type="dxa"/>
            <w:tcBorders>
              <w:top w:val="nil"/>
              <w:left w:val="nil"/>
              <w:bottom w:val="single" w:color="auto" w:sz="4" w:space="0"/>
              <w:right w:val="single" w:color="auto" w:sz="4" w:space="0"/>
            </w:tcBorders>
            <w:shd w:val="clear" w:color="auto" w:fill="auto"/>
            <w:noWrap/>
            <w:vAlign w:val="center"/>
          </w:tcPr>
          <w:p w14:paraId="054208C2">
            <w:pPr>
              <w:widowControl/>
              <w:jc w:val="center"/>
              <w:rPr>
                <w:rFonts w:ascii="宋体" w:hAnsi="宋体" w:cs="宋体"/>
                <w:kern w:val="0"/>
                <w:sz w:val="22"/>
                <w:szCs w:val="22"/>
              </w:rPr>
            </w:pPr>
            <w:r>
              <w:rPr>
                <w:rFonts w:hint="eastAsia" w:ascii="宋体" w:hAnsi="宋体" w:cs="宋体"/>
                <w:kern w:val="0"/>
                <w:sz w:val="22"/>
                <w:szCs w:val="22"/>
              </w:rPr>
              <w:t>闽（2023）连城县不动产权第0007414号</w:t>
            </w:r>
          </w:p>
        </w:tc>
        <w:tc>
          <w:tcPr>
            <w:tcW w:w="1212" w:type="dxa"/>
            <w:vMerge w:val="restart"/>
            <w:tcBorders>
              <w:top w:val="nil"/>
              <w:left w:val="single" w:color="auto" w:sz="4" w:space="0"/>
              <w:bottom w:val="single" w:color="000000" w:sz="4" w:space="0"/>
              <w:right w:val="single" w:color="auto" w:sz="4" w:space="0"/>
            </w:tcBorders>
            <w:shd w:val="clear" w:color="auto" w:fill="auto"/>
            <w:noWrap/>
            <w:vAlign w:val="center"/>
          </w:tcPr>
          <w:p w14:paraId="619419B7">
            <w:pPr>
              <w:widowControl/>
              <w:jc w:val="center"/>
              <w:rPr>
                <w:rFonts w:ascii="宋体" w:hAnsi="宋体" w:cs="宋体"/>
                <w:kern w:val="0"/>
                <w:sz w:val="22"/>
                <w:szCs w:val="22"/>
              </w:rPr>
            </w:pPr>
            <w:r>
              <w:rPr>
                <w:rFonts w:hint="eastAsia" w:ascii="宋体" w:hAnsi="宋体" w:cs="宋体"/>
                <w:kern w:val="0"/>
                <w:sz w:val="22"/>
                <w:szCs w:val="22"/>
              </w:rPr>
              <w:t>整体拍卖</w:t>
            </w:r>
          </w:p>
        </w:tc>
      </w:tr>
      <w:tr w14:paraId="10CC8157">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17C9BEA4">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7C09DEF8">
            <w:pPr>
              <w:widowControl/>
              <w:jc w:val="center"/>
              <w:rPr>
                <w:rFonts w:ascii="宋体" w:hAnsi="宋体" w:cs="宋体"/>
                <w:kern w:val="0"/>
                <w:sz w:val="22"/>
                <w:szCs w:val="22"/>
              </w:rPr>
            </w:pPr>
            <w:r>
              <w:rPr>
                <w:rFonts w:hint="eastAsia" w:ascii="宋体" w:hAnsi="宋体" w:cs="宋体"/>
                <w:kern w:val="0"/>
                <w:sz w:val="22"/>
                <w:szCs w:val="22"/>
              </w:rPr>
              <w:t>4-405</w:t>
            </w:r>
          </w:p>
        </w:tc>
        <w:tc>
          <w:tcPr>
            <w:tcW w:w="1749" w:type="dxa"/>
            <w:tcBorders>
              <w:top w:val="nil"/>
              <w:left w:val="nil"/>
              <w:bottom w:val="single" w:color="auto" w:sz="4" w:space="0"/>
              <w:right w:val="single" w:color="auto" w:sz="4" w:space="0"/>
            </w:tcBorders>
            <w:shd w:val="clear" w:color="auto" w:fill="auto"/>
            <w:vAlign w:val="center"/>
          </w:tcPr>
          <w:p w14:paraId="2858934A">
            <w:pPr>
              <w:widowControl/>
              <w:jc w:val="center"/>
              <w:rPr>
                <w:rFonts w:ascii="宋体" w:hAnsi="宋体" w:cs="宋体"/>
                <w:kern w:val="0"/>
                <w:sz w:val="22"/>
                <w:szCs w:val="22"/>
              </w:rPr>
            </w:pPr>
            <w:r>
              <w:rPr>
                <w:rFonts w:hint="eastAsia" w:ascii="宋体" w:hAnsi="宋体" w:cs="宋体"/>
                <w:kern w:val="0"/>
                <w:sz w:val="22"/>
                <w:szCs w:val="22"/>
              </w:rPr>
              <w:t xml:space="preserve">76.14 </w:t>
            </w:r>
          </w:p>
        </w:tc>
        <w:tc>
          <w:tcPr>
            <w:tcW w:w="4351" w:type="dxa"/>
            <w:tcBorders>
              <w:top w:val="nil"/>
              <w:left w:val="nil"/>
              <w:bottom w:val="single" w:color="auto" w:sz="4" w:space="0"/>
              <w:right w:val="single" w:color="auto" w:sz="4" w:space="0"/>
            </w:tcBorders>
            <w:shd w:val="clear" w:color="auto" w:fill="auto"/>
            <w:noWrap/>
            <w:vAlign w:val="center"/>
          </w:tcPr>
          <w:p w14:paraId="0AA78072">
            <w:pPr>
              <w:widowControl/>
              <w:jc w:val="center"/>
              <w:rPr>
                <w:rFonts w:ascii="宋体" w:hAnsi="宋体" w:cs="宋体"/>
                <w:kern w:val="0"/>
                <w:sz w:val="22"/>
                <w:szCs w:val="22"/>
              </w:rPr>
            </w:pPr>
            <w:r>
              <w:rPr>
                <w:rFonts w:hint="eastAsia" w:ascii="宋体" w:hAnsi="宋体" w:cs="宋体"/>
                <w:kern w:val="0"/>
                <w:sz w:val="22"/>
                <w:szCs w:val="22"/>
              </w:rPr>
              <w:t>闽（2023）连城县不动产权第0007441号</w:t>
            </w:r>
          </w:p>
        </w:tc>
        <w:tc>
          <w:tcPr>
            <w:tcW w:w="1212" w:type="dxa"/>
            <w:vMerge w:val="continue"/>
            <w:tcBorders>
              <w:top w:val="nil"/>
              <w:left w:val="single" w:color="auto" w:sz="4" w:space="0"/>
              <w:bottom w:val="single" w:color="000000" w:sz="4" w:space="0"/>
              <w:right w:val="single" w:color="auto" w:sz="4" w:space="0"/>
            </w:tcBorders>
            <w:vAlign w:val="center"/>
          </w:tcPr>
          <w:p w14:paraId="1893D2E8">
            <w:pPr>
              <w:widowControl/>
              <w:jc w:val="left"/>
              <w:rPr>
                <w:rFonts w:ascii="宋体" w:hAnsi="宋体" w:cs="宋体"/>
                <w:kern w:val="0"/>
                <w:sz w:val="22"/>
                <w:szCs w:val="22"/>
              </w:rPr>
            </w:pPr>
          </w:p>
        </w:tc>
      </w:tr>
      <w:tr w14:paraId="011942EC">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7FDACA85">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2ED2E9D9">
            <w:pPr>
              <w:widowControl/>
              <w:jc w:val="center"/>
              <w:rPr>
                <w:rFonts w:ascii="宋体" w:hAnsi="宋体" w:cs="宋体"/>
                <w:kern w:val="0"/>
                <w:sz w:val="22"/>
                <w:szCs w:val="22"/>
              </w:rPr>
            </w:pPr>
            <w:r>
              <w:rPr>
                <w:rFonts w:hint="eastAsia" w:ascii="宋体" w:hAnsi="宋体" w:cs="宋体"/>
                <w:kern w:val="0"/>
                <w:sz w:val="22"/>
                <w:szCs w:val="22"/>
              </w:rPr>
              <w:t>4-406</w:t>
            </w:r>
          </w:p>
        </w:tc>
        <w:tc>
          <w:tcPr>
            <w:tcW w:w="1749" w:type="dxa"/>
            <w:tcBorders>
              <w:top w:val="nil"/>
              <w:left w:val="nil"/>
              <w:bottom w:val="single" w:color="auto" w:sz="4" w:space="0"/>
              <w:right w:val="single" w:color="auto" w:sz="4" w:space="0"/>
            </w:tcBorders>
            <w:shd w:val="clear" w:color="auto" w:fill="auto"/>
            <w:vAlign w:val="center"/>
          </w:tcPr>
          <w:p w14:paraId="25335D29">
            <w:pPr>
              <w:widowControl/>
              <w:jc w:val="center"/>
              <w:rPr>
                <w:rFonts w:ascii="宋体" w:hAnsi="宋体" w:cs="宋体"/>
                <w:kern w:val="0"/>
                <w:sz w:val="22"/>
                <w:szCs w:val="22"/>
              </w:rPr>
            </w:pPr>
            <w:r>
              <w:rPr>
                <w:rFonts w:hint="eastAsia" w:ascii="宋体" w:hAnsi="宋体" w:cs="宋体"/>
                <w:kern w:val="0"/>
                <w:sz w:val="22"/>
                <w:szCs w:val="22"/>
              </w:rPr>
              <w:t xml:space="preserve">76.14 </w:t>
            </w:r>
          </w:p>
        </w:tc>
        <w:tc>
          <w:tcPr>
            <w:tcW w:w="4351" w:type="dxa"/>
            <w:tcBorders>
              <w:top w:val="nil"/>
              <w:left w:val="nil"/>
              <w:bottom w:val="single" w:color="auto" w:sz="4" w:space="0"/>
              <w:right w:val="single" w:color="auto" w:sz="4" w:space="0"/>
            </w:tcBorders>
            <w:shd w:val="clear" w:color="auto" w:fill="auto"/>
            <w:noWrap/>
            <w:vAlign w:val="center"/>
          </w:tcPr>
          <w:p w14:paraId="67A743DB">
            <w:pPr>
              <w:widowControl/>
              <w:jc w:val="center"/>
              <w:rPr>
                <w:rFonts w:ascii="宋体" w:hAnsi="宋体" w:cs="宋体"/>
                <w:kern w:val="0"/>
                <w:sz w:val="22"/>
                <w:szCs w:val="22"/>
              </w:rPr>
            </w:pPr>
            <w:r>
              <w:rPr>
                <w:rFonts w:hint="eastAsia" w:ascii="宋体" w:hAnsi="宋体" w:cs="宋体"/>
                <w:kern w:val="0"/>
                <w:sz w:val="22"/>
                <w:szCs w:val="22"/>
              </w:rPr>
              <w:t>闽（2023）连城县不动产权第0007442号</w:t>
            </w:r>
          </w:p>
        </w:tc>
        <w:tc>
          <w:tcPr>
            <w:tcW w:w="1212" w:type="dxa"/>
            <w:vMerge w:val="continue"/>
            <w:tcBorders>
              <w:top w:val="nil"/>
              <w:left w:val="single" w:color="auto" w:sz="4" w:space="0"/>
              <w:bottom w:val="single" w:color="000000" w:sz="4" w:space="0"/>
              <w:right w:val="single" w:color="auto" w:sz="4" w:space="0"/>
            </w:tcBorders>
            <w:vAlign w:val="center"/>
          </w:tcPr>
          <w:p w14:paraId="44213B17">
            <w:pPr>
              <w:widowControl/>
              <w:jc w:val="left"/>
              <w:rPr>
                <w:rFonts w:ascii="宋体" w:hAnsi="宋体" w:cs="宋体"/>
                <w:kern w:val="0"/>
                <w:sz w:val="22"/>
                <w:szCs w:val="22"/>
              </w:rPr>
            </w:pPr>
          </w:p>
        </w:tc>
      </w:tr>
      <w:tr w14:paraId="5B5CE38E">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49FBC21F">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42C3F98E">
            <w:pPr>
              <w:widowControl/>
              <w:jc w:val="center"/>
              <w:rPr>
                <w:rFonts w:ascii="宋体" w:hAnsi="宋体" w:cs="宋体"/>
                <w:kern w:val="0"/>
                <w:sz w:val="22"/>
                <w:szCs w:val="22"/>
              </w:rPr>
            </w:pPr>
            <w:r>
              <w:rPr>
                <w:rFonts w:hint="eastAsia" w:ascii="宋体" w:hAnsi="宋体" w:cs="宋体"/>
                <w:kern w:val="0"/>
                <w:sz w:val="22"/>
                <w:szCs w:val="22"/>
              </w:rPr>
              <w:t>4-407</w:t>
            </w:r>
          </w:p>
        </w:tc>
        <w:tc>
          <w:tcPr>
            <w:tcW w:w="1749" w:type="dxa"/>
            <w:tcBorders>
              <w:top w:val="nil"/>
              <w:left w:val="nil"/>
              <w:bottom w:val="single" w:color="auto" w:sz="4" w:space="0"/>
              <w:right w:val="single" w:color="auto" w:sz="4" w:space="0"/>
            </w:tcBorders>
            <w:shd w:val="clear" w:color="auto" w:fill="auto"/>
            <w:vAlign w:val="center"/>
          </w:tcPr>
          <w:p w14:paraId="28ECB9AD">
            <w:pPr>
              <w:widowControl/>
              <w:jc w:val="center"/>
              <w:rPr>
                <w:rFonts w:ascii="宋体" w:hAnsi="宋体" w:cs="宋体"/>
                <w:kern w:val="0"/>
                <w:sz w:val="22"/>
                <w:szCs w:val="22"/>
              </w:rPr>
            </w:pPr>
            <w:r>
              <w:rPr>
                <w:rFonts w:hint="eastAsia" w:ascii="宋体" w:hAnsi="宋体" w:cs="宋体"/>
                <w:kern w:val="0"/>
                <w:sz w:val="22"/>
                <w:szCs w:val="22"/>
              </w:rPr>
              <w:t xml:space="preserve">105.51 </w:t>
            </w:r>
          </w:p>
        </w:tc>
        <w:tc>
          <w:tcPr>
            <w:tcW w:w="4351" w:type="dxa"/>
            <w:tcBorders>
              <w:top w:val="nil"/>
              <w:left w:val="nil"/>
              <w:bottom w:val="single" w:color="auto" w:sz="4" w:space="0"/>
              <w:right w:val="single" w:color="auto" w:sz="4" w:space="0"/>
            </w:tcBorders>
            <w:shd w:val="clear" w:color="auto" w:fill="auto"/>
            <w:noWrap/>
            <w:vAlign w:val="center"/>
          </w:tcPr>
          <w:p w14:paraId="7B1C8E28">
            <w:pPr>
              <w:widowControl/>
              <w:jc w:val="center"/>
              <w:rPr>
                <w:rFonts w:ascii="宋体" w:hAnsi="宋体" w:cs="宋体"/>
                <w:kern w:val="0"/>
                <w:sz w:val="22"/>
                <w:szCs w:val="22"/>
              </w:rPr>
            </w:pPr>
            <w:r>
              <w:rPr>
                <w:rFonts w:hint="eastAsia" w:ascii="宋体" w:hAnsi="宋体" w:cs="宋体"/>
                <w:kern w:val="0"/>
                <w:sz w:val="22"/>
                <w:szCs w:val="22"/>
              </w:rPr>
              <w:t>闽（2023）连城县不动产权第0007422号</w:t>
            </w:r>
          </w:p>
        </w:tc>
        <w:tc>
          <w:tcPr>
            <w:tcW w:w="1212" w:type="dxa"/>
            <w:vMerge w:val="continue"/>
            <w:tcBorders>
              <w:top w:val="nil"/>
              <w:left w:val="single" w:color="auto" w:sz="4" w:space="0"/>
              <w:bottom w:val="single" w:color="000000" w:sz="4" w:space="0"/>
              <w:right w:val="single" w:color="auto" w:sz="4" w:space="0"/>
            </w:tcBorders>
            <w:vAlign w:val="center"/>
          </w:tcPr>
          <w:p w14:paraId="3296C826">
            <w:pPr>
              <w:widowControl/>
              <w:jc w:val="left"/>
              <w:rPr>
                <w:rFonts w:ascii="宋体" w:hAnsi="宋体" w:cs="宋体"/>
                <w:kern w:val="0"/>
                <w:sz w:val="22"/>
                <w:szCs w:val="22"/>
              </w:rPr>
            </w:pPr>
          </w:p>
        </w:tc>
      </w:tr>
      <w:tr w14:paraId="3B99193E">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36D3EBE5">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1A729CAF">
            <w:pPr>
              <w:widowControl/>
              <w:jc w:val="center"/>
              <w:rPr>
                <w:rFonts w:ascii="宋体" w:hAnsi="宋体" w:cs="宋体"/>
                <w:kern w:val="0"/>
                <w:sz w:val="22"/>
                <w:szCs w:val="22"/>
              </w:rPr>
            </w:pPr>
            <w:r>
              <w:rPr>
                <w:rFonts w:hint="eastAsia" w:ascii="宋体" w:hAnsi="宋体" w:cs="宋体"/>
                <w:kern w:val="0"/>
                <w:sz w:val="22"/>
                <w:szCs w:val="22"/>
              </w:rPr>
              <w:t>4-504</w:t>
            </w:r>
          </w:p>
        </w:tc>
        <w:tc>
          <w:tcPr>
            <w:tcW w:w="1749" w:type="dxa"/>
            <w:tcBorders>
              <w:top w:val="nil"/>
              <w:left w:val="nil"/>
              <w:bottom w:val="single" w:color="auto" w:sz="4" w:space="0"/>
              <w:right w:val="single" w:color="auto" w:sz="4" w:space="0"/>
            </w:tcBorders>
            <w:shd w:val="clear" w:color="auto" w:fill="auto"/>
            <w:vAlign w:val="center"/>
          </w:tcPr>
          <w:p w14:paraId="511311AA">
            <w:pPr>
              <w:widowControl/>
              <w:jc w:val="center"/>
              <w:rPr>
                <w:rFonts w:ascii="宋体" w:hAnsi="宋体" w:cs="宋体"/>
                <w:kern w:val="0"/>
                <w:sz w:val="22"/>
                <w:szCs w:val="22"/>
              </w:rPr>
            </w:pPr>
            <w:r>
              <w:rPr>
                <w:rFonts w:hint="eastAsia" w:ascii="宋体" w:hAnsi="宋体" w:cs="宋体"/>
                <w:kern w:val="0"/>
                <w:sz w:val="22"/>
                <w:szCs w:val="22"/>
              </w:rPr>
              <w:t xml:space="preserve">105.51 </w:t>
            </w:r>
          </w:p>
        </w:tc>
        <w:tc>
          <w:tcPr>
            <w:tcW w:w="4351" w:type="dxa"/>
            <w:tcBorders>
              <w:top w:val="nil"/>
              <w:left w:val="nil"/>
              <w:bottom w:val="single" w:color="auto" w:sz="4" w:space="0"/>
              <w:right w:val="single" w:color="auto" w:sz="4" w:space="0"/>
            </w:tcBorders>
            <w:shd w:val="clear" w:color="auto" w:fill="auto"/>
            <w:noWrap/>
            <w:vAlign w:val="center"/>
          </w:tcPr>
          <w:p w14:paraId="4F4FB9E5">
            <w:pPr>
              <w:widowControl/>
              <w:jc w:val="center"/>
              <w:rPr>
                <w:rFonts w:ascii="宋体" w:hAnsi="宋体" w:cs="宋体"/>
                <w:kern w:val="0"/>
                <w:sz w:val="22"/>
                <w:szCs w:val="22"/>
              </w:rPr>
            </w:pPr>
            <w:r>
              <w:rPr>
                <w:rFonts w:hint="eastAsia" w:ascii="宋体" w:hAnsi="宋体" w:cs="宋体"/>
                <w:kern w:val="0"/>
                <w:sz w:val="22"/>
                <w:szCs w:val="22"/>
              </w:rPr>
              <w:t>闽（2023）连城县不动产权第0007416号</w:t>
            </w:r>
          </w:p>
        </w:tc>
        <w:tc>
          <w:tcPr>
            <w:tcW w:w="1212" w:type="dxa"/>
            <w:vMerge w:val="continue"/>
            <w:tcBorders>
              <w:top w:val="nil"/>
              <w:left w:val="single" w:color="auto" w:sz="4" w:space="0"/>
              <w:bottom w:val="single" w:color="000000" w:sz="4" w:space="0"/>
              <w:right w:val="single" w:color="auto" w:sz="4" w:space="0"/>
            </w:tcBorders>
            <w:vAlign w:val="center"/>
          </w:tcPr>
          <w:p w14:paraId="5B826F97">
            <w:pPr>
              <w:widowControl/>
              <w:jc w:val="left"/>
              <w:rPr>
                <w:rFonts w:ascii="宋体" w:hAnsi="宋体" w:cs="宋体"/>
                <w:kern w:val="0"/>
                <w:sz w:val="22"/>
                <w:szCs w:val="22"/>
              </w:rPr>
            </w:pPr>
          </w:p>
        </w:tc>
      </w:tr>
      <w:tr w14:paraId="616F373D">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47251213">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2109FF32">
            <w:pPr>
              <w:widowControl/>
              <w:jc w:val="center"/>
              <w:rPr>
                <w:rFonts w:ascii="宋体" w:hAnsi="宋体" w:cs="宋体"/>
                <w:kern w:val="0"/>
                <w:sz w:val="22"/>
                <w:szCs w:val="22"/>
              </w:rPr>
            </w:pPr>
            <w:r>
              <w:rPr>
                <w:rFonts w:hint="eastAsia" w:ascii="宋体" w:hAnsi="宋体" w:cs="宋体"/>
                <w:kern w:val="0"/>
                <w:sz w:val="22"/>
                <w:szCs w:val="22"/>
              </w:rPr>
              <w:t>4-505</w:t>
            </w:r>
          </w:p>
        </w:tc>
        <w:tc>
          <w:tcPr>
            <w:tcW w:w="1749" w:type="dxa"/>
            <w:tcBorders>
              <w:top w:val="nil"/>
              <w:left w:val="nil"/>
              <w:bottom w:val="single" w:color="auto" w:sz="4" w:space="0"/>
              <w:right w:val="single" w:color="auto" w:sz="4" w:space="0"/>
            </w:tcBorders>
            <w:shd w:val="clear" w:color="auto" w:fill="auto"/>
            <w:vAlign w:val="center"/>
          </w:tcPr>
          <w:p w14:paraId="77FF0294">
            <w:pPr>
              <w:widowControl/>
              <w:jc w:val="center"/>
              <w:rPr>
                <w:rFonts w:ascii="宋体" w:hAnsi="宋体" w:cs="宋体"/>
                <w:kern w:val="0"/>
                <w:sz w:val="22"/>
                <w:szCs w:val="22"/>
              </w:rPr>
            </w:pPr>
            <w:r>
              <w:rPr>
                <w:rFonts w:hint="eastAsia" w:ascii="宋体" w:hAnsi="宋体" w:cs="宋体"/>
                <w:kern w:val="0"/>
                <w:sz w:val="22"/>
                <w:szCs w:val="22"/>
              </w:rPr>
              <w:t xml:space="preserve">76.14 </w:t>
            </w:r>
          </w:p>
        </w:tc>
        <w:tc>
          <w:tcPr>
            <w:tcW w:w="4351" w:type="dxa"/>
            <w:tcBorders>
              <w:top w:val="nil"/>
              <w:left w:val="nil"/>
              <w:bottom w:val="single" w:color="auto" w:sz="4" w:space="0"/>
              <w:right w:val="single" w:color="auto" w:sz="4" w:space="0"/>
            </w:tcBorders>
            <w:shd w:val="clear" w:color="auto" w:fill="auto"/>
            <w:noWrap/>
            <w:vAlign w:val="center"/>
          </w:tcPr>
          <w:p w14:paraId="0BAD87D6">
            <w:pPr>
              <w:widowControl/>
              <w:jc w:val="center"/>
              <w:rPr>
                <w:rFonts w:ascii="宋体" w:hAnsi="宋体" w:cs="宋体"/>
                <w:kern w:val="0"/>
                <w:sz w:val="22"/>
                <w:szCs w:val="22"/>
              </w:rPr>
            </w:pPr>
            <w:r>
              <w:rPr>
                <w:rFonts w:hint="eastAsia" w:ascii="宋体" w:hAnsi="宋体" w:cs="宋体"/>
                <w:kern w:val="0"/>
                <w:sz w:val="22"/>
                <w:szCs w:val="22"/>
              </w:rPr>
              <w:t>闽（2023）连城县不动产权第0007439号</w:t>
            </w:r>
          </w:p>
        </w:tc>
        <w:tc>
          <w:tcPr>
            <w:tcW w:w="1212" w:type="dxa"/>
            <w:vMerge w:val="continue"/>
            <w:tcBorders>
              <w:top w:val="nil"/>
              <w:left w:val="single" w:color="auto" w:sz="4" w:space="0"/>
              <w:bottom w:val="single" w:color="000000" w:sz="4" w:space="0"/>
              <w:right w:val="single" w:color="auto" w:sz="4" w:space="0"/>
            </w:tcBorders>
            <w:vAlign w:val="center"/>
          </w:tcPr>
          <w:p w14:paraId="6A6AE746">
            <w:pPr>
              <w:widowControl/>
              <w:jc w:val="left"/>
              <w:rPr>
                <w:rFonts w:ascii="宋体" w:hAnsi="宋体" w:cs="宋体"/>
                <w:kern w:val="0"/>
                <w:sz w:val="22"/>
                <w:szCs w:val="22"/>
              </w:rPr>
            </w:pPr>
          </w:p>
        </w:tc>
      </w:tr>
      <w:tr w14:paraId="5C782E03">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683D179E">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1B517D15">
            <w:pPr>
              <w:widowControl/>
              <w:jc w:val="center"/>
              <w:rPr>
                <w:rFonts w:ascii="宋体" w:hAnsi="宋体" w:cs="宋体"/>
                <w:kern w:val="0"/>
                <w:sz w:val="22"/>
                <w:szCs w:val="22"/>
              </w:rPr>
            </w:pPr>
            <w:r>
              <w:rPr>
                <w:rFonts w:hint="eastAsia" w:ascii="宋体" w:hAnsi="宋体" w:cs="宋体"/>
                <w:kern w:val="0"/>
                <w:sz w:val="22"/>
                <w:szCs w:val="22"/>
              </w:rPr>
              <w:t>4-506</w:t>
            </w:r>
          </w:p>
        </w:tc>
        <w:tc>
          <w:tcPr>
            <w:tcW w:w="1749" w:type="dxa"/>
            <w:tcBorders>
              <w:top w:val="nil"/>
              <w:left w:val="nil"/>
              <w:bottom w:val="single" w:color="auto" w:sz="4" w:space="0"/>
              <w:right w:val="single" w:color="auto" w:sz="4" w:space="0"/>
            </w:tcBorders>
            <w:shd w:val="clear" w:color="auto" w:fill="auto"/>
            <w:vAlign w:val="center"/>
          </w:tcPr>
          <w:p w14:paraId="0A2C6C4C">
            <w:pPr>
              <w:widowControl/>
              <w:jc w:val="center"/>
              <w:rPr>
                <w:rFonts w:ascii="宋体" w:hAnsi="宋体" w:cs="宋体"/>
                <w:kern w:val="0"/>
                <w:sz w:val="22"/>
                <w:szCs w:val="22"/>
              </w:rPr>
            </w:pPr>
            <w:r>
              <w:rPr>
                <w:rFonts w:hint="eastAsia" w:ascii="宋体" w:hAnsi="宋体" w:cs="宋体"/>
                <w:kern w:val="0"/>
                <w:sz w:val="22"/>
                <w:szCs w:val="22"/>
              </w:rPr>
              <w:t xml:space="preserve">76.14 </w:t>
            </w:r>
          </w:p>
        </w:tc>
        <w:tc>
          <w:tcPr>
            <w:tcW w:w="4351" w:type="dxa"/>
            <w:tcBorders>
              <w:top w:val="nil"/>
              <w:left w:val="nil"/>
              <w:bottom w:val="single" w:color="auto" w:sz="4" w:space="0"/>
              <w:right w:val="single" w:color="auto" w:sz="4" w:space="0"/>
            </w:tcBorders>
            <w:shd w:val="clear" w:color="auto" w:fill="auto"/>
            <w:noWrap/>
            <w:vAlign w:val="center"/>
          </w:tcPr>
          <w:p w14:paraId="4CBA22B1">
            <w:pPr>
              <w:widowControl/>
              <w:jc w:val="center"/>
              <w:rPr>
                <w:rFonts w:ascii="宋体" w:hAnsi="宋体" w:cs="宋体"/>
                <w:kern w:val="0"/>
                <w:sz w:val="22"/>
                <w:szCs w:val="22"/>
              </w:rPr>
            </w:pPr>
            <w:r>
              <w:rPr>
                <w:rFonts w:hint="eastAsia" w:ascii="宋体" w:hAnsi="宋体" w:cs="宋体"/>
                <w:kern w:val="0"/>
                <w:sz w:val="22"/>
                <w:szCs w:val="22"/>
              </w:rPr>
              <w:t>闽（2023）连城县不动产权第0007438号</w:t>
            </w:r>
          </w:p>
        </w:tc>
        <w:tc>
          <w:tcPr>
            <w:tcW w:w="1212" w:type="dxa"/>
            <w:vMerge w:val="continue"/>
            <w:tcBorders>
              <w:top w:val="nil"/>
              <w:left w:val="single" w:color="auto" w:sz="4" w:space="0"/>
              <w:bottom w:val="single" w:color="000000" w:sz="4" w:space="0"/>
              <w:right w:val="single" w:color="auto" w:sz="4" w:space="0"/>
            </w:tcBorders>
            <w:vAlign w:val="center"/>
          </w:tcPr>
          <w:p w14:paraId="5A1A9F59">
            <w:pPr>
              <w:widowControl/>
              <w:jc w:val="left"/>
              <w:rPr>
                <w:rFonts w:ascii="宋体" w:hAnsi="宋体" w:cs="宋体"/>
                <w:kern w:val="0"/>
                <w:sz w:val="22"/>
                <w:szCs w:val="22"/>
              </w:rPr>
            </w:pPr>
          </w:p>
        </w:tc>
      </w:tr>
      <w:tr w14:paraId="0193F3FA">
        <w:tblPrEx>
          <w:tblCellMar>
            <w:top w:w="0" w:type="dxa"/>
            <w:left w:w="108" w:type="dxa"/>
            <w:bottom w:w="0" w:type="dxa"/>
            <w:right w:w="108" w:type="dxa"/>
          </w:tblCellMar>
        </w:tblPrEx>
        <w:trPr>
          <w:trHeight w:val="680" w:hRule="exact"/>
          <w:jc w:val="center"/>
        </w:trPr>
        <w:tc>
          <w:tcPr>
            <w:tcW w:w="700" w:type="dxa"/>
            <w:vMerge w:val="continue"/>
            <w:tcBorders>
              <w:top w:val="nil"/>
              <w:left w:val="single" w:color="auto" w:sz="4" w:space="0"/>
              <w:bottom w:val="single" w:color="auto" w:sz="4" w:space="0"/>
              <w:right w:val="single" w:color="auto" w:sz="4" w:space="0"/>
            </w:tcBorders>
            <w:vAlign w:val="center"/>
          </w:tcPr>
          <w:p w14:paraId="5CFFA39D">
            <w:pPr>
              <w:widowControl/>
              <w:jc w:val="left"/>
              <w:rPr>
                <w:rFonts w:ascii="宋体" w:hAnsi="宋体" w:cs="宋体"/>
                <w:color w:val="000000"/>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14:paraId="5F6DA10A">
            <w:pPr>
              <w:widowControl/>
              <w:jc w:val="center"/>
              <w:rPr>
                <w:rFonts w:ascii="宋体" w:hAnsi="宋体" w:cs="宋体"/>
                <w:kern w:val="0"/>
                <w:sz w:val="22"/>
                <w:szCs w:val="22"/>
              </w:rPr>
            </w:pPr>
            <w:r>
              <w:rPr>
                <w:rFonts w:hint="eastAsia" w:ascii="宋体" w:hAnsi="宋体" w:cs="宋体"/>
                <w:kern w:val="0"/>
                <w:sz w:val="22"/>
                <w:szCs w:val="22"/>
              </w:rPr>
              <w:t>4-507</w:t>
            </w:r>
          </w:p>
        </w:tc>
        <w:tc>
          <w:tcPr>
            <w:tcW w:w="1749" w:type="dxa"/>
            <w:tcBorders>
              <w:top w:val="nil"/>
              <w:left w:val="nil"/>
              <w:bottom w:val="single" w:color="auto" w:sz="4" w:space="0"/>
              <w:right w:val="single" w:color="auto" w:sz="4" w:space="0"/>
            </w:tcBorders>
            <w:shd w:val="clear" w:color="auto" w:fill="auto"/>
            <w:vAlign w:val="center"/>
          </w:tcPr>
          <w:p w14:paraId="6419CBCA">
            <w:pPr>
              <w:widowControl/>
              <w:jc w:val="center"/>
              <w:rPr>
                <w:rFonts w:ascii="宋体" w:hAnsi="宋体" w:cs="宋体"/>
                <w:kern w:val="0"/>
                <w:sz w:val="22"/>
                <w:szCs w:val="22"/>
              </w:rPr>
            </w:pPr>
            <w:r>
              <w:rPr>
                <w:rFonts w:hint="eastAsia" w:ascii="宋体" w:hAnsi="宋体" w:cs="宋体"/>
                <w:kern w:val="0"/>
                <w:sz w:val="22"/>
                <w:szCs w:val="22"/>
              </w:rPr>
              <w:t xml:space="preserve">105.51 </w:t>
            </w:r>
          </w:p>
        </w:tc>
        <w:tc>
          <w:tcPr>
            <w:tcW w:w="4351" w:type="dxa"/>
            <w:tcBorders>
              <w:top w:val="nil"/>
              <w:left w:val="nil"/>
              <w:bottom w:val="single" w:color="auto" w:sz="4" w:space="0"/>
              <w:right w:val="single" w:color="auto" w:sz="4" w:space="0"/>
            </w:tcBorders>
            <w:shd w:val="clear" w:color="auto" w:fill="auto"/>
            <w:noWrap/>
            <w:vAlign w:val="center"/>
          </w:tcPr>
          <w:p w14:paraId="5BC95190">
            <w:pPr>
              <w:widowControl/>
              <w:jc w:val="center"/>
              <w:rPr>
                <w:rFonts w:ascii="宋体" w:hAnsi="宋体" w:cs="宋体"/>
                <w:kern w:val="0"/>
                <w:sz w:val="22"/>
                <w:szCs w:val="22"/>
              </w:rPr>
            </w:pPr>
            <w:r>
              <w:rPr>
                <w:rFonts w:hint="eastAsia" w:ascii="宋体" w:hAnsi="宋体" w:cs="宋体"/>
                <w:kern w:val="0"/>
                <w:sz w:val="22"/>
                <w:szCs w:val="22"/>
              </w:rPr>
              <w:t>闽（2023）连城县不动产权第0007417号</w:t>
            </w:r>
          </w:p>
        </w:tc>
        <w:tc>
          <w:tcPr>
            <w:tcW w:w="1212" w:type="dxa"/>
            <w:vMerge w:val="continue"/>
            <w:tcBorders>
              <w:top w:val="nil"/>
              <w:left w:val="single" w:color="auto" w:sz="4" w:space="0"/>
              <w:bottom w:val="single" w:color="000000" w:sz="4" w:space="0"/>
              <w:right w:val="single" w:color="auto" w:sz="4" w:space="0"/>
            </w:tcBorders>
            <w:vAlign w:val="center"/>
          </w:tcPr>
          <w:p w14:paraId="4742C8DC">
            <w:pPr>
              <w:widowControl/>
              <w:jc w:val="left"/>
              <w:rPr>
                <w:rFonts w:ascii="宋体" w:hAnsi="宋体" w:cs="宋体"/>
                <w:kern w:val="0"/>
                <w:sz w:val="22"/>
                <w:szCs w:val="22"/>
              </w:rPr>
            </w:pPr>
          </w:p>
        </w:tc>
      </w:tr>
    </w:tbl>
    <w:p w14:paraId="56D1847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三、竞买资格：</w:t>
      </w:r>
    </w:p>
    <w:p w14:paraId="4A5AD5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凡遵守中华人民共和国法律、法规、具有独立法人资格的国内外企业、组织和具有完全民事行为能力的自然人（法律法规另有规定的除外）。竞买人为自然人的应符合标的物所在地的现行购房政策包括但不限于房产所在地政府颁布的“限购令”等规定。</w:t>
      </w:r>
      <w:r>
        <w:rPr>
          <w:rFonts w:hint="eastAsia" w:ascii="宋体" w:hAnsi="宋体" w:cs="宋体"/>
          <w:b/>
          <w:bCs/>
          <w:sz w:val="24"/>
          <w:u w:val="single"/>
        </w:rPr>
        <w:t>不符合条件参加竞买的，竞买人自行承担相应的法律责任。</w:t>
      </w:r>
    </w:p>
    <w:p w14:paraId="5D540298">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4"/>
        </w:rPr>
      </w:pPr>
      <w:r>
        <w:rPr>
          <w:rFonts w:hint="eastAsia" w:ascii="宋体" w:hAnsi="宋体" w:cs="宋体"/>
          <w:sz w:val="24"/>
        </w:rPr>
        <w:t>2、参加竞买者应提交以下有效证件申请办理竞买登记手续。</w:t>
      </w:r>
    </w:p>
    <w:p w14:paraId="6167A71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4"/>
        </w:rPr>
      </w:pPr>
      <w:r>
        <w:rPr>
          <w:rFonts w:hint="eastAsia" w:ascii="宋体" w:hAnsi="宋体" w:cs="宋体"/>
          <w:sz w:val="24"/>
        </w:rPr>
        <w:t>①企业法人应提供企业法人有效营业执照、法定代表人身份证明书、法定代表人身份证、授权委托书（复印件应盖公章）；</w:t>
      </w:r>
    </w:p>
    <w:p w14:paraId="3A771932">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4"/>
        </w:rPr>
      </w:pPr>
      <w:r>
        <w:rPr>
          <w:rFonts w:hint="eastAsia" w:ascii="宋体" w:hAnsi="宋体" w:cs="宋体"/>
          <w:sz w:val="24"/>
        </w:rPr>
        <w:t>②自然人应提供居民身份证或护照等身份证明。</w:t>
      </w:r>
    </w:p>
    <w:p w14:paraId="0E5DAA40">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4"/>
        </w:rPr>
      </w:pPr>
      <w:r>
        <w:rPr>
          <w:rFonts w:hint="eastAsia" w:ascii="宋体" w:hAnsi="宋体" w:cs="宋体"/>
          <w:sz w:val="24"/>
        </w:rPr>
        <w:t>③如法定代表人及自然人无法亲自参加竞拍的，应提供授权委托书和委托代理人的身份证明。</w:t>
      </w:r>
    </w:p>
    <w:p w14:paraId="7D508C8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3、竞买资格（及限制性条件）认定由竞买人自行审查,因此产生的无法受领标的及其它一切后果由竞买人自行负责，委托人及拍卖人不承担任何法律、经济等责任。</w:t>
      </w:r>
    </w:p>
    <w:p w14:paraId="74FF68B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四、报名及竞买保证金：</w:t>
      </w:r>
    </w:p>
    <w:p w14:paraId="054658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1、符合前述条件的竞买人，应于2025年7月14日17时前将相应竞买保证金存入拍卖公司指定账户（以到账时间为准），</w:t>
      </w:r>
      <w:r>
        <w:rPr>
          <w:rFonts w:ascii="宋体" w:hAnsi="宋体" w:cs="宋体"/>
          <w:sz w:val="24"/>
        </w:rPr>
        <w:t>并携带保证金缴款凭证及相关身份证明文件与拍卖公司办理竞价登记手续，签署相关竞价文件，无法及时到场签署竞价文件的应提前征得拍卖人同意</w:t>
      </w:r>
      <w:r>
        <w:rPr>
          <w:rFonts w:hint="eastAsia" w:ascii="宋体" w:hAnsi="宋体" w:cs="宋体"/>
          <w:sz w:val="24"/>
        </w:rPr>
        <w:t>。</w:t>
      </w:r>
    </w:p>
    <w:p w14:paraId="1B5D23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2、未竞得标的的竞买人，其竞买保证金于拍卖会结束之日起十个工作日内无息退还至缴款人本人账户。</w:t>
      </w:r>
    </w:p>
    <w:p w14:paraId="745673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3、买受人的竞买保证金直接抵作拍卖佣金（含交易服务费，下同），如有剩余，由拍卖人直接将剩余部分转付给委托人用于抵作部分成交款，如不足抵扣拍卖佣金的，买受人应在拍卖成交日起二日内补足付清。</w:t>
      </w:r>
    </w:p>
    <w:p w14:paraId="027A99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宋体"/>
          <w:sz w:val="24"/>
        </w:rPr>
        <w:t>4、</w:t>
      </w:r>
      <w:r>
        <w:rPr>
          <w:rFonts w:hint="eastAsia" w:ascii="宋体" w:hAnsi="宋体"/>
          <w:sz w:val="24"/>
        </w:rPr>
        <w:t>相同保证金的标的，竞买人都可参与竞买，竞买人可缴纳多份保证金，但一份保证金只能成交一个标的。</w:t>
      </w:r>
    </w:p>
    <w:p w14:paraId="4FF84B6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sz w:val="24"/>
        </w:rPr>
        <w:t>五、竞买保证金、拍卖佣金及拍卖成交款的交付账户：</w:t>
      </w:r>
    </w:p>
    <w:p w14:paraId="64F2FA5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hint="eastAsia" w:ascii="宋体" w:hAnsi="宋体" w:cs="宋体"/>
          <w:sz w:val="24"/>
        </w:rPr>
        <w:t>1、竞买人的竞买保证金、拍卖佣金及拍卖成交款存入拍卖公司指定的银行帐户（</w:t>
      </w:r>
      <w:r>
        <w:rPr>
          <w:rFonts w:hint="eastAsia" w:ascii="宋体" w:hAnsi="宋体" w:cs="宋体"/>
          <w:b/>
          <w:sz w:val="24"/>
        </w:rPr>
        <w:t>户名：连城县国有资产产权交易服务有限公司，开户行：农业银行连城县支行，账号： 1377 0101 0400 18263</w:t>
      </w:r>
      <w:r>
        <w:rPr>
          <w:rFonts w:hint="eastAsia" w:ascii="宋体" w:hAnsi="宋体" w:cs="宋体"/>
          <w:sz w:val="24"/>
        </w:rPr>
        <w:t>），竞买保证金缴至以上账户时，交款单中“款项来源”或“用途”一栏内须填写“****人的竞买保证金”。</w:t>
      </w:r>
    </w:p>
    <w:p w14:paraId="2CD132B9">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hint="eastAsia" w:ascii="宋体" w:hAnsi="宋体" w:cs="宋体"/>
          <w:sz w:val="24"/>
        </w:rPr>
        <w:t>2、竞买人必须从本人（单位）的银行账户采用转账、电汇、网上汇款等方式汇入指定账户，或直接在银行现金缴款到指定账户，不得以他人名义代缴，不接受ATM自助转账、微信、支付宝等方式，否则拍卖人可以视其缴交竞买保证金行为无效。</w:t>
      </w:r>
    </w:p>
    <w:p w14:paraId="02279DD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六、拍卖规则：</w:t>
      </w:r>
    </w:p>
    <w:p w14:paraId="5A3A1AD9">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sz w:val="24"/>
        </w:rPr>
      </w:pPr>
      <w:r>
        <w:rPr>
          <w:rFonts w:ascii="宋体" w:hAnsi="宋体" w:cs="宋体"/>
          <w:sz w:val="24"/>
        </w:rPr>
        <w:t>1、</w:t>
      </w:r>
      <w:r>
        <w:rPr>
          <w:rFonts w:hint="eastAsia" w:ascii="宋体" w:hAnsi="宋体" w:cs="宋体"/>
          <w:sz w:val="24"/>
        </w:rPr>
        <w:t>经拍卖人办理登记手续后，竞买人应于拍卖会开始前20分钟凭《竞买协议书》领取竞价号牌入场参加拍卖会，每个号牌允许进场2人，其他人员未经本公司允许，不得进入会场。</w:t>
      </w:r>
    </w:p>
    <w:p w14:paraId="57261A3A">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2、</w:t>
      </w:r>
      <w:r>
        <w:rPr>
          <w:rFonts w:hint="eastAsia" w:ascii="宋体" w:hAnsi="宋体" w:cs="宋体"/>
          <w:sz w:val="24"/>
        </w:rPr>
        <w:t>竞买人</w:t>
      </w:r>
      <w:r>
        <w:rPr>
          <w:rFonts w:ascii="宋体" w:hAnsi="宋体" w:cs="宋体"/>
          <w:sz w:val="24"/>
        </w:rPr>
        <w:t>应妥善保管号牌，凭号牌参与竞价，举牌报价，号牌为</w:t>
      </w:r>
      <w:r>
        <w:rPr>
          <w:rFonts w:hint="eastAsia" w:ascii="宋体" w:hAnsi="宋体" w:cs="宋体"/>
          <w:sz w:val="24"/>
        </w:rPr>
        <w:t>竞买人</w:t>
      </w:r>
      <w:r>
        <w:rPr>
          <w:rFonts w:ascii="宋体" w:hAnsi="宋体" w:cs="宋体"/>
          <w:sz w:val="24"/>
        </w:rPr>
        <w:t>参加拍卖会的唯一合法身份，所有以该牌的报价行为均视为</w:t>
      </w:r>
      <w:r>
        <w:rPr>
          <w:rFonts w:hint="eastAsia" w:ascii="宋体" w:hAnsi="宋体" w:cs="宋体"/>
          <w:sz w:val="24"/>
        </w:rPr>
        <w:t>竞买人</w:t>
      </w:r>
      <w:r>
        <w:rPr>
          <w:rFonts w:ascii="宋体" w:hAnsi="宋体" w:cs="宋体"/>
          <w:sz w:val="24"/>
        </w:rPr>
        <w:t>本人真实意愿的表示。如丢失或被他人盗用，</w:t>
      </w:r>
      <w:r>
        <w:rPr>
          <w:rFonts w:hint="eastAsia" w:ascii="宋体" w:hAnsi="宋体" w:cs="宋体"/>
          <w:sz w:val="24"/>
        </w:rPr>
        <w:t>竞买人</w:t>
      </w:r>
      <w:r>
        <w:rPr>
          <w:rFonts w:ascii="宋体" w:hAnsi="宋体" w:cs="宋体"/>
          <w:sz w:val="24"/>
        </w:rPr>
        <w:t>在拍卖前需以书面形式通知拍卖人声明作废，否则一切后果由</w:t>
      </w:r>
      <w:r>
        <w:rPr>
          <w:rFonts w:hint="eastAsia" w:ascii="宋体" w:hAnsi="宋体" w:cs="宋体"/>
          <w:sz w:val="24"/>
        </w:rPr>
        <w:t>竞买人</w:t>
      </w:r>
      <w:r>
        <w:rPr>
          <w:rFonts w:ascii="宋体" w:hAnsi="宋体" w:cs="宋体"/>
          <w:sz w:val="24"/>
        </w:rPr>
        <w:t>负责。</w:t>
      </w:r>
    </w:p>
    <w:p w14:paraId="5E756EE9">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3、本次拍卖会采取</w:t>
      </w:r>
      <w:r>
        <w:rPr>
          <w:rFonts w:ascii="宋体" w:hAnsi="宋体" w:cs="宋体"/>
          <w:bCs/>
          <w:sz w:val="24"/>
        </w:rPr>
        <w:t>有设保留价</w:t>
      </w:r>
      <w:r>
        <w:rPr>
          <w:rFonts w:ascii="宋体" w:hAnsi="宋体" w:cs="宋体"/>
          <w:sz w:val="24"/>
        </w:rPr>
        <w:t>的增价拍卖方式，以增价方式进行拍卖时，先由拍卖师报出起拍价后，</w:t>
      </w:r>
      <w:r>
        <w:rPr>
          <w:rFonts w:hint="eastAsia" w:ascii="宋体" w:hAnsi="宋体" w:cs="宋体"/>
          <w:sz w:val="24"/>
        </w:rPr>
        <w:t>竞买人</w:t>
      </w:r>
      <w:r>
        <w:rPr>
          <w:rFonts w:ascii="宋体" w:hAnsi="宋体" w:cs="宋体"/>
          <w:sz w:val="24"/>
        </w:rPr>
        <w:t>按拍卖师宣布的加价幅度（或其自然倍数）加价竞价，至无人继续加价后，拍卖师连续报价三次且最后应价达到或超过保留价，拍卖师击槌表示成交（低于保留价不成交）。</w:t>
      </w:r>
    </w:p>
    <w:p w14:paraId="664670A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4、拍卖成交后，竞得人须于拍卖成交当场签订《拍卖成交确认书》</w:t>
      </w:r>
      <w:r>
        <w:rPr>
          <w:rFonts w:hint="eastAsia" w:ascii="宋体" w:hAnsi="宋体" w:cs="宋体"/>
          <w:sz w:val="24"/>
        </w:rPr>
        <w:t>、</w:t>
      </w:r>
      <w:r>
        <w:rPr>
          <w:rFonts w:ascii="宋体" w:hAnsi="宋体" w:cs="宋体"/>
          <w:sz w:val="24"/>
        </w:rPr>
        <w:t>《拍卖笔录》</w:t>
      </w:r>
      <w:r>
        <w:rPr>
          <w:rFonts w:hint="eastAsia" w:ascii="宋体" w:hAnsi="宋体" w:cs="宋体"/>
          <w:sz w:val="24"/>
        </w:rPr>
        <w:t>及</w:t>
      </w:r>
      <w:r>
        <w:rPr>
          <w:rFonts w:hint="eastAsia" w:ascii="宋体" w:hAnsi="宋体"/>
          <w:sz w:val="24"/>
        </w:rPr>
        <w:t>《转让合同》</w:t>
      </w:r>
      <w:r>
        <w:rPr>
          <w:rFonts w:ascii="宋体" w:hAnsi="宋体" w:cs="宋体"/>
          <w:sz w:val="24"/>
        </w:rPr>
        <w:t>，并不得变更竞得人的名字。代理人</w:t>
      </w:r>
      <w:r>
        <w:rPr>
          <w:rFonts w:hint="eastAsia" w:ascii="宋体" w:hAnsi="宋体" w:cs="宋体"/>
          <w:sz w:val="24"/>
        </w:rPr>
        <w:t>参加竞拍的，应先签上代理人名字，并</w:t>
      </w:r>
      <w:r>
        <w:rPr>
          <w:rFonts w:ascii="宋体" w:hAnsi="宋体" w:cs="宋体"/>
          <w:sz w:val="24"/>
        </w:rPr>
        <w:t>在拍卖成交之日起一个工作日内加盖公章，如超过时限，</w:t>
      </w:r>
      <w:r>
        <w:rPr>
          <w:rFonts w:hint="eastAsia" w:ascii="宋体" w:hAnsi="宋体" w:cs="宋体"/>
          <w:sz w:val="24"/>
        </w:rPr>
        <w:t>按违约处理，</w:t>
      </w:r>
      <w:r>
        <w:rPr>
          <w:rFonts w:ascii="宋体" w:hAnsi="宋体" w:cs="宋体"/>
          <w:sz w:val="24"/>
        </w:rPr>
        <w:t>代理人与委托</w:t>
      </w:r>
      <w:r>
        <w:rPr>
          <w:rFonts w:hint="eastAsia" w:ascii="宋体" w:hAnsi="宋体" w:cs="宋体"/>
          <w:sz w:val="24"/>
        </w:rPr>
        <w:t>竞买人</w:t>
      </w:r>
      <w:r>
        <w:rPr>
          <w:rFonts w:ascii="宋体" w:hAnsi="宋体" w:cs="宋体"/>
          <w:sz w:val="24"/>
        </w:rPr>
        <w:t>承担连带责任。</w:t>
      </w:r>
    </w:p>
    <w:p w14:paraId="5A2CAFD2">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5、竞得人无论以何种方式支付拍卖成交价款，都必须按规定成交款存入指定帐户，并得到确认后，方能领取成交确认书并办理拍品的过户或移交手续。</w:t>
      </w:r>
    </w:p>
    <w:p w14:paraId="38AEF38E">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6、竞买登记时</w:t>
      </w:r>
      <w:r>
        <w:rPr>
          <w:rFonts w:hint="eastAsia" w:ascii="宋体" w:hAnsi="宋体" w:cs="宋体"/>
          <w:sz w:val="24"/>
        </w:rPr>
        <w:t>竞买人</w:t>
      </w:r>
      <w:r>
        <w:rPr>
          <w:rFonts w:ascii="宋体" w:hAnsi="宋体" w:cs="宋体"/>
          <w:sz w:val="24"/>
        </w:rPr>
        <w:t>应保证提供真实有效的身份证明及其他相关材料，确保竞价保证金已缴纳到拍卖人指定账户，并自行履行审查义务，如上述证明材料存在虚假或竞价保证金未到拍卖人指定账户，将被取消竞价资格同时视作</w:t>
      </w:r>
      <w:r>
        <w:rPr>
          <w:rFonts w:hint="eastAsia" w:ascii="宋体" w:hAnsi="宋体" w:cs="宋体"/>
          <w:sz w:val="24"/>
        </w:rPr>
        <w:t>竞买人</w:t>
      </w:r>
      <w:r>
        <w:rPr>
          <w:rFonts w:ascii="宋体" w:hAnsi="宋体" w:cs="宋体"/>
          <w:sz w:val="24"/>
        </w:rPr>
        <w:t>为恶意竞价行为，拍卖公司有权追究其相关的法律责任，如造成损失的，应承担相应的赔偿责任。</w:t>
      </w:r>
    </w:p>
    <w:p w14:paraId="4CABEEA7">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7、拍卖师有权根据现场状况变更拍卖方式及调整加价幅度。</w:t>
      </w:r>
    </w:p>
    <w:p w14:paraId="6166587A">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8、拍卖的起拍价、成交价中均未含拍卖成交后竞得人应支付的佣金</w:t>
      </w:r>
      <w:r>
        <w:rPr>
          <w:rFonts w:hint="eastAsia" w:ascii="宋体" w:hAnsi="宋体" w:cs="宋体"/>
          <w:sz w:val="24"/>
        </w:rPr>
        <w:t>。</w:t>
      </w:r>
    </w:p>
    <w:p w14:paraId="3BAC3E64">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9、</w:t>
      </w:r>
      <w:r>
        <w:rPr>
          <w:rFonts w:hint="eastAsia" w:ascii="宋体" w:hAnsi="宋体" w:cs="宋体"/>
          <w:sz w:val="24"/>
        </w:rPr>
        <w:t>竞买人</w:t>
      </w:r>
      <w:r>
        <w:rPr>
          <w:rFonts w:ascii="宋体" w:hAnsi="宋体" w:cs="宋体"/>
          <w:sz w:val="24"/>
        </w:rPr>
        <w:t>一经参与竞价，即视为其已经完全接受并知悉标的的所有风险、瑕疵，表明是</w:t>
      </w:r>
      <w:r>
        <w:rPr>
          <w:rFonts w:hint="eastAsia" w:ascii="宋体" w:hAnsi="宋体" w:cs="宋体"/>
          <w:sz w:val="24"/>
        </w:rPr>
        <w:t>竞买人</w:t>
      </w:r>
      <w:r>
        <w:rPr>
          <w:rFonts w:ascii="宋体" w:hAnsi="宋体" w:cs="宋体"/>
          <w:sz w:val="24"/>
        </w:rPr>
        <w:t>在独立判断标的事实、法律上的有效性和商业价值后的自主交易，其愿意独自承担因其判断失误而可能遭受的一切损失或风险。</w:t>
      </w:r>
    </w:p>
    <w:p w14:paraId="645BE9D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10、拍卖师的决定权：①、拍卖师有权根据委托人的要求或根据实际情况，现场宣布对标的重新制定起拍价等事项；②、拍卖师有权代表拍卖人拒绝任何无效报价，倘若现场出现争议，拍卖师有权宣布标的重新拍卖。</w:t>
      </w:r>
    </w:p>
    <w:p w14:paraId="0A5F60C6">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11、拍卖规则的修改：拍卖人可以通过在拍卖会现场张贴公告或者通过拍卖师在拍卖会上宣布的方式，对本拍卖规则进行修改。</w:t>
      </w:r>
    </w:p>
    <w:p w14:paraId="48EF35F7">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12、拍卖会宣布和使用的价款均以人民币为单位。</w:t>
      </w:r>
    </w:p>
    <w:p w14:paraId="4C11BA0E">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ascii="宋体" w:hAnsi="宋体" w:cs="宋体"/>
          <w:sz w:val="24"/>
        </w:rPr>
        <w:t>13</w:t>
      </w:r>
      <w:r>
        <w:rPr>
          <w:rFonts w:hint="eastAsia" w:ascii="宋体" w:hAnsi="宋体" w:cs="宋体"/>
          <w:sz w:val="24"/>
        </w:rPr>
        <w:t>、竞买人必须遵守拍卖现场的公共秩序，必须在自己的意向内参与竞价，不得参与自己未交纳相应竞价保证金的标的竞价，不得阻扰其他竞买人的竞价，不得阻扰拍卖师进行正常的拍卖工作，不得有恶意串通、操纵、垄断等违法行为，一经发现，拍卖师有权取消其竞价或成交资格，并追究其法律责任。</w:t>
      </w:r>
    </w:p>
    <w:p w14:paraId="38928B9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sz w:val="24"/>
        </w:rPr>
      </w:pPr>
      <w:r>
        <w:rPr>
          <w:rFonts w:hint="eastAsia" w:ascii="宋体" w:hAnsi="宋体" w:cs="宋体"/>
          <w:b/>
          <w:bCs/>
          <w:sz w:val="24"/>
        </w:rPr>
        <w:t>七、税费及拍卖佣金：</w:t>
      </w:r>
    </w:p>
    <w:p w14:paraId="6595E4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拍品办理产权转移登记过程中所需的所有税收及费用（包括不限于：增值税、所得税、土地增值税、契税、交易费、不动产权登记费等）按国家法律、法规、条文的规定由买卖双方各自承担，无明确规定的由买方承担。公共维修资金、预存水费、工本费由买受人承担，由委托人代收、代缴，</w:t>
      </w:r>
      <w:r>
        <w:rPr>
          <w:rFonts w:hint="eastAsia" w:ascii="宋体" w:hAnsi="宋体" w:cs="宋体"/>
          <w:sz w:val="24"/>
          <w:lang w:eastAsia="zh-CN"/>
        </w:rPr>
        <w:t>该费用在签订商品房买卖合同时付清</w:t>
      </w:r>
      <w:r>
        <w:rPr>
          <w:rFonts w:hint="eastAsia" w:ascii="宋体" w:hAnsi="宋体" w:cs="宋体"/>
          <w:sz w:val="24"/>
        </w:rPr>
        <w:t>，否则视为竞买人违约。</w:t>
      </w:r>
    </w:p>
    <w:p w14:paraId="6E6524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2、竞买人自行承担参加拍卖会有关的全部费用（包括但不限于差旅费、邮寄费、资料费用、财务费用等）。</w:t>
      </w:r>
    </w:p>
    <w:p w14:paraId="0849FD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拍卖成交后，买受人除支付成交价外，须另向拍卖人支付成交价的1%作为拍卖佣金。以上约定拍卖佣金应在成交之日起2日内付清（可以从竞买保证金中直接扣取），拍卖佣金未按期付清的，视成交人根本性违约，竞买保证金不予退回，买受人无权领取标的物，同时拍卖人可以向买受人追缴该拍卖佣金。</w:t>
      </w:r>
    </w:p>
    <w:p w14:paraId="2EBE19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color w:val="FF0000"/>
          <w:sz w:val="24"/>
        </w:rPr>
      </w:pPr>
      <w:r>
        <w:rPr>
          <w:rFonts w:hint="eastAsia" w:ascii="宋体" w:hAnsi="宋体" w:cs="宋体"/>
          <w:color w:val="FF0000"/>
          <w:sz w:val="24"/>
        </w:rPr>
        <w:t>4、公共资源交易中心交易服务费：拍卖成交后2日内每个标的的买受人应向龙岩市公共资源交易中心连城分中心支付交易服务费1000元，买受人凭缴费凭证与拍卖人办理拍卖成交手续。</w:t>
      </w:r>
    </w:p>
    <w:p w14:paraId="2B6AE3C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八、付款方式：</w:t>
      </w:r>
    </w:p>
    <w:p w14:paraId="71D6CC76">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hint="eastAsia" w:ascii="宋体" w:hAnsi="宋体" w:cs="宋体"/>
          <w:sz w:val="24"/>
        </w:rPr>
        <w:t>1、拍卖成交后，保证金扣除拍卖佣金后转为部分成交款，</w:t>
      </w:r>
      <w:bookmarkStart w:id="2" w:name="_GoBack"/>
      <w:bookmarkEnd w:id="2"/>
      <w:r>
        <w:rPr>
          <w:rFonts w:hint="eastAsia" w:ascii="宋体" w:hAnsi="宋体" w:cs="宋体"/>
          <w:sz w:val="24"/>
        </w:rPr>
        <w:t>买受人应在成交之日起30日内支付至总成交价款的95%；在成交之日起60日内付清剩余5%的成交价款。全款到位后，委托人向买受人出具成交房产对应的成交价清单。</w:t>
      </w:r>
    </w:p>
    <w:p w14:paraId="13C30F25">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cs="宋体"/>
          <w:sz w:val="24"/>
        </w:rPr>
      </w:pPr>
      <w:r>
        <w:rPr>
          <w:rFonts w:hint="eastAsia" w:ascii="宋体" w:hAnsi="宋体" w:cs="宋体"/>
          <w:sz w:val="24"/>
        </w:rPr>
        <w:t>2、若买受人以书面形式提出申请，要求将产权登记至其指定的第三人名下的，</w:t>
      </w:r>
      <w:bookmarkStart w:id="0" w:name="OLE_LINK6"/>
      <w:bookmarkStart w:id="1" w:name="OLE_LINK5"/>
      <w:r>
        <w:rPr>
          <w:rFonts w:hint="eastAsia" w:ascii="宋体" w:hAnsi="宋体" w:cs="宋体"/>
          <w:sz w:val="24"/>
        </w:rPr>
        <w:t>委托人予以配合办理</w:t>
      </w:r>
      <w:bookmarkEnd w:id="0"/>
      <w:bookmarkEnd w:id="1"/>
      <w:r>
        <w:rPr>
          <w:rFonts w:hint="eastAsia" w:ascii="宋体" w:hAnsi="宋体" w:cs="宋体"/>
          <w:sz w:val="24"/>
        </w:rPr>
        <w:t>产权登记相关事宜。若买受人指定的第三人另行付清房产成交款项的，在产权登记手续办理完毕后15个工作日内，委托人将买受人已交付的该套房产的成交价款，全额无息退还至买受人于书面申请中指定的银行账户。</w:t>
      </w:r>
    </w:p>
    <w:p w14:paraId="40AD42C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九、标的移交：</w:t>
      </w:r>
    </w:p>
    <w:p w14:paraId="5E350D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1、实物移交：转让标的按现状移交，买受人在约定时间内付清全部成交价款及约定款项，并在接到委托人书面通知后5个工作日内与委托人办理标的的实物移交手续。</w:t>
      </w:r>
    </w:p>
    <w:p w14:paraId="7937494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2、产权过户手续：买受人应当在成交之日起三个月内，完成办理拍卖标的的不动产权转移登记手续（买受人可书面申请将产权登记至其指定的第三人名下）；买受人或其指定的第三人应及时办理转让标的的不动产权转移登记手续。实物移交之后以及产权转移登记手续办理期间，因转让标的毁损、灭失等产生的风险由买受人承担。若买受人或其指定第三人逾期不办理的，可按违约处理，买受人应支付由此产生的所有费用，并承担本标的物可能发生的损毁、灭失等一切后果。</w:t>
      </w:r>
    </w:p>
    <w:p w14:paraId="7B5005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拍卖房产目前登记在福建连城国有投资集团有限公司名下，土地性质为：出让/安置房，用途：城镇住宅用地/成套住宅，国有建设用地使用权至：2092年9月13日止。拍卖成交仅代表受让权利的确认，产权变更手续将在拍卖结束后依法办理。</w:t>
      </w:r>
    </w:p>
    <w:p w14:paraId="21B41D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4、转让标的从移交之日起发生的所有安全、经济、法律责任都由买受人承担，标的风险也随之转移给买受人，标的移交之日起产生的所有相关税收及费用（包括但不限于:水电、物业、土地使用税、房产税等）都由买受人承担。</w:t>
      </w:r>
    </w:p>
    <w:p w14:paraId="29C067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、移交前的物业水电费由委托人承担，委托人发出交房通知5日后，无论买受人是否前来办理移交手续，均视为委托人已移交标的。</w:t>
      </w:r>
    </w:p>
    <w:p w14:paraId="73498F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、水、电表的过户或开户工作由乙方自行办理并承担相应费用。</w:t>
      </w:r>
    </w:p>
    <w:p w14:paraId="7A887A0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十、违约责任：</w:t>
      </w:r>
    </w:p>
    <w:p w14:paraId="333642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1、拍卖成交后，买受人倘若出现如下情形（包括但不限于任一、部分或全部），都将构成根本性违约，拍卖人有权根据《拍卖法》及其它相关法规之规定追究违约方的责任, 买受人已支付竞买保证金及应委托人要求支付的款项不予退还，依次用于支付因拍卖产生的拍卖佣金损失、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1B537A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1.1买受人未按规定期限及时足额支付拍卖佣金、成交价款以及其它约定款项。</w:t>
      </w:r>
    </w:p>
    <w:p w14:paraId="0BDA22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1.2拍卖成交后，买受人未在规定时间内签署《拍卖成交确认书》、《拍卖笔录》、《转让合同》以及其他拍卖成交文件。</w:t>
      </w:r>
    </w:p>
    <w:p w14:paraId="506A29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1.3拍卖成交后，买受人拒收有关文件、函件，或怠于办理标的移交手续等。</w:t>
      </w:r>
    </w:p>
    <w:p w14:paraId="271849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1.4违反本竞买须知及拍卖规则约定的其他行为的。</w:t>
      </w:r>
    </w:p>
    <w:p w14:paraId="06D27A3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十一、特别约定和相关瑕疵：</w:t>
      </w:r>
    </w:p>
    <w:p w14:paraId="7D682D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1、本须知所述拍卖佣金均包含产权交易服务费。</w:t>
      </w:r>
    </w:p>
    <w:p w14:paraId="349A1A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b/>
          <w:bCs/>
          <w:sz w:val="24"/>
        </w:rPr>
      </w:pPr>
      <w:r>
        <w:rPr>
          <w:rFonts w:hint="eastAsia" w:ascii="宋体" w:hAnsi="宋体" w:cs="宋体"/>
          <w:sz w:val="24"/>
        </w:rPr>
        <w:t>2、拍卖标的买受人即为拍卖标的受让方。</w:t>
      </w:r>
    </w:p>
    <w:p w14:paraId="05CA5A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3、本次拍卖标的仅以现状拍卖，委托人、拍卖人所作的关于本次拍卖标的的介绍及有关材料仅供竞买人参考，不构成对标的物的任何保证或承诺，</w:t>
      </w:r>
      <w:r>
        <w:rPr>
          <w:rFonts w:hint="eastAsia" w:ascii="宋体" w:hAnsi="宋体" w:cs="宋体"/>
          <w:b/>
          <w:bCs/>
          <w:sz w:val="24"/>
          <w:u w:val="single"/>
        </w:rPr>
        <w:t>委托人、拍卖人对拍卖标的名称、单位、规格、数量、质量、面积、年限、结构、方位、配套设施、产权情况等拍卖标的的瑕疵不承担担保责任。</w:t>
      </w:r>
      <w:r>
        <w:rPr>
          <w:rFonts w:hint="eastAsia" w:ascii="宋体" w:hAnsi="宋体" w:cs="宋体"/>
          <w:sz w:val="24"/>
        </w:rPr>
        <w:t>本次拍卖标的以现场实物为准，如介绍的建筑面积、用地面积、使用年限与实际有差异，或者介绍的其它情况与实际不符的，拍卖成交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14:paraId="0E5A1E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4、竞买人参加拍卖会说明在标的物展示期间已看样并充分了解认可标的产权、相关费用、办理变更手续和瑕疵状况等与标的物相关的一切情况，同时对标的存在或可能存在的瑕疵表示认可，并承诺因存在或可能存在的瑕疵造成的风险由本人承担。</w:t>
      </w:r>
    </w:p>
    <w:p w14:paraId="02924B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5、本次拍卖的房产均为毛坯房，具体以现场看样为准。本次拍卖的所有标的以套（个）为单位进行，拍品资料提供的面积仅供参考，具体以政府有权部门确定的为准，面积增减不调整成交价及拍卖佣金。</w:t>
      </w:r>
    </w:p>
    <w:p w14:paraId="018A3B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6、标的从移交之日起发生的所有安全、经济、法律责任都由买受人承担，标的风险也随之转移给买受人，标的移交之日起产生的所有相关费用（包括但不限于:水电、物业、有线电视等）都由买受人承担。</w:t>
      </w:r>
    </w:p>
    <w:p w14:paraId="39C0D5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7、对因委托人未尽瑕疵告知义务或非因拍卖人的原因造成拍卖标的不能及时移交或无法过户而导致解除合同或合同无效的，拍卖人不承担任何责任,拍卖佣金不予退回。拍卖成交即视为拍卖人对买受人的拍卖合同义务履行完毕。</w:t>
      </w:r>
    </w:p>
    <w:p w14:paraId="3602B9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8、若因标的物所在地房地产政策变化(因买受人原因无法过户除外)造成无法正常办理不动产权利转移登记至买受人名下的，买受人同意委托人及拍卖人仅负责全额无息退还拍卖成交款及拍卖佣金，无需赔偿买受人任何损失及费用，并不再追究委托人及拍卖人其他任何经济和法律责任。</w:t>
      </w:r>
    </w:p>
    <w:p w14:paraId="288ADC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9、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14:paraId="0BE5BF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10、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14:paraId="67BA9C2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cs="宋体"/>
          <w:b/>
          <w:bCs/>
          <w:sz w:val="24"/>
        </w:rPr>
      </w:pPr>
      <w:r>
        <w:rPr>
          <w:rFonts w:hint="eastAsia" w:ascii="宋体" w:hAnsi="宋体" w:cs="宋体"/>
          <w:b/>
          <w:bCs/>
          <w:sz w:val="24"/>
        </w:rPr>
        <w:t>十二、拍卖标的重要文件：</w:t>
      </w:r>
    </w:p>
    <w:p w14:paraId="4AE87C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上述拍卖标的现有相关文件、拍卖材料复印件（已提供查阅）有：1、产权证复印件2、《转让合同》样本</w:t>
      </w:r>
      <w:r>
        <w:rPr>
          <w:rFonts w:hint="eastAsia" w:ascii="宋体" w:hAnsi="宋体" w:cs="宋体"/>
          <w:color w:val="auto"/>
          <w:sz w:val="24"/>
          <w:highlight w:val="none"/>
          <w:lang w:val="en-US" w:eastAsia="zh-CN"/>
        </w:rPr>
        <w:t>3、《竞买协议书》</w:t>
      </w:r>
    </w:p>
    <w:p w14:paraId="721E6B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拍卖一旦成交，买受人即成为上述《转让合同》的乙方，受该合同的约束。郑重提示各位竟买人认真阅读此《转让合同》样本，全面理解各方当事人的权利义务约定。同时，请各位竟买人认真阅读上述标的的相关文件。</w:t>
      </w:r>
    </w:p>
    <w:p w14:paraId="4237DB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drawing>
          <wp:anchor distT="0" distB="0" distL="114300" distR="114300" simplePos="0" relativeHeight="251659264" behindDoc="1" locked="0" layoutInCell="1" allowOverlap="1">
            <wp:simplePos x="0" y="0"/>
            <wp:positionH relativeFrom="column">
              <wp:posOffset>257175</wp:posOffset>
            </wp:positionH>
            <wp:positionV relativeFrom="paragraph">
              <wp:posOffset>269240</wp:posOffset>
            </wp:positionV>
            <wp:extent cx="942975" cy="1171575"/>
            <wp:effectExtent l="19050" t="0" r="9525" b="0"/>
            <wp:wrapNone/>
            <wp:docPr id="1" name="图片 2" descr="市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市拍二维码"/>
                    <pic:cNvPicPr>
                      <a:picLocks noChangeAspect="1" noChangeArrowheads="1"/>
                    </pic:cNvPicPr>
                  </pic:nvPicPr>
                  <pic:blipFill>
                    <a:blip r:embed="rId4" cstate="print"/>
                    <a:srcRect/>
                    <a:stretch>
                      <a:fillRect/>
                    </a:stretch>
                  </pic:blipFill>
                  <pic:spPr>
                    <a:xfrm>
                      <a:off x="0" y="0"/>
                      <a:ext cx="942975" cy="1171575"/>
                    </a:xfrm>
                    <a:prstGeom prst="rect">
                      <a:avLst/>
                    </a:prstGeom>
                    <a:noFill/>
                    <a:ln w="9525">
                      <a:noFill/>
                      <a:miter lim="800000"/>
                      <a:headEnd/>
                      <a:tailEnd/>
                    </a:ln>
                    <a:effectLst/>
                  </pic:spPr>
                </pic:pic>
              </a:graphicData>
            </a:graphic>
          </wp:anchor>
        </w:drawing>
      </w:r>
      <w:r>
        <w:rPr>
          <w:rFonts w:hint="eastAsia" w:ascii="宋体" w:hAnsi="宋体" w:cs="宋体"/>
          <w:sz w:val="24"/>
        </w:rPr>
        <w:t>以上文件作为本竟买须知的附件，竟买人参与竟买即表明全面接受其中的内容。</w:t>
      </w:r>
    </w:p>
    <w:p w14:paraId="27A5AB8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4"/>
        </w:rPr>
      </w:pPr>
    </w:p>
    <w:p w14:paraId="2C2BC8AB">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宋体" w:hAnsi="宋体" w:cs="宋体"/>
          <w:sz w:val="24"/>
        </w:rPr>
      </w:pPr>
      <w:r>
        <w:rPr>
          <w:rFonts w:hint="eastAsia" w:ascii="宋体" w:hAnsi="宋体" w:cs="宋体"/>
          <w:sz w:val="24"/>
        </w:rPr>
        <w:t>龙岩市拍卖行有限公司</w:t>
      </w:r>
    </w:p>
    <w:p w14:paraId="511E749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r>
        <w:rPr>
          <w:rFonts w:hint="eastAsia" w:ascii="宋体" w:hAnsi="宋体" w:cs="宋体"/>
          <w:sz w:val="24"/>
        </w:rPr>
        <w:t xml:space="preserve">  2025年6月27日</w:t>
      </w:r>
    </w:p>
    <w:p w14:paraId="53A31AEC">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p>
    <w:p w14:paraId="74EE708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p>
    <w:p w14:paraId="457DCF91">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p>
    <w:p w14:paraId="33FBFC4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p>
    <w:p w14:paraId="25EAA71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sz w:val="24"/>
        </w:rPr>
      </w:pPr>
    </w:p>
    <w:p w14:paraId="20DFC9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sz w:val="24"/>
        </w:rPr>
      </w:pPr>
      <w:r>
        <w:rPr>
          <w:rFonts w:hint="eastAsia" w:ascii="宋体" w:hAnsi="宋体" w:cs="宋体"/>
          <w:b/>
          <w:sz w:val="24"/>
        </w:rPr>
        <w:t>竞买人特别声明：</w:t>
      </w:r>
    </w:p>
    <w:p w14:paraId="5FBE3D5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
          <w:sz w:val="24"/>
        </w:rPr>
      </w:pPr>
      <w:r>
        <w:rPr>
          <w:rFonts w:hint="eastAsia" w:ascii="宋体" w:hAnsi="宋体" w:cs="宋体"/>
          <w:b/>
          <w:sz w:val="24"/>
        </w:rPr>
        <w:t>竞买人已对本竞买须知各条款以及附件内容作了全面的理解，应竞买人的要求，拍卖人也对本竞买须知及附件的相应内容做了说明。竞买人在此竞买须知上签字，系确认竞买人已详细审查本次拍卖的所有文件和相关信息，已向有关管理部门全面了解了标的情况，并亲赴标的物现场认真查勘，对标的现状满意，已行使了知情权，特别是本次拍卖标的中产权情况及部分标的在拍卖成交后实物移交时间长等瑕疵已明确知悉，并接受标的物的现状和一切已知及未知的瑕疵。竞买人同意本竞买须知各条款的权利义务，并愿意承担参加本次拍卖会及竞买成交以后可能带来的一切风险、障碍，并承诺放弃对拍卖人的任何权利主张。本竞买须知及其附件内容对本人发生法律效力。</w:t>
      </w:r>
    </w:p>
    <w:p w14:paraId="0C3DC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b/>
          <w:sz w:val="24"/>
        </w:rPr>
      </w:pPr>
    </w:p>
    <w:p w14:paraId="50F674EA">
      <w:pPr>
        <w:pStyle w:val="5"/>
        <w:keepNext w:val="0"/>
        <w:keepLines w:val="0"/>
        <w:pageBreakBefore w:val="0"/>
        <w:widowControl w:val="0"/>
        <w:kinsoku/>
        <w:wordWrap/>
        <w:overflowPunct/>
        <w:topLinePunct w:val="0"/>
        <w:autoSpaceDE/>
        <w:autoSpaceDN/>
        <w:bidi w:val="0"/>
        <w:adjustRightInd/>
        <w:snapToGrid/>
        <w:spacing w:line="400" w:lineRule="exact"/>
        <w:ind w:firstLine="4800" w:firstLineChars="2000"/>
        <w:textAlignment w:val="auto"/>
        <w:rPr>
          <w:rFonts w:ascii="宋体" w:hAnsi="宋体" w:cs="宋体"/>
          <w:sz w:val="24"/>
        </w:rPr>
      </w:pPr>
      <w:r>
        <w:rPr>
          <w:rFonts w:hint="eastAsia" w:ascii="宋体" w:hAnsi="宋体" w:cs="宋体"/>
          <w:sz w:val="24"/>
        </w:rPr>
        <w:t>竞买人（签字或签单）：</w:t>
      </w:r>
    </w:p>
    <w:p w14:paraId="7F8D44A8">
      <w:pPr>
        <w:pStyle w:val="5"/>
        <w:keepNext w:val="0"/>
        <w:keepLines w:val="0"/>
        <w:pageBreakBefore w:val="0"/>
        <w:widowControl w:val="0"/>
        <w:kinsoku/>
        <w:wordWrap/>
        <w:overflowPunct/>
        <w:topLinePunct w:val="0"/>
        <w:autoSpaceDE/>
        <w:autoSpaceDN/>
        <w:bidi w:val="0"/>
        <w:adjustRightInd/>
        <w:snapToGrid/>
        <w:spacing w:line="400" w:lineRule="exact"/>
        <w:ind w:firstLine="4800" w:firstLineChars="2000"/>
        <w:textAlignment w:val="auto"/>
        <w:rPr>
          <w:rFonts w:ascii="宋体" w:hAnsi="宋体" w:cs="宋体"/>
          <w:sz w:val="24"/>
        </w:rPr>
      </w:pPr>
    </w:p>
    <w:p w14:paraId="0AD1EDAF">
      <w:pPr>
        <w:keepNext w:val="0"/>
        <w:keepLines w:val="0"/>
        <w:pageBreakBefore w:val="0"/>
        <w:widowControl w:val="0"/>
        <w:kinsoku/>
        <w:wordWrap/>
        <w:overflowPunct/>
        <w:topLinePunct w:val="0"/>
        <w:autoSpaceDE/>
        <w:autoSpaceDN/>
        <w:bidi w:val="0"/>
        <w:adjustRightInd/>
        <w:snapToGrid/>
        <w:spacing w:line="400" w:lineRule="exact"/>
        <w:ind w:firstLine="420"/>
        <w:jc w:val="right"/>
        <w:textAlignment w:val="auto"/>
        <w:rPr>
          <w:rFonts w:ascii="宋体" w:hAnsi="宋体" w:cs="宋体"/>
          <w:sz w:val="24"/>
        </w:rPr>
      </w:pPr>
      <w:r>
        <w:rPr>
          <w:rFonts w:hint="eastAsia" w:ascii="宋体" w:hAnsi="宋体" w:cs="宋体"/>
          <w:sz w:val="24"/>
        </w:rPr>
        <w:t xml:space="preserve">    2025年   月   日 </w:t>
      </w:r>
    </w:p>
    <w:p w14:paraId="52B7E8DE">
      <w:pPr>
        <w:rPr>
          <w:rFonts w:ascii="宋体" w:hAnsi="宋体" w:cs="宋体"/>
          <w:b/>
        </w:rPr>
      </w:pPr>
      <w:r>
        <w:rPr>
          <w:rFonts w:ascii="宋体" w:hAnsi="宋体" w:cs="宋体"/>
          <w:b/>
        </w:rPr>
        <w:br w:type="page"/>
      </w:r>
    </w:p>
    <w:p w14:paraId="5EC0477C">
      <w:pPr>
        <w:widowControl/>
        <w:jc w:val="center"/>
        <w:rPr>
          <w:rFonts w:ascii="宋体" w:hAnsi="宋体"/>
          <w:b/>
          <w:sz w:val="44"/>
          <w:szCs w:val="44"/>
        </w:rPr>
      </w:pPr>
      <w:r>
        <w:rPr>
          <w:rFonts w:hint="eastAsia" w:ascii="宋体" w:hAnsi="宋体"/>
          <w:b/>
          <w:sz w:val="44"/>
          <w:szCs w:val="44"/>
        </w:rPr>
        <w:t>竞买协议书</w:t>
      </w:r>
    </w:p>
    <w:p w14:paraId="03D655CD">
      <w:pPr>
        <w:spacing w:line="400" w:lineRule="exact"/>
        <w:ind w:left="51"/>
        <w:jc w:val="center"/>
        <w:rPr>
          <w:rFonts w:ascii="宋体" w:hAnsi="宋体"/>
          <w:b/>
          <w:sz w:val="24"/>
        </w:rPr>
      </w:pPr>
      <w:r>
        <w:rPr>
          <w:rFonts w:hint="eastAsia" w:ascii="宋体" w:hAnsi="宋体"/>
          <w:b/>
          <w:sz w:val="24"/>
        </w:rPr>
        <w:t>[项目编号:LC2025 ]</w:t>
      </w:r>
    </w:p>
    <w:p w14:paraId="61929ECC">
      <w:pPr>
        <w:spacing w:line="400" w:lineRule="exact"/>
        <w:ind w:left="50" w:firstLine="361" w:firstLineChars="150"/>
        <w:rPr>
          <w:rFonts w:ascii="宋体" w:hAnsi="宋体"/>
          <w:b/>
          <w:kern w:val="20"/>
          <w:sz w:val="24"/>
        </w:rPr>
      </w:pPr>
      <w:r>
        <w:rPr>
          <w:rFonts w:hint="eastAsia" w:ascii="宋体" w:hAnsi="宋体"/>
          <w:b/>
          <w:kern w:val="20"/>
          <w:sz w:val="24"/>
        </w:rPr>
        <w:t xml:space="preserve">拍卖人：龙岩市拍卖行有限公司      </w:t>
      </w:r>
    </w:p>
    <w:p w14:paraId="396E1084">
      <w:pPr>
        <w:spacing w:line="400" w:lineRule="exact"/>
        <w:ind w:left="50" w:firstLine="361" w:firstLineChars="150"/>
        <w:rPr>
          <w:rFonts w:ascii="宋体" w:hAnsi="宋体"/>
          <w:b/>
          <w:kern w:val="20"/>
          <w:sz w:val="24"/>
        </w:rPr>
      </w:pPr>
      <w:r>
        <w:rPr>
          <w:rFonts w:hint="eastAsia" w:ascii="宋体" w:hAnsi="宋体"/>
          <w:b/>
          <w:kern w:val="20"/>
          <w:sz w:val="24"/>
        </w:rPr>
        <w:t>竞买人：</w:t>
      </w:r>
    </w:p>
    <w:p w14:paraId="5C239CA4">
      <w:pPr>
        <w:spacing w:line="400" w:lineRule="exact"/>
        <w:ind w:left="50" w:firstLine="361" w:firstLineChars="150"/>
        <w:rPr>
          <w:rFonts w:ascii="宋体" w:hAnsi="宋体"/>
          <w:b/>
          <w:kern w:val="20"/>
          <w:sz w:val="24"/>
          <w:u w:val="single"/>
        </w:rPr>
      </w:pPr>
      <w:r>
        <w:rPr>
          <w:rFonts w:hint="eastAsia" w:ascii="宋体" w:hAnsi="宋体"/>
          <w:b/>
          <w:kern w:val="20"/>
          <w:sz w:val="24"/>
        </w:rPr>
        <w:t>代理人：       代理人身份证号码：</w:t>
      </w:r>
    </w:p>
    <w:p w14:paraId="03361D5B">
      <w:pPr>
        <w:spacing w:line="400" w:lineRule="exact"/>
        <w:ind w:left="50" w:firstLine="361" w:firstLineChars="150"/>
        <w:rPr>
          <w:rFonts w:ascii="宋体" w:hAnsi="宋体"/>
          <w:b/>
          <w:kern w:val="20"/>
          <w:sz w:val="24"/>
        </w:rPr>
      </w:pPr>
      <w:r>
        <w:rPr>
          <w:rFonts w:hint="eastAsia" w:ascii="宋体" w:hAnsi="宋体"/>
          <w:b/>
          <w:kern w:val="20"/>
          <w:sz w:val="24"/>
        </w:rPr>
        <w:t>竞买号牌：</w:t>
      </w:r>
    </w:p>
    <w:p w14:paraId="055E0BFD">
      <w:pPr>
        <w:widowControl w:val="0"/>
        <w:tabs>
          <w:tab w:val="left" w:pos="5535"/>
        </w:tabs>
        <w:spacing w:line="400" w:lineRule="exact"/>
        <w:ind w:firstLine="360" w:firstLineChars="150"/>
        <w:jc w:val="both"/>
        <w:rPr>
          <w:rFonts w:ascii="宋体" w:hAnsi="宋体" w:eastAsia="宋体" w:cs="Times New Roman"/>
          <w:kern w:val="2"/>
          <w:sz w:val="24"/>
          <w:szCs w:val="24"/>
          <w:lang w:val="en-US" w:eastAsia="zh-CN" w:bidi="ar-SA"/>
        </w:rPr>
      </w:pPr>
      <w:r>
        <w:rPr>
          <w:rFonts w:hint="eastAsia" w:ascii="宋体" w:hAnsi="宋体" w:eastAsia="宋体" w:cs="Times New Roman"/>
          <w:kern w:val="20"/>
          <w:sz w:val="24"/>
          <w:szCs w:val="28"/>
          <w:lang w:val="en-US" w:eastAsia="zh-CN" w:bidi="ar-SA"/>
        </w:rPr>
        <w:t xml:space="preserve"> 根</w:t>
      </w:r>
      <w:r>
        <w:rPr>
          <w:rFonts w:hint="eastAsia" w:ascii="宋体" w:hAnsi="宋体" w:eastAsia="宋体" w:cs="Times New Roman"/>
          <w:kern w:val="2"/>
          <w:sz w:val="24"/>
          <w:szCs w:val="24"/>
          <w:lang w:val="en-US" w:eastAsia="zh-CN" w:bidi="ar-SA"/>
        </w:rPr>
        <w:t>据《中华人民共和国拍卖法》及相关法律法规，遵循公开、公平、公正、诚实信用的原则，经拍卖人与竞买人双方协商一致，达成如下协议。</w:t>
      </w:r>
    </w:p>
    <w:p w14:paraId="56CD43F7">
      <w:pPr>
        <w:widowControl w:val="0"/>
        <w:tabs>
          <w:tab w:val="left" w:pos="5535"/>
        </w:tabs>
        <w:spacing w:line="400" w:lineRule="exact"/>
        <w:ind w:firstLine="360" w:firstLineChars="150"/>
        <w:jc w:val="both"/>
        <w:rPr>
          <w:rFonts w:ascii="宋体" w:hAnsi="宋体" w:eastAsia="宋体" w:cs="仿宋_GB2312"/>
          <w:kern w:val="2"/>
          <w:sz w:val="24"/>
          <w:szCs w:val="28"/>
          <w:lang w:val="en-US" w:eastAsia="zh-CN" w:bidi="ar-SA"/>
        </w:rPr>
      </w:pPr>
      <w:r>
        <w:rPr>
          <w:rFonts w:hint="eastAsia" w:ascii="宋体" w:hAnsi="宋体" w:eastAsia="宋体" w:cs="Times New Roman"/>
          <w:kern w:val="2"/>
          <w:sz w:val="24"/>
          <w:szCs w:val="24"/>
          <w:lang w:val="en-US" w:eastAsia="zh-CN" w:bidi="ar-SA"/>
        </w:rPr>
        <w:t>一、 拍卖标的：</w:t>
      </w:r>
      <w:r>
        <w:rPr>
          <w:rFonts w:hint="eastAsia" w:ascii="宋体" w:hAnsi="宋体" w:eastAsia="宋体" w:cs="宋体"/>
          <w:b/>
          <w:bCs/>
          <w:kern w:val="2"/>
          <w:sz w:val="24"/>
          <w:szCs w:val="28"/>
          <w:lang w:val="en-US" w:eastAsia="zh-CN" w:bidi="ar-SA"/>
        </w:rPr>
        <w:t>连城县莲峰镇南前花园4号楼16套房产，（分为两个标的，每个标的8套房产整体拍卖，详见《南前花园房产拍卖清单》及产权证复印件）</w:t>
      </w:r>
      <w:r>
        <w:rPr>
          <w:rFonts w:hint="eastAsia" w:ascii="宋体" w:hAnsi="宋体" w:eastAsia="宋体" w:cs="Times New Roman"/>
          <w:kern w:val="2"/>
          <w:sz w:val="24"/>
          <w:szCs w:val="24"/>
          <w:lang w:val="en-US" w:eastAsia="zh-CN" w:bidi="ar-SA"/>
        </w:rPr>
        <w:t>。</w:t>
      </w:r>
    </w:p>
    <w:p w14:paraId="7CD8041C">
      <w:pPr>
        <w:widowControl w:val="0"/>
        <w:tabs>
          <w:tab w:val="left" w:pos="5535"/>
        </w:tabs>
        <w:spacing w:line="400" w:lineRule="exact"/>
        <w:ind w:firstLine="361" w:firstLineChars="150"/>
        <w:jc w:val="both"/>
        <w:rPr>
          <w:rFonts w:ascii="宋体" w:hAnsi="宋体" w:eastAsia="宋体" w:cs="宋体"/>
          <w:kern w:val="2"/>
          <w:sz w:val="24"/>
          <w:szCs w:val="24"/>
          <w:lang w:val="en-US" w:eastAsia="zh-CN" w:bidi="ar-SA"/>
        </w:rPr>
      </w:pPr>
      <w:r>
        <w:rPr>
          <w:rFonts w:hint="eastAsia" w:ascii="宋体" w:hAnsi="宋体" w:eastAsia="宋体" w:cs="Times New Roman"/>
          <w:b/>
          <w:kern w:val="20"/>
          <w:sz w:val="24"/>
          <w:szCs w:val="24"/>
          <w:lang w:val="en-US" w:eastAsia="zh-CN" w:bidi="ar-SA"/>
        </w:rPr>
        <w:t>二</w:t>
      </w:r>
      <w:r>
        <w:rPr>
          <w:rFonts w:hint="eastAsia" w:ascii="宋体" w:hAnsi="宋体" w:eastAsia="宋体" w:cs="Times New Roman"/>
          <w:kern w:val="2"/>
          <w:sz w:val="24"/>
          <w:szCs w:val="24"/>
          <w:lang w:val="en-US" w:eastAsia="zh-CN" w:bidi="ar-SA"/>
        </w:rPr>
        <w:t>、</w:t>
      </w:r>
      <w:r>
        <w:rPr>
          <w:rFonts w:hint="eastAsia" w:ascii="宋体" w:hAnsi="宋体" w:eastAsia="宋体" w:cs="Times New Roman"/>
          <w:b/>
          <w:kern w:val="20"/>
          <w:sz w:val="24"/>
          <w:szCs w:val="24"/>
          <w:lang w:val="en-US" w:eastAsia="zh-CN" w:bidi="ar-SA"/>
        </w:rPr>
        <w:t>拍卖会时间、地点</w:t>
      </w:r>
      <w:r>
        <w:rPr>
          <w:rFonts w:hint="eastAsia" w:ascii="宋体" w:hAnsi="宋体" w:eastAsia="宋体" w:cs="Times New Roman"/>
          <w:kern w:val="2"/>
          <w:sz w:val="24"/>
          <w:szCs w:val="24"/>
          <w:lang w:val="en-US" w:eastAsia="zh-CN" w:bidi="ar-SA"/>
        </w:rPr>
        <w:t>：2025年 月 日10时30分在</w:t>
      </w:r>
      <w:r>
        <w:rPr>
          <w:rFonts w:hint="eastAsia" w:ascii="宋体" w:hAnsi="宋体" w:eastAsia="宋体" w:cs="宋体"/>
          <w:kern w:val="2"/>
          <w:sz w:val="24"/>
          <w:szCs w:val="28"/>
          <w:lang w:val="en-US" w:eastAsia="zh-CN" w:bidi="ar-SA"/>
        </w:rPr>
        <w:t>龙岩市公共资源交易中心连城分中心1号厅（连城县莲峰镇莲中南路76号宝龙广场三楼）</w:t>
      </w:r>
      <w:r>
        <w:rPr>
          <w:rFonts w:hint="eastAsia" w:ascii="宋体" w:hAnsi="宋体" w:eastAsia="宋体" w:cs="宋体"/>
          <w:kern w:val="2"/>
          <w:sz w:val="24"/>
          <w:szCs w:val="24"/>
          <w:lang w:val="en-US" w:eastAsia="zh-CN" w:bidi="ar-SA"/>
        </w:rPr>
        <w:t>；</w:t>
      </w:r>
    </w:p>
    <w:p w14:paraId="6C423C5E">
      <w:pPr>
        <w:widowControl w:val="0"/>
        <w:spacing w:line="400" w:lineRule="exact"/>
        <w:ind w:firstLine="361" w:firstLineChars="150"/>
        <w:jc w:val="both"/>
        <w:rPr>
          <w:rFonts w:ascii="宋体" w:hAnsi="宋体" w:eastAsia="宋体" w:cs="Times New Roman"/>
          <w:b/>
          <w:kern w:val="20"/>
          <w:sz w:val="24"/>
          <w:szCs w:val="24"/>
          <w:lang w:val="en-US" w:eastAsia="zh-CN" w:bidi="ar-SA"/>
        </w:rPr>
      </w:pPr>
      <w:r>
        <w:rPr>
          <w:rFonts w:hint="eastAsia" w:ascii="宋体" w:hAnsi="宋体" w:eastAsia="宋体" w:cs="Times New Roman"/>
          <w:b/>
          <w:kern w:val="2"/>
          <w:sz w:val="24"/>
          <w:szCs w:val="24"/>
          <w:lang w:val="en-US" w:eastAsia="zh-CN" w:bidi="ar-SA"/>
        </w:rPr>
        <w:t>三、竞买保证金：</w:t>
      </w:r>
    </w:p>
    <w:p w14:paraId="530859B2">
      <w:pPr>
        <w:widowControl w:val="0"/>
        <w:tabs>
          <w:tab w:val="left" w:pos="5535"/>
        </w:tabs>
        <w:spacing w:line="400" w:lineRule="exact"/>
        <w:ind w:firstLine="360" w:firstLineChars="15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竞买人自愿向拍卖人指定账户支付竞买保证金人民币</w:t>
      </w:r>
      <w:r>
        <w:rPr>
          <w:rFonts w:hint="eastAsia" w:ascii="宋体" w:hAnsi="宋体" w:eastAsia="宋体" w:cs="Times New Roman"/>
          <w:kern w:val="2"/>
          <w:sz w:val="24"/>
          <w:szCs w:val="24"/>
          <w:u w:val="single"/>
          <w:lang w:val="en-US" w:eastAsia="zh-CN" w:bidi="ar-SA"/>
        </w:rPr>
        <w:t>50</w:t>
      </w:r>
      <w:r>
        <w:rPr>
          <w:rFonts w:hint="eastAsia" w:ascii="宋体" w:hAnsi="宋体" w:eastAsia="宋体" w:cs="Times New Roman"/>
          <w:kern w:val="2"/>
          <w:sz w:val="24"/>
          <w:szCs w:val="24"/>
          <w:lang w:val="en-US" w:eastAsia="zh-CN" w:bidi="ar-SA"/>
        </w:rPr>
        <w:t>万元整（以实际到账为准），拍卖不成交的，</w:t>
      </w:r>
      <w:r>
        <w:rPr>
          <w:rFonts w:hint="eastAsia" w:ascii="宋体" w:hAnsi="宋体" w:eastAsia="宋体" w:cs="Times New Roman"/>
          <w:kern w:val="2"/>
          <w:sz w:val="24"/>
          <w:szCs w:val="28"/>
          <w:lang w:val="en-US" w:eastAsia="zh-CN" w:bidi="ar-SA"/>
        </w:rPr>
        <w:t>拍卖人</w:t>
      </w:r>
      <w:r>
        <w:rPr>
          <w:rFonts w:hint="eastAsia" w:ascii="宋体" w:hAnsi="宋体" w:eastAsia="宋体" w:cs="Times New Roman"/>
          <w:kern w:val="2"/>
          <w:sz w:val="24"/>
          <w:szCs w:val="24"/>
          <w:lang w:val="en-US" w:eastAsia="zh-CN" w:bidi="ar-SA"/>
        </w:rPr>
        <w:t>在10个工作日内无息退还竞买人。</w:t>
      </w:r>
    </w:p>
    <w:p w14:paraId="0D661F86">
      <w:pPr>
        <w:widowControl w:val="0"/>
        <w:tabs>
          <w:tab w:val="left" w:pos="5535"/>
        </w:tabs>
        <w:spacing w:line="400" w:lineRule="exact"/>
        <w:ind w:right="-330" w:rightChars="-157" w:firstLine="361" w:firstLineChars="150"/>
        <w:jc w:val="both"/>
        <w:rPr>
          <w:rFonts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四、拍卖佣金：</w:t>
      </w:r>
    </w:p>
    <w:p w14:paraId="319DB943">
      <w:pPr>
        <w:widowControl w:val="0"/>
        <w:tabs>
          <w:tab w:val="left" w:pos="5535"/>
        </w:tabs>
        <w:spacing w:line="400" w:lineRule="exact"/>
        <w:ind w:right="-330" w:rightChars="-157" w:firstLine="360" w:firstLineChars="150"/>
        <w:jc w:val="both"/>
        <w:rPr>
          <w:rFonts w:ascii="宋体" w:hAnsi="宋体" w:eastAsia="宋体" w:cs="Times New Roman"/>
          <w:b/>
          <w:bCs/>
          <w:kern w:val="2"/>
          <w:sz w:val="24"/>
          <w:szCs w:val="24"/>
          <w:lang w:val="en-US" w:eastAsia="zh-CN" w:bidi="ar-SA"/>
        </w:rPr>
      </w:pPr>
      <w:r>
        <w:rPr>
          <w:rFonts w:hint="eastAsia" w:ascii="宋体" w:hAnsi="宋体" w:eastAsia="宋体" w:cs="宋体"/>
          <w:kern w:val="2"/>
          <w:sz w:val="24"/>
          <w:szCs w:val="28"/>
          <w:lang w:val="en-US" w:eastAsia="zh-CN" w:bidi="ar-SA"/>
        </w:rPr>
        <w:t>拍卖成交后，买受人除支付成交价外，须另向拍卖人支付成交价的1%作为拍卖佣金。以上约定拍卖佣金应在成交之日起2日内付清（可以从竞买保证金中直接扣取）。以上约定佣金应在成交之日起2</w:t>
      </w:r>
      <w:r>
        <w:rPr>
          <w:rFonts w:ascii="宋体" w:hAnsi="宋体" w:eastAsia="宋体" w:cs="宋体"/>
          <w:kern w:val="2"/>
          <w:sz w:val="24"/>
          <w:szCs w:val="28"/>
          <w:lang w:val="en-US" w:eastAsia="zh-CN" w:bidi="ar-SA"/>
        </w:rPr>
        <w:t>日内付清（可以从竞买保证金中直接扣取），佣金</w:t>
      </w:r>
      <w:r>
        <w:rPr>
          <w:rFonts w:hint="eastAsia" w:ascii="宋体" w:hAnsi="宋体" w:eastAsia="宋体" w:cs="宋体"/>
          <w:kern w:val="2"/>
          <w:sz w:val="24"/>
          <w:szCs w:val="28"/>
          <w:lang w:val="en-US" w:eastAsia="zh-CN" w:bidi="ar-SA"/>
        </w:rPr>
        <w:t>未按期付清的，视成交人根本违约，竞买保证金不予退回，买受人无权领取标的物，同时拍卖人可以向买受人追缴该佣金。</w:t>
      </w:r>
    </w:p>
    <w:p w14:paraId="1F040BD4">
      <w:pPr>
        <w:widowControl w:val="0"/>
        <w:tabs>
          <w:tab w:val="left" w:pos="5535"/>
        </w:tabs>
        <w:spacing w:line="400" w:lineRule="exact"/>
        <w:ind w:right="-330" w:rightChars="-157" w:firstLine="361" w:firstLineChars="150"/>
        <w:jc w:val="both"/>
        <w:rPr>
          <w:rFonts w:ascii="宋体" w:hAnsi="宋体" w:eastAsia="宋体" w:cs="Times New Roman"/>
          <w:b/>
          <w:kern w:val="20"/>
          <w:sz w:val="24"/>
          <w:szCs w:val="24"/>
          <w:lang w:val="en-US" w:eastAsia="zh-CN" w:bidi="ar-SA"/>
        </w:rPr>
      </w:pPr>
      <w:r>
        <w:rPr>
          <w:rFonts w:hint="eastAsia" w:ascii="宋体" w:hAnsi="宋体" w:eastAsia="宋体" w:cs="Times New Roman"/>
          <w:b/>
          <w:kern w:val="20"/>
          <w:sz w:val="24"/>
          <w:szCs w:val="24"/>
          <w:lang w:val="en-US" w:eastAsia="zh-CN" w:bidi="ar-SA"/>
        </w:rPr>
        <w:t>五、其它：</w:t>
      </w:r>
    </w:p>
    <w:p w14:paraId="6064E1E8">
      <w:pPr>
        <w:spacing w:line="400" w:lineRule="exact"/>
        <w:ind w:firstLine="420"/>
        <w:rPr>
          <w:rFonts w:ascii="宋体" w:hAnsi="宋体" w:cs="宋体"/>
          <w:sz w:val="24"/>
        </w:rPr>
      </w:pPr>
      <w:r>
        <w:rPr>
          <w:rFonts w:hint="eastAsia" w:ascii="宋体" w:hAnsi="宋体" w:cs="宋体"/>
          <w:sz w:val="24"/>
        </w:rPr>
        <w:t>1、</w:t>
      </w:r>
      <w:r>
        <w:rPr>
          <w:rFonts w:hint="eastAsia" w:ascii="宋体" w:hAnsi="宋体"/>
          <w:sz w:val="24"/>
        </w:rPr>
        <w:t>拍卖人</w:t>
      </w:r>
      <w:r>
        <w:rPr>
          <w:rFonts w:hint="eastAsia" w:ascii="宋体" w:hAnsi="宋体" w:cs="宋体"/>
          <w:sz w:val="24"/>
        </w:rPr>
        <w:t>根据本次拍卖标的的特点制定的《竞买须知》与该协议具有同等法律效力。该《竞买须知》</w:t>
      </w:r>
      <w:r>
        <w:rPr>
          <w:rFonts w:hint="eastAsia" w:ascii="宋体" w:hAnsi="宋体"/>
          <w:sz w:val="24"/>
        </w:rPr>
        <w:t>拍卖人</w:t>
      </w:r>
      <w:r>
        <w:rPr>
          <w:rFonts w:hint="eastAsia" w:ascii="宋体" w:hAnsi="宋体" w:cs="宋体"/>
          <w:sz w:val="24"/>
        </w:rPr>
        <w:t>已提交给</w:t>
      </w:r>
      <w:r>
        <w:rPr>
          <w:rFonts w:hint="eastAsia" w:ascii="宋体" w:hAnsi="宋体"/>
          <w:sz w:val="24"/>
        </w:rPr>
        <w:t>竞买人</w:t>
      </w:r>
      <w:r>
        <w:rPr>
          <w:rFonts w:hint="eastAsia" w:ascii="宋体" w:hAnsi="宋体" w:cs="宋体"/>
          <w:sz w:val="24"/>
        </w:rPr>
        <w:t>，</w:t>
      </w:r>
      <w:r>
        <w:rPr>
          <w:rFonts w:hint="eastAsia" w:ascii="宋体" w:hAnsi="宋体"/>
          <w:sz w:val="24"/>
        </w:rPr>
        <w:t>竞买人</w:t>
      </w:r>
      <w:r>
        <w:rPr>
          <w:rFonts w:hint="eastAsia" w:ascii="宋体" w:hAnsi="宋体" w:cs="宋体"/>
          <w:sz w:val="24"/>
        </w:rPr>
        <w:t>已认真阅读并充分理解了其内容与要求，在此基础上，</w:t>
      </w:r>
      <w:r>
        <w:rPr>
          <w:rFonts w:hint="eastAsia" w:ascii="宋体" w:hAnsi="宋体"/>
          <w:sz w:val="24"/>
        </w:rPr>
        <w:t>竞买人</w:t>
      </w:r>
      <w:r>
        <w:rPr>
          <w:rFonts w:hint="eastAsia" w:ascii="宋体" w:hAnsi="宋体" w:cs="宋体"/>
          <w:sz w:val="24"/>
        </w:rPr>
        <w:t>承诺对《竞买须知》所告知及规定的各项条款完全认可并自愿严格遵守。</w:t>
      </w:r>
    </w:p>
    <w:p w14:paraId="5DFBCF98">
      <w:pPr>
        <w:spacing w:line="400" w:lineRule="exact"/>
        <w:ind w:firstLine="360" w:firstLineChars="150"/>
        <w:rPr>
          <w:rFonts w:ascii="宋体" w:hAnsi="宋体" w:cs="宋体"/>
          <w:sz w:val="24"/>
        </w:rPr>
      </w:pPr>
      <w:r>
        <w:rPr>
          <w:rFonts w:hint="eastAsia" w:ascii="宋体" w:hAnsi="宋体" w:cs="宋体"/>
          <w:sz w:val="24"/>
        </w:rPr>
        <w:t>2、本次拍卖标的仅以现状拍卖，委托人、拍卖人所作的关于本次拍卖标的的介绍及有关材料仅供竞买人参考，不构成对标的物的任何担保或承诺，委托人、拍卖人对</w:t>
      </w:r>
      <w:r>
        <w:rPr>
          <w:rFonts w:hint="eastAsia" w:ascii="宋体" w:hAnsi="宋体"/>
          <w:b/>
          <w:sz w:val="24"/>
        </w:rPr>
        <w:t>拍卖标的品名、单位、规格、数量、质量、产权情况等拍卖标的的瑕疵不承担担保责任。</w:t>
      </w:r>
      <w:r>
        <w:rPr>
          <w:rFonts w:hint="eastAsia" w:ascii="宋体" w:hAnsi="宋体" w:cs="宋体"/>
          <w:sz w:val="24"/>
        </w:rPr>
        <w:t>本次拍卖标的以移交时现场实物为准，如介绍的建筑面积、用地面积、使用年限与实际有差异，或者介绍的其它情况与实际不符的，拍卖成交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未看样的竞买人视为对本标的实物现状的确认，责任自负。</w:t>
      </w:r>
    </w:p>
    <w:p w14:paraId="6930B559">
      <w:pPr>
        <w:spacing w:line="400" w:lineRule="exact"/>
        <w:ind w:firstLine="480" w:firstLineChars="200"/>
        <w:rPr>
          <w:rFonts w:ascii="宋体" w:hAnsi="宋体" w:cs="宋体"/>
          <w:sz w:val="24"/>
        </w:rPr>
      </w:pPr>
      <w:r>
        <w:rPr>
          <w:rFonts w:hint="eastAsia" w:ascii="宋体" w:hAnsi="宋体" w:cs="宋体"/>
          <w:sz w:val="24"/>
        </w:rPr>
        <w:t>3、对因委托人未尽瑕疵告知义务或非因拍卖人的原因造成拍卖标的不能及时移交或无法过户而导致解除合同或合同无效的，拍卖人不承担任何责任。拍卖成交即视为拍卖人对买受人的拍卖合同义务履行完毕。</w:t>
      </w:r>
    </w:p>
    <w:p w14:paraId="05E01D57">
      <w:pPr>
        <w:spacing w:line="400" w:lineRule="exact"/>
        <w:ind w:firstLine="420"/>
        <w:rPr>
          <w:rFonts w:ascii="宋体" w:hAnsi="宋体"/>
          <w:sz w:val="24"/>
        </w:rPr>
      </w:pPr>
      <w:r>
        <w:rPr>
          <w:rFonts w:hint="eastAsia" w:ascii="宋体" w:hAnsi="宋体" w:cs="宋体"/>
          <w:sz w:val="24"/>
        </w:rPr>
        <w:t>4、竞买人参加拍卖会说明在标的物展示期间已看样并充分了解认可</w:t>
      </w:r>
      <w:r>
        <w:rPr>
          <w:rFonts w:ascii="宋体" w:hAnsi="宋体" w:cs="宋体"/>
          <w:sz w:val="24"/>
        </w:rPr>
        <w:t>标的产权、相关费用</w:t>
      </w:r>
      <w:r>
        <w:rPr>
          <w:rFonts w:hint="eastAsia" w:ascii="宋体" w:hAnsi="宋体" w:cs="宋体"/>
          <w:sz w:val="24"/>
        </w:rPr>
        <w:t>、办理变更手续</w:t>
      </w:r>
      <w:r>
        <w:rPr>
          <w:rFonts w:ascii="宋体" w:hAnsi="宋体" w:cs="宋体"/>
          <w:sz w:val="24"/>
        </w:rPr>
        <w:t>和瑕疵状况等与标的物相关的一切情况</w:t>
      </w:r>
      <w:r>
        <w:rPr>
          <w:rFonts w:hint="eastAsia" w:ascii="宋体" w:hAnsi="宋体" w:cs="宋体"/>
          <w:sz w:val="24"/>
        </w:rPr>
        <w:t>，同时</w:t>
      </w:r>
      <w:r>
        <w:rPr>
          <w:rFonts w:ascii="宋体" w:hAnsi="宋体" w:cs="宋体"/>
          <w:sz w:val="24"/>
        </w:rPr>
        <w:t>对标的存在或可能存在的瑕疵表</w:t>
      </w:r>
      <w:r>
        <w:rPr>
          <w:rFonts w:ascii="宋体" w:hAnsi="宋体"/>
          <w:sz w:val="24"/>
        </w:rPr>
        <w:t>示认可，并承诺因存在或可能存在的瑕疵造成的风险由本人承担。</w:t>
      </w:r>
    </w:p>
    <w:p w14:paraId="35EAD17A">
      <w:pPr>
        <w:spacing w:line="400" w:lineRule="exact"/>
        <w:ind w:firstLine="482" w:firstLineChars="200"/>
        <w:rPr>
          <w:rFonts w:ascii="宋体" w:hAnsi="宋体"/>
          <w:b/>
          <w:sz w:val="24"/>
        </w:rPr>
      </w:pPr>
      <w:r>
        <w:rPr>
          <w:rFonts w:hint="eastAsia" w:ascii="宋体" w:hAnsi="宋体"/>
          <w:b/>
          <w:sz w:val="24"/>
        </w:rPr>
        <w:t>六、违约责任：</w:t>
      </w:r>
    </w:p>
    <w:p w14:paraId="4054D69B">
      <w:pPr>
        <w:spacing w:line="400" w:lineRule="exact"/>
        <w:ind w:firstLine="360" w:firstLineChars="150"/>
        <w:rPr>
          <w:rFonts w:ascii="宋体" w:hAnsi="宋体" w:cs="宋体"/>
          <w:sz w:val="24"/>
        </w:rPr>
      </w:pPr>
      <w:r>
        <w:rPr>
          <w:rFonts w:hint="eastAsia" w:ascii="宋体" w:hAnsi="宋体" w:cs="宋体"/>
          <w:sz w:val="24"/>
        </w:rPr>
        <w:t>拍卖成交后，买受人倘若出现如下情形（包括但不限于任一、部分或全部），都将构成根本性违约，拍卖人有权根据《拍卖法》及其它相关法规之规定追究违约方的责任</w:t>
      </w:r>
      <w:r>
        <w:rPr>
          <w:rFonts w:ascii="宋体" w:hAnsi="宋体" w:cs="宋体"/>
          <w:sz w:val="24"/>
        </w:rPr>
        <w:t xml:space="preserve">, </w:t>
      </w:r>
      <w:r>
        <w:rPr>
          <w:rFonts w:hint="eastAsia" w:ascii="宋体" w:hAnsi="宋体" w:cs="宋体"/>
          <w:sz w:val="24"/>
        </w:rPr>
        <w:t>买受人已支付竞买保证金及应委托人要求支付的款项不予退还，依次用于支付因拍卖产生的佣金（含买受人及委托人应支付的拍卖佣金）、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592941E8">
      <w:pPr>
        <w:spacing w:line="400" w:lineRule="exact"/>
        <w:ind w:firstLine="360" w:firstLineChars="150"/>
        <w:rPr>
          <w:rFonts w:ascii="宋体" w:hAnsi="宋体" w:cs="宋体"/>
          <w:sz w:val="24"/>
        </w:rPr>
      </w:pPr>
      <w:r>
        <w:rPr>
          <w:rFonts w:hint="eastAsia" w:ascii="宋体" w:hAnsi="宋体" w:cs="宋体"/>
          <w:sz w:val="24"/>
        </w:rPr>
        <w:t>1、</w:t>
      </w:r>
      <w:r>
        <w:rPr>
          <w:rFonts w:ascii="宋体" w:hAnsi="宋体" w:cs="宋体"/>
          <w:sz w:val="24"/>
        </w:rPr>
        <w:t>买受人未按规定期限及时足额支付拍卖佣金、</w:t>
      </w:r>
      <w:r>
        <w:rPr>
          <w:rFonts w:hint="eastAsia" w:ascii="宋体" w:hAnsi="宋体" w:cs="宋体"/>
          <w:sz w:val="24"/>
        </w:rPr>
        <w:t>成交价款以及其它约定款项。</w:t>
      </w:r>
    </w:p>
    <w:p w14:paraId="7934E5F9">
      <w:pPr>
        <w:spacing w:line="400" w:lineRule="exact"/>
        <w:ind w:firstLine="360" w:firstLineChars="150"/>
        <w:rPr>
          <w:rFonts w:ascii="宋体" w:hAnsi="宋体" w:cs="宋体"/>
          <w:sz w:val="24"/>
        </w:rPr>
      </w:pPr>
      <w:r>
        <w:rPr>
          <w:rFonts w:hint="eastAsia" w:ascii="宋体" w:hAnsi="宋体" w:cs="宋体"/>
          <w:sz w:val="24"/>
        </w:rPr>
        <w:t>2、</w:t>
      </w:r>
      <w:r>
        <w:rPr>
          <w:rFonts w:ascii="宋体" w:hAnsi="宋体" w:cs="宋体"/>
          <w:sz w:val="24"/>
        </w:rPr>
        <w:t>拍卖成交后，买受人</w:t>
      </w:r>
      <w:r>
        <w:rPr>
          <w:rFonts w:hint="eastAsia" w:ascii="宋体" w:hAnsi="宋体" w:cs="宋体"/>
          <w:sz w:val="24"/>
        </w:rPr>
        <w:t>拖延或拒绝</w:t>
      </w:r>
      <w:r>
        <w:rPr>
          <w:rFonts w:ascii="宋体" w:hAnsi="宋体" w:cs="宋体"/>
          <w:sz w:val="24"/>
        </w:rPr>
        <w:t>在</w:t>
      </w:r>
      <w:r>
        <w:rPr>
          <w:rFonts w:hint="eastAsia" w:ascii="宋体" w:hAnsi="宋体"/>
          <w:sz w:val="24"/>
        </w:rPr>
        <w:t>规定期限内签署</w:t>
      </w:r>
      <w:r>
        <w:rPr>
          <w:rFonts w:ascii="宋体" w:hAnsi="宋体" w:cs="宋体"/>
          <w:sz w:val="24"/>
        </w:rPr>
        <w:t>《拍卖成交确认书》、《拍卖笔录》</w:t>
      </w:r>
      <w:r>
        <w:rPr>
          <w:rFonts w:hint="eastAsia" w:ascii="宋体" w:hAnsi="宋体" w:cs="宋体"/>
          <w:sz w:val="24"/>
        </w:rPr>
        <w:t>、</w:t>
      </w:r>
      <w:r>
        <w:rPr>
          <w:rFonts w:hint="eastAsia" w:ascii="宋体" w:hAnsi="宋体"/>
          <w:sz w:val="24"/>
        </w:rPr>
        <w:t>《转让合同》</w:t>
      </w:r>
      <w:r>
        <w:rPr>
          <w:rFonts w:hint="eastAsia" w:ascii="宋体" w:hAnsi="宋体" w:cs="宋体"/>
          <w:sz w:val="24"/>
        </w:rPr>
        <w:t>以及</w:t>
      </w:r>
      <w:r>
        <w:rPr>
          <w:rFonts w:hint="eastAsia" w:ascii="宋体" w:hAnsi="宋体"/>
          <w:sz w:val="24"/>
        </w:rPr>
        <w:t>其他拍卖成交文件</w:t>
      </w:r>
      <w:r>
        <w:rPr>
          <w:rFonts w:ascii="宋体" w:hAnsi="宋体" w:cs="宋体"/>
          <w:sz w:val="24"/>
        </w:rPr>
        <w:t>。</w:t>
      </w:r>
    </w:p>
    <w:p w14:paraId="40393E11">
      <w:pPr>
        <w:spacing w:line="400" w:lineRule="exact"/>
        <w:ind w:firstLine="360" w:firstLineChars="150"/>
        <w:rPr>
          <w:rFonts w:ascii="宋体" w:hAnsi="宋体" w:cs="宋体"/>
          <w:sz w:val="24"/>
        </w:rPr>
      </w:pPr>
      <w:r>
        <w:rPr>
          <w:rFonts w:hint="eastAsia" w:ascii="宋体" w:hAnsi="宋体" w:cs="宋体"/>
          <w:sz w:val="24"/>
        </w:rPr>
        <w:t>3、</w:t>
      </w:r>
      <w:r>
        <w:rPr>
          <w:rFonts w:ascii="宋体" w:hAnsi="宋体" w:cs="宋体"/>
          <w:sz w:val="24"/>
        </w:rPr>
        <w:t>拍卖成交后，买受人拒收有关文件、函件，或怠于办理标的移交手续等。</w:t>
      </w:r>
    </w:p>
    <w:p w14:paraId="75DC77DF">
      <w:pPr>
        <w:spacing w:line="400" w:lineRule="exact"/>
        <w:ind w:firstLine="360" w:firstLineChars="150"/>
        <w:rPr>
          <w:rFonts w:ascii="宋体" w:hAnsi="宋体" w:cs="宋体"/>
          <w:sz w:val="24"/>
        </w:rPr>
      </w:pPr>
      <w:r>
        <w:rPr>
          <w:rFonts w:hint="eastAsia" w:ascii="宋体" w:hAnsi="宋体" w:cs="宋体"/>
          <w:sz w:val="24"/>
        </w:rPr>
        <w:t>4、</w:t>
      </w:r>
      <w:r>
        <w:rPr>
          <w:rFonts w:ascii="宋体" w:hAnsi="宋体" w:cs="宋体"/>
          <w:sz w:val="24"/>
        </w:rPr>
        <w:t>违反</w:t>
      </w:r>
      <w:r>
        <w:rPr>
          <w:rFonts w:hint="eastAsia" w:ascii="宋体" w:hAnsi="宋体" w:cs="宋体"/>
          <w:sz w:val="24"/>
        </w:rPr>
        <w:t>《</w:t>
      </w:r>
      <w:r>
        <w:rPr>
          <w:rFonts w:ascii="宋体" w:hAnsi="宋体" w:cs="宋体"/>
          <w:sz w:val="24"/>
        </w:rPr>
        <w:t>竞买须知</w:t>
      </w:r>
      <w:r>
        <w:rPr>
          <w:rFonts w:hint="eastAsia" w:ascii="宋体" w:hAnsi="宋体" w:cs="宋体"/>
          <w:sz w:val="24"/>
        </w:rPr>
        <w:t>》、《</w:t>
      </w:r>
      <w:r>
        <w:rPr>
          <w:rFonts w:ascii="宋体" w:hAnsi="宋体" w:cs="宋体"/>
          <w:sz w:val="24"/>
        </w:rPr>
        <w:t>竞买</w:t>
      </w:r>
      <w:r>
        <w:rPr>
          <w:rFonts w:hint="eastAsia" w:ascii="宋体" w:hAnsi="宋体" w:cs="宋体"/>
          <w:sz w:val="24"/>
        </w:rPr>
        <w:t>协议》</w:t>
      </w:r>
      <w:r>
        <w:rPr>
          <w:rFonts w:ascii="宋体" w:hAnsi="宋体"/>
          <w:sz w:val="24"/>
        </w:rPr>
        <w:t>及拍卖规则约定</w:t>
      </w:r>
      <w:r>
        <w:rPr>
          <w:rFonts w:ascii="宋体" w:hAnsi="宋体" w:cs="宋体"/>
          <w:sz w:val="24"/>
        </w:rPr>
        <w:t>的其他行为的。</w:t>
      </w:r>
    </w:p>
    <w:p w14:paraId="3373B93E">
      <w:pPr>
        <w:spacing w:line="400" w:lineRule="exact"/>
        <w:ind w:firstLine="482" w:firstLineChars="200"/>
        <w:rPr>
          <w:rFonts w:ascii="宋体" w:hAnsi="宋体"/>
          <w:b/>
          <w:sz w:val="24"/>
        </w:rPr>
      </w:pPr>
      <w:r>
        <w:rPr>
          <w:rFonts w:hint="eastAsia" w:ascii="宋体" w:hAnsi="宋体"/>
          <w:b/>
          <w:sz w:val="24"/>
        </w:rPr>
        <w:t>七、通知方式：</w:t>
      </w:r>
    </w:p>
    <w:p w14:paraId="3FC31F89">
      <w:pPr>
        <w:spacing w:line="400" w:lineRule="exact"/>
        <w:ind w:firstLine="480" w:firstLineChars="200"/>
        <w:rPr>
          <w:rFonts w:ascii="宋体" w:hAnsi="宋体" w:cs="宋体"/>
          <w:sz w:val="24"/>
        </w:rPr>
      </w:pPr>
      <w:r>
        <w:rPr>
          <w:rFonts w:hint="eastAsia" w:ascii="宋体" w:hAnsi="宋体" w:cs="宋体"/>
          <w:sz w:val="24"/>
        </w:rPr>
        <w:t>竞买人确定身份证载明的地址或营业执照载明的住所地为竞买人收件地址，报名登记时预留的电话为联系电话，凡与本次拍卖有关的任何通知、主张、函件等文书，均可向该地址或电话送达，如有变更应书面通知拍卖人。迁址、更换收件人、拒收或无人接收造成投递不成的，视为已送达。</w:t>
      </w:r>
    </w:p>
    <w:p w14:paraId="736EB760">
      <w:pPr>
        <w:spacing w:line="400" w:lineRule="exact"/>
        <w:ind w:firstLine="482" w:firstLineChars="200"/>
        <w:rPr>
          <w:rFonts w:ascii="宋体" w:hAnsi="宋体"/>
          <w:b/>
          <w:sz w:val="24"/>
        </w:rPr>
      </w:pPr>
      <w:r>
        <w:rPr>
          <w:rFonts w:hint="eastAsia" w:ascii="宋体" w:hAnsi="宋体"/>
          <w:b/>
          <w:sz w:val="24"/>
        </w:rPr>
        <w:t>八、争议解决方式</w:t>
      </w:r>
    </w:p>
    <w:p w14:paraId="4CD03021">
      <w:pPr>
        <w:spacing w:line="400" w:lineRule="exact"/>
        <w:ind w:firstLine="480" w:firstLineChars="200"/>
        <w:rPr>
          <w:rFonts w:ascii="宋体" w:hAnsi="宋体"/>
          <w:bCs/>
          <w:sz w:val="24"/>
        </w:rPr>
      </w:pPr>
      <w:r>
        <w:rPr>
          <w:rFonts w:hint="eastAsia" w:ascii="宋体" w:hAnsi="宋体"/>
          <w:bCs/>
          <w:sz w:val="24"/>
        </w:rPr>
        <w:t>本拍卖合同履行中发生争议的，由双方当事人协商解决；协商不成的，依法向拍卖人经营地人民法院提起诉讼。拍卖人因追究买受人违约责任而产生的诉状费、保全费、律师费、公告费、鉴定费等实现债权的费用均由竞买人（买受人）承担。</w:t>
      </w:r>
    </w:p>
    <w:p w14:paraId="500CEC37">
      <w:pPr>
        <w:spacing w:line="400" w:lineRule="exact"/>
        <w:ind w:firstLine="482" w:firstLineChars="200"/>
        <w:rPr>
          <w:rFonts w:ascii="宋体" w:hAnsi="宋体"/>
          <w:bCs/>
          <w:sz w:val="24"/>
        </w:rPr>
      </w:pPr>
      <w:r>
        <w:rPr>
          <w:rFonts w:hint="eastAsia" w:ascii="宋体" w:hAnsi="宋体"/>
          <w:b/>
          <w:sz w:val="24"/>
        </w:rPr>
        <w:t>九、</w:t>
      </w:r>
      <w:r>
        <w:rPr>
          <w:rFonts w:hint="eastAsia" w:ascii="宋体" w:hAnsi="宋体"/>
          <w:bCs/>
          <w:sz w:val="24"/>
        </w:rPr>
        <w:t>本协议一式贰份，拍卖人和竞买人各一份，各条款自竞买人或其委托代理人签字或盖章之日起，对竞买人发生法律效力。</w:t>
      </w:r>
    </w:p>
    <w:p w14:paraId="1F55F807">
      <w:pPr>
        <w:spacing w:line="400" w:lineRule="exact"/>
        <w:jc w:val="left"/>
        <w:rPr>
          <w:rFonts w:ascii="宋体" w:hAnsi="宋体"/>
          <w:b/>
          <w:bCs/>
          <w:sz w:val="24"/>
        </w:rPr>
      </w:pPr>
    </w:p>
    <w:p w14:paraId="65E736BC">
      <w:pPr>
        <w:spacing w:line="400" w:lineRule="exact"/>
        <w:jc w:val="left"/>
        <w:rPr>
          <w:rFonts w:ascii="宋体" w:hAnsi="宋体"/>
          <w:b/>
          <w:bCs/>
          <w:sz w:val="24"/>
        </w:rPr>
      </w:pPr>
      <w:r>
        <w:rPr>
          <w:rFonts w:hint="eastAsia" w:ascii="宋体" w:hAnsi="宋体"/>
          <w:b/>
          <w:bCs/>
          <w:sz w:val="24"/>
        </w:rPr>
        <w:t xml:space="preserve">拍卖人：（签章）                                   竞买人（签章）：                                     </w:t>
      </w:r>
    </w:p>
    <w:p w14:paraId="7BED1045">
      <w:pPr>
        <w:spacing w:line="400" w:lineRule="exact"/>
        <w:jc w:val="right"/>
        <w:rPr>
          <w:rFonts w:ascii="宋体" w:hAnsi="宋体"/>
          <w:sz w:val="24"/>
        </w:rPr>
      </w:pPr>
      <w:r>
        <w:rPr>
          <w:rFonts w:hint="eastAsia" w:ascii="宋体" w:hAnsi="宋体"/>
          <w:b/>
          <w:sz w:val="24"/>
        </w:rPr>
        <w:t xml:space="preserve">                                                  签订日期：     年    月    日</w:t>
      </w:r>
    </w:p>
    <w:p w14:paraId="3CF50A99">
      <w:pPr>
        <w:spacing w:line="400" w:lineRule="exact"/>
        <w:jc w:val="left"/>
        <w:rPr>
          <w:rFonts w:ascii="宋体" w:hAnsi="宋体"/>
          <w:sz w:val="24"/>
        </w:rPr>
      </w:pPr>
    </w:p>
    <w:p w14:paraId="04ABDD76">
      <w:pPr>
        <w:spacing w:line="400" w:lineRule="exact"/>
        <w:jc w:val="left"/>
        <w:rPr>
          <w:rFonts w:ascii="宋体" w:hAnsi="宋体"/>
          <w:sz w:val="24"/>
        </w:rPr>
      </w:pPr>
    </w:p>
    <w:p w14:paraId="32121509">
      <w:pPr>
        <w:snapToGrid w:val="0"/>
        <w:spacing w:line="400" w:lineRule="exact"/>
        <w:jc w:val="left"/>
        <w:rPr>
          <w:rFonts w:ascii="宋体" w:hAnsi="宋体"/>
          <w:sz w:val="24"/>
        </w:rPr>
      </w:pPr>
    </w:p>
    <w:p w14:paraId="18043278">
      <w:pPr>
        <w:snapToGrid w:val="0"/>
        <w:spacing w:line="400" w:lineRule="exact"/>
        <w:jc w:val="left"/>
        <w:rPr>
          <w:rFonts w:ascii="Times New Roman" w:hAnsi="Times New Roman"/>
        </w:rPr>
      </w:pPr>
      <w:r>
        <w:rPr>
          <w:rFonts w:hint="eastAsia" w:ascii="宋体" w:hAnsi="宋体"/>
          <w:sz w:val="24"/>
        </w:rPr>
        <w:t>本人（单位）已亲自领取</w:t>
      </w:r>
      <w:r>
        <w:rPr>
          <w:rFonts w:hint="eastAsia" w:ascii="宋体" w:hAnsi="宋体"/>
          <w:sz w:val="24"/>
          <w:u w:val="single"/>
        </w:rPr>
        <w:t xml:space="preserve">      </w:t>
      </w:r>
      <w:r>
        <w:rPr>
          <w:rFonts w:hint="eastAsia" w:ascii="宋体" w:hAnsi="宋体"/>
          <w:sz w:val="24"/>
        </w:rPr>
        <w:t>号竞买号牌。     竞买人（签字或盖章）：</w:t>
      </w:r>
    </w:p>
    <w:p w14:paraId="4C25298A">
      <w:pPr>
        <w:jc w:val="both"/>
        <w:rPr>
          <w:rFonts w:ascii="宋体" w:hAnsi="宋体" w:cs="宋体"/>
          <w:b/>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L-Hei-Med-Jian">
    <w:altName w:val="微软雅黑"/>
    <w:panose1 w:val="00000000000000000000"/>
    <w:charset w:val="86"/>
    <w:family w:val="auto"/>
    <w:pitch w:val="default"/>
    <w:sig w:usb0="00000000" w:usb1="00000000" w:usb2="0E040001"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ODMwOTQ1OGQ3ZTgzMDRhZTJiOGEzM2YxYTgzYmUifQ=="/>
  </w:docVars>
  <w:rsids>
    <w:rsidRoot w:val="001F0000"/>
    <w:rsid w:val="00003896"/>
    <w:rsid w:val="00006213"/>
    <w:rsid w:val="00020F34"/>
    <w:rsid w:val="000249EE"/>
    <w:rsid w:val="000273D5"/>
    <w:rsid w:val="000333E4"/>
    <w:rsid w:val="000350F6"/>
    <w:rsid w:val="00035859"/>
    <w:rsid w:val="00040DB9"/>
    <w:rsid w:val="000452F3"/>
    <w:rsid w:val="0005338C"/>
    <w:rsid w:val="00061EEA"/>
    <w:rsid w:val="000625B7"/>
    <w:rsid w:val="0006625D"/>
    <w:rsid w:val="00070908"/>
    <w:rsid w:val="00075ACA"/>
    <w:rsid w:val="00076A83"/>
    <w:rsid w:val="00096373"/>
    <w:rsid w:val="000A3282"/>
    <w:rsid w:val="000B0BE6"/>
    <w:rsid w:val="000B7C65"/>
    <w:rsid w:val="000C1F84"/>
    <w:rsid w:val="000D3584"/>
    <w:rsid w:val="000E1D2E"/>
    <w:rsid w:val="000F3E58"/>
    <w:rsid w:val="0010717F"/>
    <w:rsid w:val="00111F2F"/>
    <w:rsid w:val="00112FC6"/>
    <w:rsid w:val="001172E6"/>
    <w:rsid w:val="00130230"/>
    <w:rsid w:val="001330FE"/>
    <w:rsid w:val="00150CC0"/>
    <w:rsid w:val="00154443"/>
    <w:rsid w:val="00175DF8"/>
    <w:rsid w:val="00196E18"/>
    <w:rsid w:val="00197585"/>
    <w:rsid w:val="001A0C98"/>
    <w:rsid w:val="001C3EEE"/>
    <w:rsid w:val="001D2070"/>
    <w:rsid w:val="001F0000"/>
    <w:rsid w:val="001F0734"/>
    <w:rsid w:val="002052E9"/>
    <w:rsid w:val="002062DC"/>
    <w:rsid w:val="002076B2"/>
    <w:rsid w:val="0021695F"/>
    <w:rsid w:val="00220832"/>
    <w:rsid w:val="002218A9"/>
    <w:rsid w:val="00222134"/>
    <w:rsid w:val="00233692"/>
    <w:rsid w:val="002457EB"/>
    <w:rsid w:val="00252D67"/>
    <w:rsid w:val="00264652"/>
    <w:rsid w:val="00292249"/>
    <w:rsid w:val="002A0EB3"/>
    <w:rsid w:val="002A5DDF"/>
    <w:rsid w:val="002D6D7E"/>
    <w:rsid w:val="002D7186"/>
    <w:rsid w:val="002E099F"/>
    <w:rsid w:val="002E1289"/>
    <w:rsid w:val="002F4858"/>
    <w:rsid w:val="002F4A8A"/>
    <w:rsid w:val="00306589"/>
    <w:rsid w:val="00316512"/>
    <w:rsid w:val="00327FD1"/>
    <w:rsid w:val="003303B8"/>
    <w:rsid w:val="00331BFF"/>
    <w:rsid w:val="00352AA1"/>
    <w:rsid w:val="00363C8F"/>
    <w:rsid w:val="003674DF"/>
    <w:rsid w:val="00377671"/>
    <w:rsid w:val="00387971"/>
    <w:rsid w:val="00393B6E"/>
    <w:rsid w:val="0039685E"/>
    <w:rsid w:val="00396B13"/>
    <w:rsid w:val="003A7A46"/>
    <w:rsid w:val="003B0E18"/>
    <w:rsid w:val="003C55A4"/>
    <w:rsid w:val="003C75AA"/>
    <w:rsid w:val="003E298F"/>
    <w:rsid w:val="003E2DEA"/>
    <w:rsid w:val="003E360C"/>
    <w:rsid w:val="003F2770"/>
    <w:rsid w:val="00400977"/>
    <w:rsid w:val="00412905"/>
    <w:rsid w:val="00425433"/>
    <w:rsid w:val="0042623D"/>
    <w:rsid w:val="0044564F"/>
    <w:rsid w:val="00463A01"/>
    <w:rsid w:val="0046704C"/>
    <w:rsid w:val="00486D39"/>
    <w:rsid w:val="004B2780"/>
    <w:rsid w:val="004B6FA7"/>
    <w:rsid w:val="004C10C1"/>
    <w:rsid w:val="004D025B"/>
    <w:rsid w:val="004E6118"/>
    <w:rsid w:val="004F1B89"/>
    <w:rsid w:val="004F2185"/>
    <w:rsid w:val="004F5B3F"/>
    <w:rsid w:val="004F6A3A"/>
    <w:rsid w:val="005404A6"/>
    <w:rsid w:val="00545808"/>
    <w:rsid w:val="00560617"/>
    <w:rsid w:val="00567119"/>
    <w:rsid w:val="00577947"/>
    <w:rsid w:val="005A4490"/>
    <w:rsid w:val="005A74B2"/>
    <w:rsid w:val="005B26A1"/>
    <w:rsid w:val="005B5AA4"/>
    <w:rsid w:val="00603926"/>
    <w:rsid w:val="00604949"/>
    <w:rsid w:val="00606915"/>
    <w:rsid w:val="0061470E"/>
    <w:rsid w:val="00624A47"/>
    <w:rsid w:val="006257BE"/>
    <w:rsid w:val="00631B8C"/>
    <w:rsid w:val="00652C00"/>
    <w:rsid w:val="0065416D"/>
    <w:rsid w:val="00655674"/>
    <w:rsid w:val="00657E53"/>
    <w:rsid w:val="00680650"/>
    <w:rsid w:val="006836E9"/>
    <w:rsid w:val="0069075C"/>
    <w:rsid w:val="00696F50"/>
    <w:rsid w:val="006A38C3"/>
    <w:rsid w:val="006B049D"/>
    <w:rsid w:val="006B2500"/>
    <w:rsid w:val="006D083B"/>
    <w:rsid w:val="006D11E8"/>
    <w:rsid w:val="006E0F03"/>
    <w:rsid w:val="006E6B8B"/>
    <w:rsid w:val="006F132E"/>
    <w:rsid w:val="006F5A8F"/>
    <w:rsid w:val="00703DA7"/>
    <w:rsid w:val="00710660"/>
    <w:rsid w:val="00716D96"/>
    <w:rsid w:val="00722159"/>
    <w:rsid w:val="007357ED"/>
    <w:rsid w:val="00750654"/>
    <w:rsid w:val="007528EF"/>
    <w:rsid w:val="00752A3D"/>
    <w:rsid w:val="00753343"/>
    <w:rsid w:val="00764307"/>
    <w:rsid w:val="00767076"/>
    <w:rsid w:val="007714A0"/>
    <w:rsid w:val="0077480B"/>
    <w:rsid w:val="00780DC8"/>
    <w:rsid w:val="0078142F"/>
    <w:rsid w:val="007959C5"/>
    <w:rsid w:val="007A069A"/>
    <w:rsid w:val="007A4244"/>
    <w:rsid w:val="007B0A83"/>
    <w:rsid w:val="007B1D26"/>
    <w:rsid w:val="007B5302"/>
    <w:rsid w:val="007B673B"/>
    <w:rsid w:val="007C05E4"/>
    <w:rsid w:val="007C17A2"/>
    <w:rsid w:val="007C7BF6"/>
    <w:rsid w:val="007D05E8"/>
    <w:rsid w:val="007D1525"/>
    <w:rsid w:val="007E28C8"/>
    <w:rsid w:val="008018E4"/>
    <w:rsid w:val="00801F31"/>
    <w:rsid w:val="00804FBF"/>
    <w:rsid w:val="00826F58"/>
    <w:rsid w:val="00827422"/>
    <w:rsid w:val="0083174A"/>
    <w:rsid w:val="00842885"/>
    <w:rsid w:val="0084667E"/>
    <w:rsid w:val="00846D8B"/>
    <w:rsid w:val="00847DC6"/>
    <w:rsid w:val="00851F29"/>
    <w:rsid w:val="00856EAC"/>
    <w:rsid w:val="008709C0"/>
    <w:rsid w:val="008811C2"/>
    <w:rsid w:val="00881D10"/>
    <w:rsid w:val="008865FD"/>
    <w:rsid w:val="00892BD9"/>
    <w:rsid w:val="008A554B"/>
    <w:rsid w:val="008B3111"/>
    <w:rsid w:val="008C50FC"/>
    <w:rsid w:val="008D116C"/>
    <w:rsid w:val="008D1440"/>
    <w:rsid w:val="008F1DB5"/>
    <w:rsid w:val="008F361A"/>
    <w:rsid w:val="0090019F"/>
    <w:rsid w:val="009025AC"/>
    <w:rsid w:val="00905715"/>
    <w:rsid w:val="009169DC"/>
    <w:rsid w:val="009174C2"/>
    <w:rsid w:val="00921CE6"/>
    <w:rsid w:val="00926088"/>
    <w:rsid w:val="00927009"/>
    <w:rsid w:val="00930701"/>
    <w:rsid w:val="0093328B"/>
    <w:rsid w:val="00957918"/>
    <w:rsid w:val="009602C8"/>
    <w:rsid w:val="00961DED"/>
    <w:rsid w:val="00971990"/>
    <w:rsid w:val="00976538"/>
    <w:rsid w:val="00986C5E"/>
    <w:rsid w:val="009878FF"/>
    <w:rsid w:val="0099056C"/>
    <w:rsid w:val="00994D5C"/>
    <w:rsid w:val="009961C8"/>
    <w:rsid w:val="009967AA"/>
    <w:rsid w:val="00996BC2"/>
    <w:rsid w:val="009A46A7"/>
    <w:rsid w:val="009A522F"/>
    <w:rsid w:val="009A5C01"/>
    <w:rsid w:val="009B69A6"/>
    <w:rsid w:val="009C418D"/>
    <w:rsid w:val="009D1EC8"/>
    <w:rsid w:val="009D6B98"/>
    <w:rsid w:val="009D70A8"/>
    <w:rsid w:val="00A02E9B"/>
    <w:rsid w:val="00A14109"/>
    <w:rsid w:val="00A22421"/>
    <w:rsid w:val="00A262D7"/>
    <w:rsid w:val="00A30E09"/>
    <w:rsid w:val="00A3744D"/>
    <w:rsid w:val="00A40CF0"/>
    <w:rsid w:val="00A42050"/>
    <w:rsid w:val="00A526CF"/>
    <w:rsid w:val="00A56FC9"/>
    <w:rsid w:val="00A61D56"/>
    <w:rsid w:val="00A65315"/>
    <w:rsid w:val="00A750B7"/>
    <w:rsid w:val="00A871AF"/>
    <w:rsid w:val="00A9455E"/>
    <w:rsid w:val="00A94864"/>
    <w:rsid w:val="00A97B0A"/>
    <w:rsid w:val="00AA6D2E"/>
    <w:rsid w:val="00AB3552"/>
    <w:rsid w:val="00AC1966"/>
    <w:rsid w:val="00AC642D"/>
    <w:rsid w:val="00AC75B7"/>
    <w:rsid w:val="00AD24C0"/>
    <w:rsid w:val="00AE362A"/>
    <w:rsid w:val="00AE6D59"/>
    <w:rsid w:val="00AF4909"/>
    <w:rsid w:val="00B00749"/>
    <w:rsid w:val="00B01365"/>
    <w:rsid w:val="00B048C7"/>
    <w:rsid w:val="00B04AF8"/>
    <w:rsid w:val="00B100EF"/>
    <w:rsid w:val="00B1189F"/>
    <w:rsid w:val="00B15DB4"/>
    <w:rsid w:val="00B16B21"/>
    <w:rsid w:val="00B22CD8"/>
    <w:rsid w:val="00B41D7B"/>
    <w:rsid w:val="00B457A2"/>
    <w:rsid w:val="00B514AA"/>
    <w:rsid w:val="00B54F07"/>
    <w:rsid w:val="00B5703C"/>
    <w:rsid w:val="00B6736A"/>
    <w:rsid w:val="00B700AA"/>
    <w:rsid w:val="00B702B2"/>
    <w:rsid w:val="00B7064C"/>
    <w:rsid w:val="00B70E9F"/>
    <w:rsid w:val="00B75CB6"/>
    <w:rsid w:val="00B82AB2"/>
    <w:rsid w:val="00B82CB6"/>
    <w:rsid w:val="00B8491C"/>
    <w:rsid w:val="00B84C86"/>
    <w:rsid w:val="00B9519D"/>
    <w:rsid w:val="00B964FD"/>
    <w:rsid w:val="00BA40CB"/>
    <w:rsid w:val="00BF2C30"/>
    <w:rsid w:val="00C048BB"/>
    <w:rsid w:val="00C10F6D"/>
    <w:rsid w:val="00C117BD"/>
    <w:rsid w:val="00C138D5"/>
    <w:rsid w:val="00C15A4B"/>
    <w:rsid w:val="00C16AC1"/>
    <w:rsid w:val="00C224C9"/>
    <w:rsid w:val="00C556AE"/>
    <w:rsid w:val="00C566AC"/>
    <w:rsid w:val="00C64505"/>
    <w:rsid w:val="00C6471E"/>
    <w:rsid w:val="00C710A2"/>
    <w:rsid w:val="00C7678C"/>
    <w:rsid w:val="00CA2A68"/>
    <w:rsid w:val="00CA7207"/>
    <w:rsid w:val="00CC37F3"/>
    <w:rsid w:val="00CC7201"/>
    <w:rsid w:val="00CC7DB0"/>
    <w:rsid w:val="00CD11D9"/>
    <w:rsid w:val="00CD7D26"/>
    <w:rsid w:val="00CE13E6"/>
    <w:rsid w:val="00CE5E1F"/>
    <w:rsid w:val="00CE65E6"/>
    <w:rsid w:val="00CE7234"/>
    <w:rsid w:val="00CF0384"/>
    <w:rsid w:val="00CF1584"/>
    <w:rsid w:val="00CF179C"/>
    <w:rsid w:val="00D02F6A"/>
    <w:rsid w:val="00D05EF1"/>
    <w:rsid w:val="00D07830"/>
    <w:rsid w:val="00D13D7C"/>
    <w:rsid w:val="00D16E61"/>
    <w:rsid w:val="00D1788A"/>
    <w:rsid w:val="00D20B15"/>
    <w:rsid w:val="00D21282"/>
    <w:rsid w:val="00D31294"/>
    <w:rsid w:val="00D37C5A"/>
    <w:rsid w:val="00D4063B"/>
    <w:rsid w:val="00D47262"/>
    <w:rsid w:val="00D5498B"/>
    <w:rsid w:val="00D550A3"/>
    <w:rsid w:val="00D56CB6"/>
    <w:rsid w:val="00D84607"/>
    <w:rsid w:val="00D962E4"/>
    <w:rsid w:val="00DA442B"/>
    <w:rsid w:val="00DA6E64"/>
    <w:rsid w:val="00DB6443"/>
    <w:rsid w:val="00DE1673"/>
    <w:rsid w:val="00DE1B83"/>
    <w:rsid w:val="00DE2F15"/>
    <w:rsid w:val="00DF0D03"/>
    <w:rsid w:val="00DF1958"/>
    <w:rsid w:val="00DF22F8"/>
    <w:rsid w:val="00E012BB"/>
    <w:rsid w:val="00E07B2D"/>
    <w:rsid w:val="00E20DF0"/>
    <w:rsid w:val="00E21D99"/>
    <w:rsid w:val="00E354DD"/>
    <w:rsid w:val="00E40D49"/>
    <w:rsid w:val="00E412DB"/>
    <w:rsid w:val="00E41A49"/>
    <w:rsid w:val="00E53415"/>
    <w:rsid w:val="00E54EDA"/>
    <w:rsid w:val="00E61353"/>
    <w:rsid w:val="00E82BC7"/>
    <w:rsid w:val="00E953AB"/>
    <w:rsid w:val="00E97385"/>
    <w:rsid w:val="00E97918"/>
    <w:rsid w:val="00EB268B"/>
    <w:rsid w:val="00EC2EAF"/>
    <w:rsid w:val="00ED1821"/>
    <w:rsid w:val="00EE2881"/>
    <w:rsid w:val="00EF6576"/>
    <w:rsid w:val="00F177AD"/>
    <w:rsid w:val="00F21DAE"/>
    <w:rsid w:val="00F224B9"/>
    <w:rsid w:val="00F25FCD"/>
    <w:rsid w:val="00F27784"/>
    <w:rsid w:val="00F304C0"/>
    <w:rsid w:val="00F417F7"/>
    <w:rsid w:val="00F526E9"/>
    <w:rsid w:val="00F65903"/>
    <w:rsid w:val="00F70E3E"/>
    <w:rsid w:val="00F80305"/>
    <w:rsid w:val="00F868E7"/>
    <w:rsid w:val="00F95D62"/>
    <w:rsid w:val="00FA17CA"/>
    <w:rsid w:val="00FA2534"/>
    <w:rsid w:val="00FA2D31"/>
    <w:rsid w:val="00FA52F7"/>
    <w:rsid w:val="00FB5960"/>
    <w:rsid w:val="00FB6273"/>
    <w:rsid w:val="00FC7CA6"/>
    <w:rsid w:val="00FD1526"/>
    <w:rsid w:val="00FD7C34"/>
    <w:rsid w:val="00FE20B1"/>
    <w:rsid w:val="00FF3E82"/>
    <w:rsid w:val="02F053FA"/>
    <w:rsid w:val="02F957BA"/>
    <w:rsid w:val="041217AE"/>
    <w:rsid w:val="04243DB5"/>
    <w:rsid w:val="046D5907"/>
    <w:rsid w:val="06127C7F"/>
    <w:rsid w:val="061E6DF3"/>
    <w:rsid w:val="08082A6A"/>
    <w:rsid w:val="09087F2D"/>
    <w:rsid w:val="090D3D34"/>
    <w:rsid w:val="09E73953"/>
    <w:rsid w:val="0B250B22"/>
    <w:rsid w:val="0F0A77EA"/>
    <w:rsid w:val="1014474D"/>
    <w:rsid w:val="10236D56"/>
    <w:rsid w:val="111D55D6"/>
    <w:rsid w:val="125661BD"/>
    <w:rsid w:val="133534EA"/>
    <w:rsid w:val="14580F7B"/>
    <w:rsid w:val="15591C20"/>
    <w:rsid w:val="16785EC7"/>
    <w:rsid w:val="17937D47"/>
    <w:rsid w:val="17D95B5A"/>
    <w:rsid w:val="181D5DD0"/>
    <w:rsid w:val="182E2B05"/>
    <w:rsid w:val="18FD06C6"/>
    <w:rsid w:val="193B106E"/>
    <w:rsid w:val="1A7C776D"/>
    <w:rsid w:val="1C464DAE"/>
    <w:rsid w:val="1E2D2488"/>
    <w:rsid w:val="1E6C16F7"/>
    <w:rsid w:val="1EE116EA"/>
    <w:rsid w:val="1F1B61FD"/>
    <w:rsid w:val="21DD54D8"/>
    <w:rsid w:val="236B35DE"/>
    <w:rsid w:val="245C4F1A"/>
    <w:rsid w:val="247F5A34"/>
    <w:rsid w:val="25373A88"/>
    <w:rsid w:val="256D713C"/>
    <w:rsid w:val="26D61B36"/>
    <w:rsid w:val="2756483B"/>
    <w:rsid w:val="275B250A"/>
    <w:rsid w:val="28A21EA5"/>
    <w:rsid w:val="28FC05AD"/>
    <w:rsid w:val="2A6615BB"/>
    <w:rsid w:val="2BB53F86"/>
    <w:rsid w:val="2CF611DF"/>
    <w:rsid w:val="2CFB32AA"/>
    <w:rsid w:val="2D047A30"/>
    <w:rsid w:val="2D177F46"/>
    <w:rsid w:val="2DCE1372"/>
    <w:rsid w:val="2EE06F5C"/>
    <w:rsid w:val="2FB20AEC"/>
    <w:rsid w:val="2FEE61B5"/>
    <w:rsid w:val="305849F6"/>
    <w:rsid w:val="310149B3"/>
    <w:rsid w:val="31C62307"/>
    <w:rsid w:val="32393E2F"/>
    <w:rsid w:val="3242177F"/>
    <w:rsid w:val="326C4D06"/>
    <w:rsid w:val="343F1A8D"/>
    <w:rsid w:val="34B57AC5"/>
    <w:rsid w:val="352B1992"/>
    <w:rsid w:val="35686C8D"/>
    <w:rsid w:val="35747523"/>
    <w:rsid w:val="36941E25"/>
    <w:rsid w:val="37076985"/>
    <w:rsid w:val="37AC76B6"/>
    <w:rsid w:val="382E7F1D"/>
    <w:rsid w:val="3883724D"/>
    <w:rsid w:val="38921DA5"/>
    <w:rsid w:val="3B646DBB"/>
    <w:rsid w:val="3CD97164"/>
    <w:rsid w:val="3EB12D6E"/>
    <w:rsid w:val="3EC872EF"/>
    <w:rsid w:val="40E06E45"/>
    <w:rsid w:val="41026B54"/>
    <w:rsid w:val="414D59F2"/>
    <w:rsid w:val="423563DA"/>
    <w:rsid w:val="43C438A1"/>
    <w:rsid w:val="43DF72A0"/>
    <w:rsid w:val="43F97ED6"/>
    <w:rsid w:val="447A0469"/>
    <w:rsid w:val="44D305AF"/>
    <w:rsid w:val="46A45249"/>
    <w:rsid w:val="46AB5DFB"/>
    <w:rsid w:val="471962FC"/>
    <w:rsid w:val="47273D2D"/>
    <w:rsid w:val="49133A5B"/>
    <w:rsid w:val="4AB06DB2"/>
    <w:rsid w:val="4ED14C4C"/>
    <w:rsid w:val="4F71676D"/>
    <w:rsid w:val="50D728A3"/>
    <w:rsid w:val="537E1A3B"/>
    <w:rsid w:val="54760117"/>
    <w:rsid w:val="568D62BE"/>
    <w:rsid w:val="56FF0E7D"/>
    <w:rsid w:val="5B410399"/>
    <w:rsid w:val="5B5B575C"/>
    <w:rsid w:val="5B631C70"/>
    <w:rsid w:val="5C781361"/>
    <w:rsid w:val="5CFE16DC"/>
    <w:rsid w:val="5E557481"/>
    <w:rsid w:val="5F772C46"/>
    <w:rsid w:val="61280FAB"/>
    <w:rsid w:val="62862E1C"/>
    <w:rsid w:val="62AC2121"/>
    <w:rsid w:val="62ED164A"/>
    <w:rsid w:val="634B7540"/>
    <w:rsid w:val="64320FBE"/>
    <w:rsid w:val="6455640F"/>
    <w:rsid w:val="65176F6E"/>
    <w:rsid w:val="660C1107"/>
    <w:rsid w:val="668469F8"/>
    <w:rsid w:val="66853859"/>
    <w:rsid w:val="66AB4D8C"/>
    <w:rsid w:val="66C876DB"/>
    <w:rsid w:val="68C8350F"/>
    <w:rsid w:val="68E3615A"/>
    <w:rsid w:val="69A02B5D"/>
    <w:rsid w:val="6A620DAA"/>
    <w:rsid w:val="6D666D93"/>
    <w:rsid w:val="6ED71821"/>
    <w:rsid w:val="6F7470FC"/>
    <w:rsid w:val="71BC1C54"/>
    <w:rsid w:val="73C60B68"/>
    <w:rsid w:val="75254163"/>
    <w:rsid w:val="77F6147E"/>
    <w:rsid w:val="78E9446D"/>
    <w:rsid w:val="7AA55BE9"/>
    <w:rsid w:val="7AFE34D8"/>
    <w:rsid w:val="7B032D48"/>
    <w:rsid w:val="7BA16274"/>
    <w:rsid w:val="7BC013DF"/>
    <w:rsid w:val="7C3C3E4F"/>
    <w:rsid w:val="7E0A7796"/>
    <w:rsid w:val="7EA17E9B"/>
    <w:rsid w:val="7ECB6868"/>
    <w:rsid w:val="7EF86E49"/>
    <w:rsid w:val="7F1538B3"/>
    <w:rsid w:val="7F1A0C3A"/>
    <w:rsid w:val="7F4D1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link w:val="19"/>
    <w:semiHidden/>
    <w:unhideWhenUsed/>
    <w:qFormat/>
    <w:uiPriority w:val="99"/>
    <w:pPr>
      <w:spacing w:after="120"/>
    </w:pPr>
  </w:style>
  <w:style w:type="paragraph" w:styleId="5">
    <w:name w:val="Body Text Indent"/>
    <w:basedOn w:val="1"/>
    <w:link w:val="14"/>
    <w:qFormat/>
    <w:uiPriority w:val="0"/>
    <w:pPr>
      <w:ind w:firstLine="560" w:firstLineChars="200"/>
    </w:pPr>
    <w:rPr>
      <w:sz w:val="28"/>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annotation reference"/>
    <w:basedOn w:val="12"/>
    <w:semiHidden/>
    <w:unhideWhenUsed/>
    <w:qFormat/>
    <w:uiPriority w:val="99"/>
    <w:rPr>
      <w:sz w:val="21"/>
      <w:szCs w:val="21"/>
    </w:rPr>
  </w:style>
  <w:style w:type="character" w:customStyle="1" w:styleId="14">
    <w:name w:val="正文文本缩进 Char"/>
    <w:basedOn w:val="12"/>
    <w:link w:val="5"/>
    <w:qFormat/>
    <w:uiPriority w:val="0"/>
    <w:rPr>
      <w:rFonts w:ascii="Calibri" w:hAnsi="Calibri" w:eastAsia="宋体" w:cs="Times New Roman"/>
      <w:sz w:val="28"/>
      <w:szCs w:val="24"/>
    </w:rPr>
  </w:style>
  <w:style w:type="character" w:customStyle="1" w:styleId="15">
    <w:name w:val="批注框文本 Char"/>
    <w:basedOn w:val="12"/>
    <w:link w:val="7"/>
    <w:semiHidden/>
    <w:qFormat/>
    <w:uiPriority w:val="99"/>
    <w:rPr>
      <w:rFonts w:ascii="Calibri" w:hAnsi="Calibri" w:eastAsia="宋体" w:cs="Times New Roman"/>
      <w:sz w:val="18"/>
      <w:szCs w:val="18"/>
    </w:rPr>
  </w:style>
  <w:style w:type="character" w:customStyle="1" w:styleId="16">
    <w:name w:val="页眉 Char"/>
    <w:basedOn w:val="12"/>
    <w:link w:val="9"/>
    <w:qFormat/>
    <w:uiPriority w:val="99"/>
    <w:rPr>
      <w:rFonts w:ascii="Calibri" w:hAnsi="Calibri" w:eastAsia="宋体" w:cs="Times New Roman"/>
      <w:sz w:val="18"/>
      <w:szCs w:val="18"/>
    </w:rPr>
  </w:style>
  <w:style w:type="character" w:customStyle="1" w:styleId="17">
    <w:name w:val="页脚 Char"/>
    <w:basedOn w:val="12"/>
    <w:link w:val="8"/>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正文文本 Char"/>
    <w:basedOn w:val="12"/>
    <w:link w:val="4"/>
    <w:semiHidden/>
    <w:qFormat/>
    <w:uiPriority w:val="99"/>
    <w:rPr>
      <w:rFonts w:ascii="Calibri" w:hAnsi="Calibri"/>
      <w:kern w:val="2"/>
      <w:sz w:val="21"/>
      <w:szCs w:val="24"/>
    </w:rPr>
  </w:style>
  <w:style w:type="character" w:customStyle="1" w:styleId="20">
    <w:name w:val="批注文字 Char"/>
    <w:basedOn w:val="12"/>
    <w:link w:val="3"/>
    <w:semiHidden/>
    <w:qFormat/>
    <w:uiPriority w:val="99"/>
    <w:rPr>
      <w:rFonts w:ascii="Calibri" w:hAnsi="Calibri"/>
      <w:kern w:val="2"/>
      <w:sz w:val="21"/>
      <w:szCs w:val="24"/>
    </w:rPr>
  </w:style>
  <w:style w:type="paragraph" w:customStyle="1" w:styleId="21">
    <w:name w:val="Char Char Char1 Char Char Char Char"/>
    <w:basedOn w:val="1"/>
    <w:qFormat/>
    <w:uiPriority w:val="0"/>
    <w:rPr>
      <w:rFonts w:ascii="Times New Roman" w:hAnsi="Times New Roman"/>
      <w:szCs w:val="20"/>
    </w:rPr>
  </w:style>
  <w:style w:type="character" w:customStyle="1" w:styleId="22">
    <w:name w:val="标题 1 Char"/>
    <w:basedOn w:val="12"/>
    <w:link w:val="2"/>
    <w:qFormat/>
    <w:uiPriority w:val="9"/>
    <w:rPr>
      <w:rFonts w:ascii="Calibri" w:hAnsi="Calibri" w:eastAsia="宋体" w:cs="Times New Roman"/>
      <w:b/>
      <w:bCs/>
      <w:kern w:val="44"/>
      <w:sz w:val="44"/>
      <w:szCs w:val="44"/>
    </w:rPr>
  </w:style>
  <w:style w:type="paragraph" w:customStyle="1" w:styleId="23">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 w:type="character" w:customStyle="1" w:styleId="24">
    <w:name w:val="font71"/>
    <w:basedOn w:val="12"/>
    <w:qFormat/>
    <w:uiPriority w:val="0"/>
    <w:rPr>
      <w:rFonts w:hint="eastAsia" w:ascii="宋体" w:hAnsi="宋体" w:eastAsia="宋体" w:cs="宋体"/>
      <w:b/>
      <w:bCs/>
      <w:color w:val="000000"/>
      <w:sz w:val="20"/>
      <w:szCs w:val="20"/>
      <w:u w:val="none"/>
      <w:vertAlign w:val="superscript"/>
    </w:rPr>
  </w:style>
  <w:style w:type="character" w:customStyle="1" w:styleId="25">
    <w:name w:val="font31"/>
    <w:basedOn w:val="12"/>
    <w:qFormat/>
    <w:uiPriority w:val="0"/>
    <w:rPr>
      <w:rFonts w:hint="eastAsia" w:ascii="宋体" w:hAnsi="宋体" w:eastAsia="宋体" w:cs="宋体"/>
      <w:b/>
      <w:bCs/>
      <w:color w:val="000000"/>
      <w:sz w:val="20"/>
      <w:szCs w:val="20"/>
      <w:u w:val="none"/>
    </w:rPr>
  </w:style>
  <w:style w:type="character" w:customStyle="1" w:styleId="26">
    <w:name w:val="日期 Char"/>
    <w:basedOn w:val="12"/>
    <w:link w:val="6"/>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0E0C4-C0B6-4E82-92C5-F5F4351B9E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6319</Words>
  <Characters>6722</Characters>
  <Lines>50</Lines>
  <Paragraphs>14</Paragraphs>
  <TotalTime>0</TotalTime>
  <ScaleCrop>false</ScaleCrop>
  <LinksUpToDate>false</LinksUpToDate>
  <CharactersWithSpaces>6780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2021-06-23T10:11:00Z</dcterms:created>
  <dc:creator>Administrator</dc:creator>
  <cp:lastModifiedBy>Administrator</cp:lastModifiedBy>
  <cp:lastPrinted>2020-09-08T09:26:00Z</cp:lastPrinted>
  <dcterms:modified xsi:type="dcterms:W3CDTF">2025-06-25T09:53:38Z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4A6311A92158477FA031ADE4B792BE4C_13</vt:lpwstr>
  </property>
  <property fmtid="{D5CDD505-2E9C-101B-9397-08002B2CF9AE}" pid="4" name="KSOTemplateDocerSaveRecord">
    <vt:lpwstr>eyJoZGlkIjoiOGFjMmU0Yjk5NmUyMjAwNzM3OGEzNzg5ZGMyZDkzOWUiLCJ1c2VySWQiOiIxNTc4Njk4MDQ3In0=</vt:lpwstr>
  </property>
</Properties>
</file>