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58C75">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4185CA02">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w:t>
      </w:r>
      <w:r>
        <w:rPr>
          <w:rFonts w:hint="eastAsia" w:asciiTheme="minorEastAsia" w:hAnsiTheme="minorEastAsia" w:eastAsiaTheme="minorEastAsia" w:cstheme="minorEastAsia"/>
          <w:b w:val="0"/>
          <w:bCs w:val="0"/>
          <w:color w:val="auto"/>
          <w:kern w:val="2"/>
          <w:sz w:val="24"/>
          <w:szCs w:val="24"/>
          <w:highlight w:val="none"/>
          <w:shd w:val="clear"/>
          <w:lang w:val="en-US" w:eastAsia="zh-CN"/>
        </w:rPr>
        <w:t>20250910</w:t>
      </w:r>
      <w:r>
        <w:rPr>
          <w:rFonts w:hint="eastAsia" w:asciiTheme="minorEastAsia" w:hAnsiTheme="minorEastAsia" w:eastAsiaTheme="minorEastAsia" w:cstheme="minorEastAsia"/>
          <w:b w:val="0"/>
          <w:bCs w:val="0"/>
          <w:color w:val="auto"/>
          <w:kern w:val="2"/>
          <w:sz w:val="24"/>
          <w:szCs w:val="24"/>
          <w:highlight w:val="none"/>
          <w:shd w:val="clear"/>
        </w:rPr>
        <w:t>）</w:t>
      </w:r>
    </w:p>
    <w:p w14:paraId="38D9CF4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261C1FE3">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4789EAE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9月10 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53C70D63">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552958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9月4日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9月9日</w:t>
      </w:r>
      <w:r>
        <w:rPr>
          <w:rFonts w:hint="eastAsia" w:asciiTheme="minorEastAsia" w:hAnsiTheme="minorEastAsia" w:eastAsiaTheme="minorEastAsia" w:cstheme="minorEastAsia"/>
          <w:color w:val="auto"/>
          <w:kern w:val="2"/>
          <w:sz w:val="24"/>
          <w:szCs w:val="24"/>
          <w:highlight w:val="none"/>
          <w:shd w:val="clear"/>
        </w:rPr>
        <w:t>17时(节假日除外)</w:t>
      </w:r>
    </w:p>
    <w:p w14:paraId="73830951">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0C2CC93C">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14:paraId="7FAA81B7">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2A6145B9">
      <w:pPr>
        <w:widowControl/>
        <w:shd w:val="clear"/>
        <w:snapToGrid/>
        <w:spacing w:before="0" w:beforeAutospacing="0" w:after="0" w:afterAutospacing="0" w:line="360" w:lineRule="auto"/>
        <w:ind w:firstLine="480" w:firstLineChars="200"/>
        <w:rPr>
          <w:rFonts w:hint="eastAsia" w:ascii="宋体" w:hAnsi="宋体" w:cs="宋体" w:eastAsia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auto"/>
          <w:kern w:val="2"/>
          <w:sz w:val="24"/>
          <w:szCs w:val="24"/>
          <w:highlight w:val="none"/>
          <w:u w:val="none"/>
          <w:lang w:val="en-US" w:eastAsia="zh-CN"/>
        </w:rPr>
        <w:t>连城县四角井资产（四角井历史文化街区文化展览及活动中心）划拨控制性详细规划编制服务采购项目</w:t>
      </w:r>
    </w:p>
    <w:p w14:paraId="2D0C60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2.规划范围</w:t>
      </w:r>
      <w:r>
        <w:rPr>
          <w:rFonts w:hint="eastAsia" w:ascii="宋体" w:hAnsi="宋体" w:eastAsia="宋体" w:cs="宋体"/>
          <w:i w:val="0"/>
          <w:iCs w:val="0"/>
          <w:caps w:val="0"/>
          <w:color w:val="auto"/>
          <w:spacing w:val="0"/>
          <w:sz w:val="24"/>
          <w:szCs w:val="24"/>
          <w:highlight w:val="none"/>
          <w:shd w:val="clear" w:fill="FFFFFF"/>
        </w:rPr>
        <w:t>：</w:t>
      </w:r>
    </w:p>
    <w:p w14:paraId="1E9F7B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地块1：位置：吴家巷，面积1618.25平方米。</w:t>
      </w:r>
    </w:p>
    <w:p w14:paraId="1E9B2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地块2：位置：明光巷、水南路等，面积6565.35平方米。</w:t>
      </w:r>
    </w:p>
    <w:p w14:paraId="4D0000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地块3：位置：老五金厂等，面积517.67平方米。</w:t>
      </w:r>
    </w:p>
    <w:p w14:paraId="4D486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地块4：位置：楼背巷，面积19.18平方米。</w:t>
      </w:r>
    </w:p>
    <w:p w14:paraId="689530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地块5：位置：冷冻厂，面积2258.10平方米。</w:t>
      </w:r>
    </w:p>
    <w:p w14:paraId="78D25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地块6：位置：邓公陂，面积375.98平方米。</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p>
    <w:p w14:paraId="3B2FB0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3.项目服务内容包括但不限于：</w:t>
      </w:r>
    </w:p>
    <w:p w14:paraId="21C416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（1）现状调研与数据分析；</w:t>
      </w:r>
    </w:p>
    <w:p w14:paraId="32067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（2）规划方案编制（含用地布局、交通组织、市政设施等专项研究）；</w:t>
      </w:r>
    </w:p>
    <w:p w14:paraId="7C8C19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（3）控制性详细规划法定成果（文本、图集、数据库）；</w:t>
      </w:r>
    </w:p>
    <w:p w14:paraId="0A90F5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（4）配合规划报批及后续技术服务。</w:t>
      </w:r>
    </w:p>
    <w:p w14:paraId="21371C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4.服务周期：服务期自合同签订之日起至控制性详细规划编制通过审查之日止，具体以委托人要求为准。</w:t>
      </w:r>
    </w:p>
    <w:p w14:paraId="709903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5.‌成果要求‌：符合《城市规划编制办法》《控制性详细规划编制规范》等国家及地方标准。</w:t>
      </w:r>
    </w:p>
    <w:p w14:paraId="4E3AFB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最高限价：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10.8万元（1.8万元/地块×6个地块）</w:t>
      </w:r>
      <w:r>
        <w:rPr>
          <w:rFonts w:hint="eastAsia" w:ascii="宋体" w:hAnsi="宋体" w:eastAsia="宋体" w:cs="宋体"/>
          <w:i w:val="0"/>
          <w:iCs w:val="0"/>
          <w:caps w:val="0"/>
          <w:color w:val="auto"/>
          <w:spacing w:val="0"/>
          <w:sz w:val="24"/>
          <w:szCs w:val="24"/>
          <w:highlight w:val="none"/>
          <w:shd w:val="clear" w:fill="FFFFFF"/>
        </w:rPr>
        <w:t>（含税</w:t>
      </w:r>
      <w:r>
        <w:rPr>
          <w:rFonts w:hint="eastAsia" w:ascii="宋体" w:hAnsi="宋体" w:eastAsia="宋体" w:cs="宋体"/>
          <w:i w:val="0"/>
          <w:iCs w:val="0"/>
          <w:caps w:val="0"/>
          <w:color w:val="auto"/>
          <w:spacing w:val="0"/>
          <w:sz w:val="24"/>
          <w:szCs w:val="24"/>
          <w:highlight w:val="none"/>
          <w:shd w:val="clear" w:fill="FFFFFF"/>
          <w:lang w:val="en-US" w:eastAsia="zh-CN"/>
        </w:rPr>
        <w:t>包干</w:t>
      </w:r>
      <w:r>
        <w:rPr>
          <w:rFonts w:hint="eastAsia" w:ascii="宋体" w:hAnsi="宋体" w:eastAsia="宋体" w:cs="宋体"/>
          <w:i w:val="0"/>
          <w:iCs w:val="0"/>
          <w:caps w:val="0"/>
          <w:color w:val="auto"/>
          <w:spacing w:val="0"/>
          <w:sz w:val="24"/>
          <w:szCs w:val="24"/>
          <w:highlight w:val="none"/>
          <w:shd w:val="clear" w:fill="FFFFFF"/>
        </w:rPr>
        <w:t>），</w:t>
      </w:r>
      <w:r>
        <w:rPr>
          <w:rFonts w:hint="eastAsia" w:asciiTheme="minorEastAsia" w:hAnsiTheme="minorEastAsia" w:eastAsiaTheme="minorEastAsia" w:cstheme="minorEastAsia"/>
          <w:color w:val="auto"/>
          <w:kern w:val="0"/>
          <w:sz w:val="24"/>
          <w:szCs w:val="24"/>
          <w:highlight w:val="none"/>
          <w:lang w:val="en-US" w:eastAsia="zh-CN"/>
        </w:rPr>
        <w:t>竞价人</w:t>
      </w:r>
      <w:r>
        <w:rPr>
          <w:rFonts w:hint="eastAsia" w:ascii="宋体" w:hAnsi="宋体" w:eastAsia="宋体" w:cs="宋体"/>
          <w:i w:val="0"/>
          <w:iCs w:val="0"/>
          <w:caps w:val="0"/>
          <w:color w:val="auto"/>
          <w:spacing w:val="0"/>
          <w:sz w:val="24"/>
          <w:szCs w:val="24"/>
          <w:highlight w:val="none"/>
          <w:shd w:val="clear" w:fill="FFFFFF"/>
        </w:rPr>
        <w:t>在报价时不得高于最高限价，根据有效供应商报价排名情况，由高到低排序，最低的一名即为成交</w:t>
      </w:r>
      <w:r>
        <w:rPr>
          <w:rFonts w:hint="eastAsia" w:ascii="宋体" w:hAnsi="宋体" w:eastAsia="宋体" w:cs="宋体"/>
          <w:i w:val="0"/>
          <w:iCs w:val="0"/>
          <w:caps w:val="0"/>
          <w:color w:val="auto"/>
          <w:spacing w:val="0"/>
          <w:sz w:val="24"/>
          <w:szCs w:val="24"/>
          <w:highlight w:val="none"/>
          <w:shd w:val="clear" w:fill="FFFFFF"/>
          <w:lang w:val="en-US" w:eastAsia="zh-CN"/>
        </w:rPr>
        <w:t>人</w:t>
      </w:r>
      <w:r>
        <w:rPr>
          <w:rFonts w:hint="eastAsia" w:ascii="宋体" w:hAnsi="宋体" w:eastAsia="宋体" w:cs="宋体"/>
          <w:i w:val="0"/>
          <w:iCs w:val="0"/>
          <w:caps w:val="0"/>
          <w:color w:val="auto"/>
          <w:spacing w:val="0"/>
          <w:sz w:val="24"/>
          <w:szCs w:val="24"/>
          <w:highlight w:val="none"/>
          <w:shd w:val="clear" w:fill="FFFFFF"/>
        </w:rPr>
        <w:t>。</w:t>
      </w:r>
    </w:p>
    <w:p w14:paraId="0EEDC2A1">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8.付款方式：合同签订后至控制性详细规划编制通过审查后，15个工作日内支付全部合同价款。（无息）。</w:t>
      </w:r>
    </w:p>
    <w:p w14:paraId="66877382">
      <w:pPr>
        <w:keepNext w:val="0"/>
        <w:keepLines w:val="0"/>
        <w:pageBreakBefore w:val="0"/>
        <w:widowControl/>
        <w:kinsoku/>
        <w:wordWrap/>
        <w:topLinePunct w:val="0"/>
        <w:bidi w:val="0"/>
        <w:spacing w:line="360" w:lineRule="auto"/>
        <w:ind w:left="0" w:firstLine="480"/>
        <w:jc w:val="left"/>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rPr>
        <w:t>特别提示：</w:t>
      </w:r>
      <w:r>
        <w:rPr>
          <w:rFonts w:hint="eastAsia" w:ascii="宋体" w:hAnsi="宋体" w:cs="宋体"/>
          <w:color w:val="auto"/>
          <w:kern w:val="0"/>
          <w:sz w:val="24"/>
          <w:szCs w:val="24"/>
          <w:highlight w:val="none"/>
          <w:lang w:val="en-US" w:eastAsia="zh-CN"/>
        </w:rPr>
        <w:t>1.本项目按6个地块的工作量清单进行计价，如后续四角井资产红线图因政策规范要求拆分造成工作量增加的情况，不再额外计价。2.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3.竞价人的投标报价为包干价，包括但不限于招标代理费、现场踏勘费、送审费、保险费、税费、打印费、纸张费、验收报告编制费、评审费等费用。4.竞价人应充分考虑人工、材料、设备涨价、政策调整及其他不可预见的一切因素，风险费用应自行考虑计入投标报价，竞价人未考虑风险因素造成的损失由竞价人自行负责，成交价不做任何调整。</w:t>
      </w:r>
    </w:p>
    <w:p w14:paraId="4AAF0A91">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71169AD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5704F00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14:paraId="6393A9A4">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具备行政主管部门颁发的城乡规划乙级及以上资质证书（资质证书到期的须提供上级主管部门相关延期证明）；</w:t>
      </w:r>
    </w:p>
    <w:p w14:paraId="18E94DDB">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55F8E234">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3437F652">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2025年9月9日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085A65BE">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547F7633">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061C504">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39417E2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F82B5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6A631A0B">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4CC94283">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（2）资质证书复印件</w:t>
      </w:r>
    </w:p>
    <w:p w14:paraId="5F23012C">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（3）签订完整的承诺书</w:t>
      </w:r>
    </w:p>
    <w:p w14:paraId="60B9881A">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（4）竞价保证金缴纳凭证</w:t>
      </w:r>
    </w:p>
    <w:p w14:paraId="0E64575D">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2918157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CB176A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28D9F87">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参加本次竞价会的竞价人需在规定的时间前交纳竞价保证金，并登录权益云交易平台办理竞价登记手续，同时将报名资料递交给我司，材料可以采用现场或邮件方式（邮箱地址：lccqjyw2025</w:t>
      </w:r>
      <w:r>
        <w:rPr>
          <w:rFonts w:hint="eastAsia" w:asciiTheme="minorEastAsia" w:hAnsiTheme="minorEastAsia" w:eastAsiaTheme="minorEastAsia" w:cstheme="minorEastAsia"/>
          <w:b/>
          <w:bCs/>
          <w:color w:val="auto"/>
          <w:kern w:val="2"/>
          <w:sz w:val="24"/>
          <w:szCs w:val="24"/>
          <w:highlight w:val="none"/>
          <w:shd w:val="clear"/>
          <w:lang w:val="en-US" w:eastAsia="zh-CN"/>
        </w:rPr>
        <w:t>1</w:t>
      </w:r>
      <w:r>
        <w:rPr>
          <w:rFonts w:hint="eastAsia" w:asciiTheme="minorEastAsia" w:hAnsiTheme="minorEastAsia" w:eastAsiaTheme="minorEastAsia" w:cstheme="minorEastAsia"/>
          <w:b/>
          <w:bCs/>
          <w:color w:val="auto"/>
          <w:kern w:val="2"/>
          <w:sz w:val="24"/>
          <w:szCs w:val="24"/>
          <w:highlight w:val="none"/>
          <w:shd w:val="clear"/>
        </w:rPr>
        <w:t>@163.com）递交。</w:t>
      </w:r>
    </w:p>
    <w:p w14:paraId="2EB63C3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43D0F4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32F982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2E2ABA8">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3F4C753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049A1EE">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3CB5863">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auto"/>
          <w:kern w:val="2"/>
          <w:sz w:val="24"/>
          <w:szCs w:val="24"/>
          <w:highlight w:val="none"/>
          <w:shd w:val="clear"/>
          <w:lang w:val="en-US" w:eastAsia="zh-CN"/>
        </w:rPr>
        <w:t>108000元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人民币108000元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auto"/>
          <w:kern w:val="2"/>
          <w:sz w:val="24"/>
          <w:szCs w:val="24"/>
          <w:highlight w:val="none"/>
          <w:shd w:val="clear"/>
          <w:lang w:val="en-US" w:eastAsia="zh-CN"/>
        </w:rPr>
        <w:t>108000元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516CEEB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4124D85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2DB48B35">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1A941419">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竞价成交后，本项目按成交价为基数×1.5%向成交人收取交易服务费，不足3000元的，按3000元包干计取。交易服务费直接由本公司从成交人缴纳的竞价保证金中扣收，不足的，成交人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D17814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03BA2E4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5248551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3D7E78F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0718E94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4AA18B2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682286A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0B443E">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74B4AF1">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A0F7AC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14:paraId="298AB91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B0BCB22">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667373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01FB56A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3BD43C43">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4DCC71DA">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18DCCF4F">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F74283E">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 xml:space="preserve">                           2025年9月4日</w:t>
      </w:r>
    </w:p>
    <w:p w14:paraId="73B355E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29F87209">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63CEE405">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6D3D5742">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3E7D493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9月10日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w:t>
      </w:r>
      <w:r>
        <w:rPr>
          <w:rFonts w:hint="eastAsia" w:asciiTheme="minorEastAsia" w:hAnsiTheme="minorEastAsia" w:eastAsiaTheme="minorEastAsia" w:cstheme="minorEastAsia"/>
          <w:color w:val="auto"/>
          <w:sz w:val="24"/>
          <w:szCs w:val="24"/>
          <w:highlight w:val="none"/>
        </w:rPr>
        <w:t>向一次报价”</w:t>
      </w:r>
      <w:r>
        <w:rPr>
          <w:rFonts w:hint="eastAsia" w:asciiTheme="minorEastAsia" w:hAnsiTheme="minorEastAsia" w:eastAsiaTheme="minorEastAsia" w:cstheme="minorEastAsia"/>
          <w:color w:val="auto"/>
          <w:sz w:val="24"/>
          <w:szCs w:val="24"/>
          <w:highlight w:val="none"/>
          <w:u w:val="single"/>
          <w:lang w:val="en-US" w:eastAsia="zh-CN"/>
        </w:rPr>
        <w:t>连城县四角井资产（四角井历史文化街区文化展览及活动中心）划拨控制性详细规划编制服务采购项目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w:t>
      </w:r>
      <w:r>
        <w:rPr>
          <w:rFonts w:hint="eastAsia" w:asciiTheme="minorEastAsia" w:hAnsiTheme="minorEastAsia" w:eastAsiaTheme="minorEastAsia" w:cstheme="minorEastAsia"/>
          <w:color w:val="auto"/>
          <w:sz w:val="24"/>
          <w:szCs w:val="24"/>
          <w:highlight w:val="none"/>
          <w:u w:val="single"/>
          <w:lang w:val="en-US" w:eastAsia="zh-CN"/>
        </w:rPr>
        <w:t>50910</w:t>
      </w:r>
      <w:bookmarkStart w:id="0" w:name="_GoBack"/>
      <w:bookmarkEnd w:id="0"/>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482E3769">
      <w:pPr>
        <w:spacing w:line="440" w:lineRule="exact"/>
        <w:rPr>
          <w:rFonts w:hint="eastAsia" w:asciiTheme="minorEastAsia" w:hAnsiTheme="minorEastAsia" w:eastAsiaTheme="minorEastAsia" w:cstheme="minorEastAsia"/>
          <w:color w:val="auto"/>
          <w:sz w:val="24"/>
          <w:szCs w:val="24"/>
          <w:highlight w:val="none"/>
        </w:rPr>
      </w:pPr>
    </w:p>
    <w:p w14:paraId="16A7F214">
      <w:pPr>
        <w:spacing w:line="440" w:lineRule="exact"/>
        <w:rPr>
          <w:rFonts w:hint="eastAsia" w:asciiTheme="minorEastAsia" w:hAnsiTheme="minorEastAsia" w:eastAsiaTheme="minorEastAsia" w:cstheme="minorEastAsia"/>
          <w:color w:val="auto"/>
          <w:sz w:val="24"/>
          <w:szCs w:val="24"/>
          <w:highlight w:val="none"/>
        </w:rPr>
      </w:pPr>
    </w:p>
    <w:p w14:paraId="292E5645">
      <w:pPr>
        <w:spacing w:line="440" w:lineRule="exact"/>
        <w:rPr>
          <w:rFonts w:hint="eastAsia" w:asciiTheme="minorEastAsia" w:hAnsiTheme="minorEastAsia" w:eastAsiaTheme="minorEastAsia" w:cstheme="minorEastAsia"/>
          <w:color w:val="auto"/>
          <w:sz w:val="24"/>
          <w:szCs w:val="24"/>
          <w:highlight w:val="none"/>
        </w:rPr>
      </w:pPr>
    </w:p>
    <w:p w14:paraId="1B64FB05">
      <w:pPr>
        <w:spacing w:line="440" w:lineRule="exact"/>
        <w:rPr>
          <w:rFonts w:hint="eastAsia" w:asciiTheme="minorEastAsia" w:hAnsiTheme="minorEastAsia" w:eastAsiaTheme="minorEastAsia" w:cstheme="minorEastAsia"/>
          <w:color w:val="auto"/>
          <w:sz w:val="24"/>
          <w:szCs w:val="24"/>
          <w:highlight w:val="none"/>
        </w:rPr>
      </w:pPr>
    </w:p>
    <w:p w14:paraId="4D17D83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7A77DDA">
      <w:pPr>
        <w:spacing w:line="440" w:lineRule="exact"/>
        <w:rPr>
          <w:rFonts w:hint="eastAsia" w:asciiTheme="minorEastAsia" w:hAnsiTheme="minorEastAsia" w:eastAsiaTheme="minorEastAsia" w:cstheme="minorEastAsia"/>
          <w:color w:val="auto"/>
          <w:sz w:val="24"/>
          <w:szCs w:val="24"/>
          <w:highlight w:val="none"/>
        </w:rPr>
      </w:pPr>
    </w:p>
    <w:p w14:paraId="3633A3D6">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CA3440E">
      <w:pPr>
        <w:spacing w:line="440" w:lineRule="exact"/>
        <w:rPr>
          <w:rFonts w:hint="eastAsia" w:asciiTheme="minorEastAsia" w:hAnsiTheme="minorEastAsia" w:eastAsiaTheme="minorEastAsia" w:cstheme="minorEastAsia"/>
          <w:color w:val="auto"/>
          <w:sz w:val="24"/>
          <w:szCs w:val="24"/>
          <w:highlight w:val="none"/>
        </w:rPr>
      </w:pPr>
    </w:p>
    <w:p w14:paraId="2B775A2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1D587906">
      <w:pPr>
        <w:spacing w:line="440" w:lineRule="exact"/>
        <w:rPr>
          <w:rFonts w:hint="eastAsia" w:asciiTheme="minorEastAsia" w:hAnsiTheme="minorEastAsia" w:eastAsiaTheme="minorEastAsia" w:cstheme="minorEastAsia"/>
          <w:color w:val="auto"/>
          <w:sz w:val="24"/>
          <w:szCs w:val="24"/>
          <w:highlight w:val="none"/>
        </w:rPr>
      </w:pPr>
    </w:p>
    <w:p w14:paraId="2CE41377">
      <w:pPr>
        <w:spacing w:line="440" w:lineRule="exact"/>
        <w:ind w:firstLine="0" w:firstLineChars="0"/>
        <w:jc w:val="right"/>
        <w:rPr>
          <w:color w:val="auto"/>
          <w:highlight w:val="none"/>
        </w:rPr>
      </w:pPr>
      <w:r>
        <w:rPr>
          <w:rFonts w:hint="eastAsia" w:asciiTheme="minorEastAsia" w:hAnsiTheme="minorEastAsia" w:eastAsiaTheme="minorEastAsia" w:cstheme="minorEastAsia"/>
          <w:color w:val="auto"/>
          <w:sz w:val="24"/>
          <w:szCs w:val="24"/>
          <w:highlight w:val="none"/>
        </w:rPr>
        <w:t>年    月    日</w:t>
      </w:r>
    </w:p>
    <w:p w14:paraId="4332C2D5">
      <w:pPr>
        <w:pStyle w:val="16"/>
        <w:rPr>
          <w:color w:val="auto"/>
          <w:highlight w:val="none"/>
        </w:rPr>
      </w:pPr>
    </w:p>
    <w:p w14:paraId="39184BBC">
      <w:pPr>
        <w:pStyle w:val="16"/>
        <w:rPr>
          <w:color w:val="auto"/>
          <w:highlight w:val="none"/>
        </w:rPr>
      </w:pPr>
    </w:p>
    <w:p w14:paraId="3B27FCE5">
      <w:pPr>
        <w:pStyle w:val="16"/>
        <w:rPr>
          <w:color w:val="auto"/>
          <w:highlight w:val="none"/>
        </w:rPr>
      </w:pPr>
    </w:p>
    <w:p w14:paraId="090005F5">
      <w:pPr>
        <w:pStyle w:val="16"/>
        <w:rPr>
          <w:color w:val="auto"/>
          <w:highlight w:val="none"/>
        </w:rPr>
      </w:pPr>
    </w:p>
    <w:p w14:paraId="16C42BF9">
      <w:pPr>
        <w:pStyle w:val="16"/>
        <w:rPr>
          <w:color w:val="auto"/>
          <w:highlight w:val="none"/>
        </w:rPr>
      </w:pPr>
    </w:p>
    <w:p w14:paraId="2012810E">
      <w:pPr>
        <w:pStyle w:val="16"/>
        <w:rPr>
          <w:color w:val="auto"/>
          <w:highlight w:val="none"/>
        </w:rPr>
      </w:pPr>
    </w:p>
    <w:p w14:paraId="536BE6FF">
      <w:pPr>
        <w:pStyle w:val="16"/>
        <w:ind w:left="0" w:leftChars="0" w:firstLine="0" w:firstLineChars="0"/>
        <w:rPr>
          <w:color w:val="auto"/>
          <w:highlight w:val="none"/>
        </w:rPr>
      </w:pPr>
    </w:p>
    <w:p w14:paraId="2CD72917">
      <w:pPr>
        <w:pStyle w:val="16"/>
        <w:ind w:left="0" w:leftChars="0" w:firstLine="0" w:firstLineChars="0"/>
        <w:rPr>
          <w:color w:val="auto"/>
          <w:highlight w:val="none"/>
        </w:rPr>
      </w:pPr>
    </w:p>
    <w:p w14:paraId="60564848">
      <w:pPr>
        <w:pStyle w:val="16"/>
        <w:ind w:left="0" w:leftChars="0" w:firstLine="0" w:firstLineChars="0"/>
        <w:rPr>
          <w:color w:val="auto"/>
          <w:highlight w:val="none"/>
        </w:rPr>
      </w:pPr>
    </w:p>
    <w:p w14:paraId="78DEAD41">
      <w:pPr>
        <w:pStyle w:val="16"/>
        <w:ind w:left="0" w:leftChars="0" w:firstLine="0" w:firstLineChars="0"/>
        <w:rPr>
          <w:color w:val="auto"/>
          <w:highlight w:val="none"/>
        </w:rPr>
      </w:pPr>
    </w:p>
    <w:p w14:paraId="20136BCF">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60F136E1">
      <w:pPr>
        <w:jc w:val="center"/>
        <w:rPr>
          <w:rFonts w:hint="eastAsia" w:ascii="宋体" w:hAnsi="宋体" w:eastAsia="宋体"/>
          <w:b/>
          <w:bCs/>
          <w:color w:val="auto"/>
          <w:kern w:val="0"/>
          <w:sz w:val="32"/>
          <w:szCs w:val="32"/>
          <w:highlight w:val="none"/>
          <w:lang w:val="en-US" w:eastAsia="zh-CN"/>
        </w:rPr>
      </w:pPr>
      <w:r>
        <w:rPr>
          <w:rFonts w:hint="eastAsia" w:ascii="黑体" w:hAnsi="黑体" w:eastAsia="黑体" w:cs="黑体"/>
          <w:b/>
          <w:bCs/>
          <w:color w:val="auto"/>
          <w:sz w:val="32"/>
          <w:szCs w:val="32"/>
          <w:highlight w:val="none"/>
          <w:u w:val="none"/>
          <w:lang w:eastAsia="zh-CN"/>
        </w:rPr>
        <w:t>服务合同</w:t>
      </w:r>
    </w:p>
    <w:p w14:paraId="4680A339">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68812C4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4"/>
          <w:rFonts w:hint="eastAsia" w:asciiTheme="minorEastAsia" w:hAnsiTheme="minorEastAsia" w:eastAsiaTheme="minorEastAsia" w:cstheme="minorEastAsia"/>
          <w:b/>
          <w:bCs/>
          <w:color w:val="auto"/>
          <w:sz w:val="24"/>
          <w:highlight w:val="none"/>
        </w:rPr>
      </w:pPr>
    </w:p>
    <w:p w14:paraId="53CF410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1、签订合同应遵守《中华人民共和国民法典》等法律法规。</w:t>
      </w:r>
    </w:p>
    <w:p w14:paraId="194553A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2、签订合同时，</w:t>
      </w:r>
      <w:r>
        <w:rPr>
          <w:rStyle w:val="14"/>
          <w:rFonts w:hint="eastAsia" w:asciiTheme="minorEastAsia" w:hAnsiTheme="minorEastAsia" w:eastAsiaTheme="minorEastAsia" w:cstheme="minorEastAsia"/>
          <w:b/>
          <w:bCs/>
          <w:color w:val="auto"/>
          <w:sz w:val="24"/>
          <w:highlight w:val="none"/>
          <w:lang w:val="en-US" w:eastAsia="zh-CN"/>
        </w:rPr>
        <w:t>委托方</w:t>
      </w:r>
      <w:r>
        <w:rPr>
          <w:rStyle w:val="14"/>
          <w:rFonts w:hint="eastAsia" w:asciiTheme="minorEastAsia" w:hAnsiTheme="minorEastAsia" w:eastAsiaTheme="minorEastAsia" w:cstheme="minorEastAsia"/>
          <w:b/>
          <w:bCs/>
          <w:color w:val="auto"/>
          <w:sz w:val="24"/>
          <w:highlight w:val="none"/>
        </w:rPr>
        <w:t>与</w:t>
      </w:r>
      <w:r>
        <w:rPr>
          <w:rStyle w:val="14"/>
          <w:rFonts w:hint="eastAsia" w:asciiTheme="minorEastAsia" w:hAnsiTheme="minorEastAsia" w:eastAsiaTheme="minorEastAsia" w:cstheme="minorEastAsia"/>
          <w:b/>
          <w:bCs/>
          <w:color w:val="auto"/>
          <w:sz w:val="24"/>
          <w:highlight w:val="none"/>
          <w:lang w:val="en-US" w:eastAsia="zh-CN"/>
        </w:rPr>
        <w:t>成交人</w:t>
      </w:r>
      <w:r>
        <w:rPr>
          <w:rStyle w:val="14"/>
          <w:rFonts w:hint="eastAsia" w:asciiTheme="minorEastAsia" w:hAnsiTheme="minorEastAsia" w:eastAsiaTheme="minorEastAsia" w:cstheme="minorEastAsia"/>
          <w:b/>
          <w:bCs/>
          <w:color w:val="auto"/>
          <w:sz w:val="24"/>
          <w:highlight w:val="none"/>
        </w:rPr>
        <w:t>应结合</w:t>
      </w:r>
      <w:r>
        <w:rPr>
          <w:rStyle w:val="14"/>
          <w:rFonts w:hint="eastAsia" w:asciiTheme="minorEastAsia" w:hAnsiTheme="minorEastAsia" w:eastAsiaTheme="minorEastAsia" w:cstheme="minorEastAsia"/>
          <w:b/>
          <w:bCs/>
          <w:color w:val="auto"/>
          <w:sz w:val="24"/>
          <w:highlight w:val="none"/>
          <w:lang w:val="en-US" w:eastAsia="zh-CN"/>
        </w:rPr>
        <w:t>竞价文件相关</w:t>
      </w:r>
      <w:r>
        <w:rPr>
          <w:rStyle w:val="14"/>
          <w:rFonts w:hint="eastAsia" w:asciiTheme="minorEastAsia" w:hAnsiTheme="minorEastAsia" w:eastAsiaTheme="minorEastAsia" w:cstheme="minorEastAsia"/>
          <w:b/>
          <w:bCs/>
          <w:color w:val="auto"/>
          <w:sz w:val="24"/>
          <w:highlight w:val="none"/>
        </w:rPr>
        <w:t>规定填列相应内容。</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已有规定的，双方均不得变更或调整；</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未作规定的，双方可通过友好协商进行约定。</w:t>
      </w:r>
    </w:p>
    <w:p w14:paraId="7D997DF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4"/>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7DE5FADF">
      <w:pPr>
        <w:rPr>
          <w:rFonts w:hint="eastAsia" w:ascii="仿宋_GB2312" w:hAnsi="仿宋_GB2312" w:eastAsia="仿宋_GB2312" w:cs="仿宋_GB2312"/>
          <w:color w:val="auto"/>
          <w:sz w:val="32"/>
          <w:szCs w:val="32"/>
          <w:highlight w:val="none"/>
        </w:rPr>
      </w:pPr>
    </w:p>
    <w:p w14:paraId="4D68315C">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连城县四角井运营管理有限公司</w:t>
      </w:r>
      <w:r>
        <w:rPr>
          <w:rFonts w:hint="eastAsia" w:asciiTheme="minorEastAsia" w:hAnsiTheme="minorEastAsia" w:cstheme="minorEastAsia"/>
          <w:color w:val="auto"/>
          <w:spacing w:val="0"/>
          <w:sz w:val="24"/>
          <w:szCs w:val="24"/>
          <w:highlight w:val="none"/>
          <w:lang w:eastAsia="zh-CN"/>
        </w:rPr>
        <w:t xml:space="preserve"> </w:t>
      </w:r>
    </w:p>
    <w:p w14:paraId="197F8344">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14:paraId="763F31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14:paraId="747487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14:paraId="0D757C8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14:paraId="22B4D2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14:paraId="7764C2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14:paraId="248DC6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项目服务内容包括但不限：</w:t>
      </w:r>
    </w:p>
    <w:p w14:paraId="3A9381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（1）现状调研与数据分析；</w:t>
      </w:r>
    </w:p>
    <w:p w14:paraId="5EA97B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（2）规划方案编制（含用地布局、交通组织、市政设施等专项研究）；</w:t>
      </w:r>
    </w:p>
    <w:p w14:paraId="084B03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（3）控制性详细规划法定成果（文本、图集、数据库）；</w:t>
      </w:r>
    </w:p>
    <w:p w14:paraId="1D80B5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（4）配合规划报批及后续技术服务。</w:t>
      </w:r>
    </w:p>
    <w:p w14:paraId="70D69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14:paraId="53CF1C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14:paraId="3EE3181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14:paraId="252C33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自签订合同之日起</w:t>
      </w:r>
      <w:r>
        <w:rPr>
          <w:rFonts w:hint="eastAsia" w:ascii="宋体" w:hAnsi="宋体" w:cs="宋体"/>
          <w:b w:val="0"/>
          <w:bCs w:val="0"/>
          <w:i w:val="0"/>
          <w:iCs w:val="0"/>
          <w:caps w:val="0"/>
          <w:color w:val="auto"/>
          <w:spacing w:val="0"/>
          <w:sz w:val="24"/>
          <w:szCs w:val="24"/>
          <w:highlight w:val="none"/>
          <w:u w:val="single"/>
          <w:shd w:val="clear" w:fill="FFFFFF"/>
          <w:lang w:val="en-US" w:eastAsia="zh-CN"/>
        </w:rPr>
        <w:t>15</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个日历天内向</w:t>
      </w:r>
      <w:r>
        <w:rPr>
          <w:rFonts w:hint="eastAsia" w:ascii="宋体" w:hAnsi="宋体" w:cs="宋体"/>
          <w:b w:val="0"/>
          <w:bCs w:val="0"/>
          <w:i w:val="0"/>
          <w:iCs w:val="0"/>
          <w:caps w:val="0"/>
          <w:color w:val="auto"/>
          <w:spacing w:val="0"/>
          <w:sz w:val="24"/>
          <w:szCs w:val="24"/>
          <w:highlight w:val="none"/>
          <w:u w:val="single"/>
          <w:shd w:val="clear" w:fill="FFFFFF"/>
          <w:lang w:val="en-US" w:eastAsia="zh-CN"/>
        </w:rPr>
        <w:t>甲方</w:t>
      </w:r>
      <w:r>
        <w:rPr>
          <w:rFonts w:hint="eastAsia" w:ascii="宋体" w:hAnsi="宋体" w:eastAsia="宋体" w:cs="宋体"/>
          <w:b w:val="0"/>
          <w:bCs w:val="0"/>
          <w:i w:val="0"/>
          <w:iCs w:val="0"/>
          <w:caps w:val="0"/>
          <w:color w:val="auto"/>
          <w:spacing w:val="0"/>
          <w:sz w:val="24"/>
          <w:szCs w:val="24"/>
          <w:highlight w:val="none"/>
          <w:u w:val="single"/>
          <w:shd w:val="clear" w:fill="FFFFFF"/>
          <w:lang w:val="en-US" w:eastAsia="zh-CN"/>
        </w:rPr>
        <w:t>提交最终成果报告</w:t>
      </w:r>
      <w:r>
        <w:rPr>
          <w:rFonts w:hint="eastAsia" w:ascii="宋体" w:hAnsi="宋体" w:cs="宋体"/>
          <w:b w:val="0"/>
          <w:bCs w:val="0"/>
          <w:i w:val="0"/>
          <w:iCs w:val="0"/>
          <w:caps w:val="0"/>
          <w:color w:val="auto"/>
          <w:spacing w:val="0"/>
          <w:sz w:val="24"/>
          <w:szCs w:val="24"/>
          <w:highlight w:val="none"/>
          <w:u w:val="single"/>
          <w:shd w:val="clear" w:fill="FFFFFF"/>
          <w:lang w:val="en-US" w:eastAsia="zh-CN"/>
        </w:rPr>
        <w:t>。</w:t>
      </w:r>
    </w:p>
    <w:p w14:paraId="677180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14:paraId="253C3F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14:paraId="175D09C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14:paraId="434096B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w:t>
      </w:r>
      <w:r>
        <w:rPr>
          <w:rFonts w:hint="eastAsia" w:ascii="宋体" w:hAnsi="宋体" w:cs="宋体"/>
          <w:color w:val="auto"/>
          <w:sz w:val="24"/>
          <w:szCs w:val="24"/>
          <w:highlight w:val="none"/>
          <w:u w:val="single"/>
          <w:lang w:eastAsia="zh-CN"/>
        </w:rPr>
        <w:t>连城县四角井资产（四角井历史文化街区文化展览及活动中心）划拨控制性详细规划编制服务采购项目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14:paraId="434446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6、服务标准和服务要求</w:t>
      </w:r>
    </w:p>
    <w:p w14:paraId="4D8933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（1）服务标准：本项目编制内容应符合最新的国家及部、省、市的有关法律、法规、规范、标准及文件的规定，严禁使用废止的规范条文。</w:t>
      </w:r>
    </w:p>
    <w:p w14:paraId="42707E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（2）服务要求：按国家及部、省、市有关规范技术标准及委托人要求完成编制并负责相关评审、批复等后续服务所需的所有工作</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14:paraId="0516FA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r>
        <w:rPr>
          <w:rFonts w:hint="eastAsia" w:ascii="宋体" w:hAnsi="宋体" w:cs="宋体"/>
          <w:color w:val="auto"/>
          <w:sz w:val="24"/>
          <w:highlight w:val="none"/>
          <w:lang w:eastAsia="zh-CN"/>
        </w:rPr>
        <w:t>合同签订后至控制性详细规划编制通过审查后，15个工作日内支付全部合同价款。</w:t>
      </w:r>
    </w:p>
    <w:p w14:paraId="39AE9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14:paraId="574A634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310F1DD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14:paraId="0BE64717">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1B121F9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08281BD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14:paraId="0C167AE6">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14:paraId="28F2D98F">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14:paraId="39DADA9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14:paraId="509BE95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14:paraId="7B874FD1">
      <w:pPr>
        <w:pStyle w:val="9"/>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14:paraId="7066536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14:paraId="15B61EEA">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14:paraId="6F87F71E">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14:paraId="5019FD35">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14:paraId="0033797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14:paraId="409C79A7">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14:paraId="0CE82258">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14:paraId="7F91A01F">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14:paraId="0439C4E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14:paraId="3C3FFD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14:paraId="78F1BA2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14:paraId="177598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14:paraId="1DAFEF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14:paraId="1DE1A17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14:paraId="71881A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E53B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7AE15C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14:paraId="259841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14:paraId="2E23B0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14:paraId="70852E1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14:paraId="2890D2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14:paraId="4DE28E5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14:paraId="0BC6BD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14:paraId="7ED35B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14:paraId="437BDB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14:paraId="13FC51BD">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14:paraId="7876EDD1">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14:paraId="19814E27">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14:paraId="1672199F">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14:paraId="1E4559B4">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14:paraId="2D24E576">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14:paraId="609521B4">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14:paraId="21E689D1">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14:paraId="5769ADA0">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14:paraId="35191E81">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14:paraId="0ABBF280">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14:paraId="0A8312E7">
      <w:pPr>
        <w:pStyle w:val="10"/>
        <w:spacing w:before="75" w:beforeAutospacing="0" w:after="75" w:afterAutospacing="0" w:line="360" w:lineRule="auto"/>
        <w:rPr>
          <w:color w:val="auto"/>
          <w:highlight w:val="none"/>
        </w:rPr>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14:paraId="293B34B2">
      <w:pPr>
        <w:pStyle w:val="16"/>
        <w:ind w:left="0" w:leftChars="0" w:firstLine="0" w:firstLineChars="0"/>
        <w:rPr>
          <w:color w:val="auto"/>
          <w:highlight w:val="none"/>
        </w:rPr>
      </w:pPr>
    </w:p>
    <w:p w14:paraId="54055103">
      <w:pPr>
        <w:pStyle w:val="16"/>
        <w:ind w:left="0" w:leftChars="0" w:firstLine="0" w:firstLineChars="0"/>
        <w:rPr>
          <w:color w:val="auto"/>
          <w:highlight w:val="none"/>
        </w:rPr>
      </w:pPr>
    </w:p>
    <w:p w14:paraId="4C9839F3">
      <w:pPr>
        <w:pStyle w:val="16"/>
        <w:ind w:left="0" w:leftChars="0" w:firstLine="0" w:firstLineChars="0"/>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7F64">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BC20">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7402CA"/>
    <w:rsid w:val="00B32474"/>
    <w:rsid w:val="013B3D27"/>
    <w:rsid w:val="05C452A7"/>
    <w:rsid w:val="05C83D73"/>
    <w:rsid w:val="05DA79C7"/>
    <w:rsid w:val="0607573C"/>
    <w:rsid w:val="073D1CD0"/>
    <w:rsid w:val="076D3DE5"/>
    <w:rsid w:val="07DD6810"/>
    <w:rsid w:val="0A2F0DBE"/>
    <w:rsid w:val="0AAE1D31"/>
    <w:rsid w:val="0B03491F"/>
    <w:rsid w:val="0B424B21"/>
    <w:rsid w:val="0D29042F"/>
    <w:rsid w:val="0DB77A48"/>
    <w:rsid w:val="0DF43D70"/>
    <w:rsid w:val="0DFA7935"/>
    <w:rsid w:val="0E1053AA"/>
    <w:rsid w:val="0E7C4295"/>
    <w:rsid w:val="0E98231D"/>
    <w:rsid w:val="0EB76A89"/>
    <w:rsid w:val="0F1F2264"/>
    <w:rsid w:val="0FFA1E6E"/>
    <w:rsid w:val="10525387"/>
    <w:rsid w:val="110411F6"/>
    <w:rsid w:val="13761663"/>
    <w:rsid w:val="147321EF"/>
    <w:rsid w:val="150D1907"/>
    <w:rsid w:val="15992DDF"/>
    <w:rsid w:val="15A844D8"/>
    <w:rsid w:val="19793E03"/>
    <w:rsid w:val="19F60960"/>
    <w:rsid w:val="1A78185D"/>
    <w:rsid w:val="1B7D7B8B"/>
    <w:rsid w:val="1CCC4063"/>
    <w:rsid w:val="1E5907C8"/>
    <w:rsid w:val="1ED437CA"/>
    <w:rsid w:val="1F2E743E"/>
    <w:rsid w:val="1F986481"/>
    <w:rsid w:val="1FFB7C68"/>
    <w:rsid w:val="20592BE1"/>
    <w:rsid w:val="20623843"/>
    <w:rsid w:val="21A84D19"/>
    <w:rsid w:val="22B12860"/>
    <w:rsid w:val="233A4603"/>
    <w:rsid w:val="23476D20"/>
    <w:rsid w:val="241C01AD"/>
    <w:rsid w:val="24941163"/>
    <w:rsid w:val="24FC6145"/>
    <w:rsid w:val="254774AC"/>
    <w:rsid w:val="25762514"/>
    <w:rsid w:val="268564DD"/>
    <w:rsid w:val="26881B2A"/>
    <w:rsid w:val="27D6293C"/>
    <w:rsid w:val="286D4691"/>
    <w:rsid w:val="28924EE2"/>
    <w:rsid w:val="290520D8"/>
    <w:rsid w:val="29862BBA"/>
    <w:rsid w:val="2AEB24EE"/>
    <w:rsid w:val="2B4104F9"/>
    <w:rsid w:val="2C6514A1"/>
    <w:rsid w:val="2C731588"/>
    <w:rsid w:val="2CB33DAF"/>
    <w:rsid w:val="2E1D6FFC"/>
    <w:rsid w:val="2E731311"/>
    <w:rsid w:val="2F234AE5"/>
    <w:rsid w:val="30A25EDE"/>
    <w:rsid w:val="30D137C6"/>
    <w:rsid w:val="30D94893"/>
    <w:rsid w:val="32634685"/>
    <w:rsid w:val="33DD3477"/>
    <w:rsid w:val="36CA5847"/>
    <w:rsid w:val="37ED5C91"/>
    <w:rsid w:val="3802063D"/>
    <w:rsid w:val="383438BF"/>
    <w:rsid w:val="383C054D"/>
    <w:rsid w:val="393873DF"/>
    <w:rsid w:val="3B1418C5"/>
    <w:rsid w:val="3B954675"/>
    <w:rsid w:val="3B9823B7"/>
    <w:rsid w:val="3BF7116C"/>
    <w:rsid w:val="3C0F79C9"/>
    <w:rsid w:val="3C681786"/>
    <w:rsid w:val="3E18333B"/>
    <w:rsid w:val="3E530817"/>
    <w:rsid w:val="3E79027E"/>
    <w:rsid w:val="3EC04461"/>
    <w:rsid w:val="40B871FA"/>
    <w:rsid w:val="41C9151C"/>
    <w:rsid w:val="42522E3A"/>
    <w:rsid w:val="426E3E72"/>
    <w:rsid w:val="43030A5E"/>
    <w:rsid w:val="431B453D"/>
    <w:rsid w:val="445A645C"/>
    <w:rsid w:val="44BA73A0"/>
    <w:rsid w:val="44E346A3"/>
    <w:rsid w:val="44E74455"/>
    <w:rsid w:val="47470370"/>
    <w:rsid w:val="4AD130D3"/>
    <w:rsid w:val="4BEF3BBD"/>
    <w:rsid w:val="4C56273B"/>
    <w:rsid w:val="4C667968"/>
    <w:rsid w:val="4CC2355E"/>
    <w:rsid w:val="4DA370C6"/>
    <w:rsid w:val="4DFE61BB"/>
    <w:rsid w:val="4EE74D90"/>
    <w:rsid w:val="4FA22EF7"/>
    <w:rsid w:val="4FD5108C"/>
    <w:rsid w:val="50100316"/>
    <w:rsid w:val="540212FD"/>
    <w:rsid w:val="543842E0"/>
    <w:rsid w:val="54C54091"/>
    <w:rsid w:val="552F6FDC"/>
    <w:rsid w:val="55AD23E4"/>
    <w:rsid w:val="55DF0EB7"/>
    <w:rsid w:val="569169B2"/>
    <w:rsid w:val="57025C73"/>
    <w:rsid w:val="57E26A3C"/>
    <w:rsid w:val="596F1435"/>
    <w:rsid w:val="5ABB4922"/>
    <w:rsid w:val="5B7848CB"/>
    <w:rsid w:val="5BC54731"/>
    <w:rsid w:val="5C2B3B30"/>
    <w:rsid w:val="5C4750C0"/>
    <w:rsid w:val="5C855BE8"/>
    <w:rsid w:val="5C8C6810"/>
    <w:rsid w:val="5C9F6CAA"/>
    <w:rsid w:val="5CD34BA6"/>
    <w:rsid w:val="5D081E82"/>
    <w:rsid w:val="5D1C319C"/>
    <w:rsid w:val="5EF97636"/>
    <w:rsid w:val="5EFF1C82"/>
    <w:rsid w:val="5FF4555F"/>
    <w:rsid w:val="60917251"/>
    <w:rsid w:val="60B62814"/>
    <w:rsid w:val="62993A4D"/>
    <w:rsid w:val="64436AB5"/>
    <w:rsid w:val="64B672AC"/>
    <w:rsid w:val="6608621F"/>
    <w:rsid w:val="66B33BFC"/>
    <w:rsid w:val="6953498C"/>
    <w:rsid w:val="6B4A616F"/>
    <w:rsid w:val="6C024E76"/>
    <w:rsid w:val="6DA57E98"/>
    <w:rsid w:val="6F543924"/>
    <w:rsid w:val="6FA348AB"/>
    <w:rsid w:val="6FE32C21"/>
    <w:rsid w:val="70B34FC2"/>
    <w:rsid w:val="715925F9"/>
    <w:rsid w:val="721E492A"/>
    <w:rsid w:val="72565EF0"/>
    <w:rsid w:val="728C5ACB"/>
    <w:rsid w:val="73614861"/>
    <w:rsid w:val="73E62FB9"/>
    <w:rsid w:val="746C1710"/>
    <w:rsid w:val="75812F99"/>
    <w:rsid w:val="75F41A18"/>
    <w:rsid w:val="769767EC"/>
    <w:rsid w:val="78434E7D"/>
    <w:rsid w:val="78E26444"/>
    <w:rsid w:val="791D2015"/>
    <w:rsid w:val="793B1C09"/>
    <w:rsid w:val="799A6D1F"/>
    <w:rsid w:val="7AFB1A3F"/>
    <w:rsid w:val="7BC11CF4"/>
    <w:rsid w:val="7C2A25D8"/>
    <w:rsid w:val="7CF30CDD"/>
    <w:rsid w:val="7D6C452F"/>
    <w:rsid w:val="7E0B1F99"/>
    <w:rsid w:val="7E464D80"/>
    <w:rsid w:val="7E483361"/>
    <w:rsid w:val="7EC6681C"/>
    <w:rsid w:val="7F08472B"/>
    <w:rsid w:val="7F7C626D"/>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7">
    <w:name w:val="Other|1"/>
    <w:basedOn w:val="1"/>
    <w:qFormat/>
    <w:uiPriority w:val="0"/>
    <w:pPr>
      <w:spacing w:after="40" w:line="293" w:lineRule="auto"/>
    </w:pPr>
    <w:rPr>
      <w:rFonts w:ascii="宋体" w:hAnsi="宋体" w:cs="宋体"/>
      <w:sz w:val="22"/>
      <w:szCs w:val="22"/>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样式3"/>
    <w:basedOn w:val="7"/>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6565</Words>
  <Characters>6957</Characters>
  <Lines>0</Lines>
  <Paragraphs>0</Paragraphs>
  <TotalTime>1</TotalTime>
  <ScaleCrop>false</ScaleCrop>
  <LinksUpToDate>false</LinksUpToDate>
  <CharactersWithSpaces>7284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2024-01-08T09:09:00Z</cp:lastPrinted>
  <dcterms:modified xsi:type="dcterms:W3CDTF">2025-09-03T09:56:04Z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