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127E0">
      <w:pPr>
        <w:snapToGrid w:val="0"/>
        <w:spacing w:line="300" w:lineRule="auto"/>
        <w:jc w:val="center"/>
        <w:rPr>
          <w:rFonts w:hint="eastAsia"/>
          <w:b/>
          <w:sz w:val="44"/>
          <w:szCs w:val="44"/>
        </w:rPr>
      </w:pPr>
      <w:bookmarkStart w:id="0" w:name="_GoBack"/>
      <w:r>
        <w:rPr>
          <w:rFonts w:hint="eastAsia"/>
          <w:b/>
          <w:sz w:val="44"/>
          <w:szCs w:val="44"/>
        </w:rPr>
        <w:t>粮食集并运输装卸、移仓并库合同</w:t>
      </w:r>
    </w:p>
    <w:bookmarkEnd w:id="0"/>
    <w:p w14:paraId="73F64EE4">
      <w:pPr>
        <w:snapToGrid w:val="0"/>
        <w:spacing w:line="360" w:lineRule="auto"/>
        <w:ind w:firstLine="590" w:firstLineChars="196"/>
        <w:rPr>
          <w:rFonts w:hint="eastAsia"/>
          <w:b/>
          <w:sz w:val="30"/>
          <w:szCs w:val="30"/>
        </w:rPr>
      </w:pPr>
      <w:r>
        <w:rPr>
          <w:rFonts w:hint="eastAsia"/>
          <w:b/>
          <w:sz w:val="30"/>
          <w:szCs w:val="30"/>
        </w:rPr>
        <w:t>甲 方：连城县粮食购销有限公司</w:t>
      </w:r>
    </w:p>
    <w:p w14:paraId="416AFC1F">
      <w:pPr>
        <w:snapToGrid w:val="0"/>
        <w:spacing w:line="360" w:lineRule="auto"/>
        <w:ind w:firstLine="590" w:firstLineChars="196"/>
        <w:rPr>
          <w:rFonts w:hint="eastAsia"/>
          <w:b/>
          <w:sz w:val="30"/>
          <w:szCs w:val="30"/>
        </w:rPr>
      </w:pPr>
      <w:r>
        <w:rPr>
          <w:rFonts w:hint="eastAsia"/>
          <w:b/>
          <w:sz w:val="30"/>
          <w:szCs w:val="30"/>
        </w:rPr>
        <w:t xml:space="preserve">乙 方： </w:t>
      </w:r>
    </w:p>
    <w:p w14:paraId="047391F1">
      <w:pPr>
        <w:snapToGrid w:val="0"/>
        <w:spacing w:line="300" w:lineRule="auto"/>
        <w:ind w:firstLine="600" w:firstLineChars="200"/>
        <w:rPr>
          <w:rFonts w:hint="eastAsia" w:ascii="仿宋" w:hAnsi="仿宋" w:eastAsia="仿宋"/>
          <w:sz w:val="30"/>
          <w:szCs w:val="30"/>
          <w:u w:val="single"/>
        </w:rPr>
      </w:pPr>
      <w:r>
        <w:rPr>
          <w:rFonts w:hint="eastAsia" w:ascii="仿宋" w:hAnsi="仿宋" w:eastAsia="仿宋"/>
          <w:sz w:val="30"/>
          <w:szCs w:val="30"/>
        </w:rPr>
        <w:t>根据龙岩市公物采购招标代理有限公司招标编号：</w:t>
      </w:r>
      <w:r>
        <w:rPr>
          <w:rFonts w:hint="eastAsia" w:ascii="仿宋" w:hAnsi="仿宋" w:eastAsia="仿宋"/>
          <w:sz w:val="30"/>
          <w:szCs w:val="30"/>
          <w:u w:val="single"/>
        </w:rPr>
        <w:t xml:space="preserve">                </w:t>
      </w:r>
    </w:p>
    <w:p w14:paraId="29B44B66">
      <w:pPr>
        <w:snapToGrid w:val="0"/>
        <w:spacing w:line="300" w:lineRule="auto"/>
        <w:rPr>
          <w:rFonts w:hint="eastAsia" w:ascii="仿宋" w:hAnsi="仿宋" w:eastAsia="仿宋"/>
          <w:sz w:val="30"/>
          <w:szCs w:val="30"/>
        </w:rPr>
      </w:pPr>
      <w:r>
        <w:rPr>
          <w:rFonts w:ascii="仿宋" w:hAnsi="仿宋" w:eastAsia="仿宋"/>
          <w:sz w:val="30"/>
          <w:szCs w:val="30"/>
        </w:rPr>
        <w:t>“</w:t>
      </w:r>
      <w:r>
        <w:rPr>
          <w:rFonts w:ascii="仿宋" w:hAnsi="仿宋" w:eastAsia="仿宋"/>
          <w:b/>
          <w:sz w:val="30"/>
          <w:szCs w:val="30"/>
        </w:rPr>
        <w:t>连城县粮食购销有限公司</w:t>
      </w:r>
      <w:r>
        <w:rPr>
          <w:rFonts w:hint="eastAsia" w:ascii="仿宋" w:hAnsi="仿宋" w:eastAsia="仿宋"/>
          <w:b/>
          <w:sz w:val="30"/>
          <w:szCs w:val="30"/>
        </w:rPr>
        <w:t>2025年度县级储备订单粮集并装卸运输和移仓并库采购项目</w:t>
      </w:r>
      <w:r>
        <w:rPr>
          <w:rFonts w:ascii="仿宋" w:hAnsi="仿宋" w:eastAsia="仿宋"/>
          <w:sz w:val="30"/>
          <w:szCs w:val="30"/>
        </w:rPr>
        <w:t>”（以下简称：本项目</w:t>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网络竞价结果，经成交公示完成，</w:t>
      </w:r>
      <w:r>
        <w:rPr>
          <w:rFonts w:ascii="仿宋" w:hAnsi="仿宋" w:eastAsia="仿宋"/>
          <w:sz w:val="30"/>
          <w:szCs w:val="30"/>
        </w:rPr>
        <w:t>现就粮食</w:t>
      </w:r>
      <w:r>
        <w:rPr>
          <w:rFonts w:hint="eastAsia" w:ascii="仿宋" w:hAnsi="仿宋" w:eastAsia="仿宋"/>
          <w:sz w:val="30"/>
          <w:szCs w:val="30"/>
        </w:rPr>
        <w:t>集并</w:t>
      </w:r>
      <w:r>
        <w:rPr>
          <w:rFonts w:ascii="仿宋" w:hAnsi="仿宋" w:eastAsia="仿宋"/>
          <w:sz w:val="30"/>
          <w:szCs w:val="30"/>
        </w:rPr>
        <w:t>装卸运输</w:t>
      </w:r>
      <w:r>
        <w:rPr>
          <w:rFonts w:hint="eastAsia" w:ascii="仿宋" w:hAnsi="仿宋" w:eastAsia="仿宋"/>
          <w:sz w:val="30"/>
          <w:szCs w:val="30"/>
        </w:rPr>
        <w:t>和移仓并库事宜</w:t>
      </w:r>
      <w:r>
        <w:rPr>
          <w:rFonts w:ascii="仿宋" w:hAnsi="仿宋" w:eastAsia="仿宋"/>
          <w:sz w:val="30"/>
          <w:szCs w:val="30"/>
        </w:rPr>
        <w:t>，经甲、乙双方共同协商，特定立本合同，供双方共同遵守：</w:t>
      </w:r>
    </w:p>
    <w:p w14:paraId="21B16404">
      <w:pPr>
        <w:snapToGrid w:val="0"/>
        <w:spacing w:line="300" w:lineRule="auto"/>
        <w:ind w:firstLine="602" w:firstLineChars="200"/>
        <w:rPr>
          <w:rFonts w:hint="eastAsia" w:ascii="仿宋" w:hAnsi="仿宋" w:eastAsia="仿宋"/>
          <w:b/>
          <w:sz w:val="30"/>
          <w:szCs w:val="30"/>
        </w:rPr>
      </w:pPr>
      <w:r>
        <w:rPr>
          <w:rFonts w:hint="eastAsia" w:ascii="仿宋" w:hAnsi="仿宋" w:eastAsia="仿宋"/>
          <w:b/>
          <w:sz w:val="30"/>
          <w:szCs w:val="30"/>
        </w:rPr>
        <w:t>一、标的清单：</w:t>
      </w:r>
    </w:p>
    <w:p w14:paraId="4CCD6B65">
      <w:pPr>
        <w:snapToGrid w:val="0"/>
        <w:spacing w:line="360" w:lineRule="auto"/>
        <w:jc w:val="center"/>
        <w:rPr>
          <w:rFonts w:hint="eastAsia" w:ascii="仿宋" w:hAnsi="仿宋" w:eastAsia="仿宋"/>
          <w:b/>
          <w:sz w:val="30"/>
          <w:szCs w:val="30"/>
        </w:rPr>
      </w:pPr>
      <w:r>
        <w:rPr>
          <w:rFonts w:hint="eastAsia" w:ascii="仿宋" w:hAnsi="仿宋" w:eastAsia="仿宋" w:cs="宋体"/>
          <w:b/>
          <w:bCs/>
          <w:kern w:val="0"/>
          <w:sz w:val="30"/>
          <w:szCs w:val="30"/>
        </w:rPr>
        <w:t>2025年度县级储备订单粮集并装卸运输及移仓并库费用标的清单</w:t>
      </w:r>
    </w:p>
    <w:tbl>
      <w:tblPr>
        <w:tblStyle w:val="3"/>
        <w:tblW w:w="10656" w:type="dxa"/>
        <w:jc w:val="center"/>
        <w:tblLayout w:type="autofit"/>
        <w:tblCellMar>
          <w:top w:w="0" w:type="dxa"/>
          <w:left w:w="108" w:type="dxa"/>
          <w:bottom w:w="0" w:type="dxa"/>
          <w:right w:w="108" w:type="dxa"/>
        </w:tblCellMar>
      </w:tblPr>
      <w:tblGrid>
        <w:gridCol w:w="1533"/>
        <w:gridCol w:w="715"/>
        <w:gridCol w:w="1070"/>
        <w:gridCol w:w="1124"/>
        <w:gridCol w:w="747"/>
        <w:gridCol w:w="1080"/>
        <w:gridCol w:w="1260"/>
        <w:gridCol w:w="3127"/>
      </w:tblGrid>
      <w:tr w14:paraId="4EC0DC8E">
        <w:tblPrEx>
          <w:tblCellMar>
            <w:top w:w="0" w:type="dxa"/>
            <w:left w:w="108" w:type="dxa"/>
            <w:bottom w:w="0" w:type="dxa"/>
            <w:right w:w="108" w:type="dxa"/>
          </w:tblCellMar>
        </w:tblPrEx>
        <w:trPr>
          <w:trHeight w:val="696" w:hRule="atLeast"/>
          <w:jc w:val="center"/>
        </w:trPr>
        <w:tc>
          <w:tcPr>
            <w:tcW w:w="1533" w:type="dxa"/>
            <w:vMerge w:val="restart"/>
            <w:tcBorders>
              <w:top w:val="single" w:color="auto" w:sz="4" w:space="0"/>
              <w:left w:val="single" w:color="auto" w:sz="4" w:space="0"/>
              <w:bottom w:val="single" w:color="000000" w:sz="4" w:space="0"/>
              <w:right w:val="single" w:color="auto" w:sz="4" w:space="0"/>
            </w:tcBorders>
            <w:noWrap w:val="0"/>
            <w:vAlign w:val="center"/>
          </w:tcPr>
          <w:p w14:paraId="76435EBE">
            <w:pPr>
              <w:widowControl/>
              <w:jc w:val="center"/>
              <w:rPr>
                <w:rFonts w:ascii="仿宋" w:hAnsi="仿宋" w:eastAsia="仿宋" w:cs="宋体"/>
                <w:b/>
                <w:bCs/>
                <w:kern w:val="0"/>
                <w:szCs w:val="21"/>
              </w:rPr>
            </w:pPr>
            <w:r>
              <w:rPr>
                <w:rFonts w:hint="eastAsia" w:ascii="仿宋" w:hAnsi="仿宋" w:eastAsia="仿宋" w:cs="宋体"/>
                <w:b/>
                <w:bCs/>
                <w:kern w:val="0"/>
                <w:szCs w:val="21"/>
              </w:rPr>
              <w:t>地 点</w:t>
            </w:r>
          </w:p>
        </w:tc>
        <w:tc>
          <w:tcPr>
            <w:tcW w:w="715" w:type="dxa"/>
            <w:vMerge w:val="restart"/>
            <w:tcBorders>
              <w:top w:val="single" w:color="auto" w:sz="4" w:space="0"/>
              <w:left w:val="single" w:color="auto" w:sz="4" w:space="0"/>
              <w:bottom w:val="single" w:color="000000" w:sz="4" w:space="0"/>
              <w:right w:val="single" w:color="auto" w:sz="4" w:space="0"/>
            </w:tcBorders>
            <w:noWrap w:val="0"/>
            <w:vAlign w:val="center"/>
          </w:tcPr>
          <w:p w14:paraId="49250AEE">
            <w:pPr>
              <w:widowControl/>
              <w:jc w:val="center"/>
              <w:rPr>
                <w:rFonts w:hint="eastAsia" w:ascii="仿宋" w:hAnsi="仿宋" w:eastAsia="仿宋" w:cs="宋体"/>
                <w:b/>
                <w:bCs/>
                <w:kern w:val="0"/>
                <w:szCs w:val="21"/>
              </w:rPr>
            </w:pPr>
            <w:r>
              <w:rPr>
                <w:rFonts w:hint="eastAsia" w:ascii="仿宋" w:hAnsi="仿宋" w:eastAsia="仿宋" w:cs="宋体"/>
                <w:b/>
                <w:bCs/>
                <w:kern w:val="0"/>
                <w:szCs w:val="21"/>
              </w:rPr>
              <w:t>调拨</w:t>
            </w:r>
          </w:p>
          <w:p w14:paraId="2E339404">
            <w:pPr>
              <w:widowControl/>
              <w:jc w:val="center"/>
              <w:rPr>
                <w:rFonts w:ascii="仿宋" w:hAnsi="仿宋" w:eastAsia="仿宋" w:cs="宋体"/>
                <w:b/>
                <w:bCs/>
                <w:kern w:val="0"/>
                <w:szCs w:val="21"/>
              </w:rPr>
            </w:pPr>
            <w:r>
              <w:rPr>
                <w:rFonts w:hint="eastAsia" w:ascii="仿宋" w:hAnsi="仿宋" w:eastAsia="仿宋" w:cs="宋体"/>
                <w:b/>
                <w:bCs/>
                <w:kern w:val="0"/>
                <w:szCs w:val="21"/>
              </w:rPr>
              <w:t>方式</w:t>
            </w:r>
          </w:p>
        </w:tc>
        <w:tc>
          <w:tcPr>
            <w:tcW w:w="2941" w:type="dxa"/>
            <w:gridSpan w:val="3"/>
            <w:tcBorders>
              <w:top w:val="single" w:color="auto" w:sz="4" w:space="0"/>
              <w:left w:val="nil"/>
              <w:bottom w:val="single" w:color="auto" w:sz="4" w:space="0"/>
              <w:right w:val="single" w:color="000000" w:sz="4" w:space="0"/>
            </w:tcBorders>
            <w:noWrap w:val="0"/>
            <w:vAlign w:val="center"/>
          </w:tcPr>
          <w:p w14:paraId="7D64EDA8">
            <w:pPr>
              <w:widowControl/>
              <w:jc w:val="center"/>
              <w:rPr>
                <w:rFonts w:ascii="仿宋" w:hAnsi="仿宋" w:eastAsia="仿宋" w:cs="宋体"/>
                <w:b/>
                <w:bCs/>
                <w:kern w:val="0"/>
                <w:szCs w:val="21"/>
              </w:rPr>
            </w:pPr>
            <w:r>
              <w:rPr>
                <w:rFonts w:hint="eastAsia" w:ascii="仿宋" w:hAnsi="仿宋" w:eastAsia="仿宋" w:cs="宋体"/>
                <w:b/>
                <w:bCs/>
                <w:kern w:val="0"/>
                <w:szCs w:val="21"/>
              </w:rPr>
              <w:t>预算集并数量（吨）</w:t>
            </w:r>
          </w:p>
        </w:tc>
        <w:tc>
          <w:tcPr>
            <w:tcW w:w="1080" w:type="dxa"/>
            <w:vMerge w:val="restart"/>
            <w:tcBorders>
              <w:top w:val="single" w:color="auto" w:sz="4" w:space="0"/>
              <w:left w:val="single" w:color="auto" w:sz="4" w:space="0"/>
              <w:right w:val="single" w:color="000000" w:sz="4" w:space="0"/>
            </w:tcBorders>
            <w:noWrap w:val="0"/>
            <w:vAlign w:val="center"/>
          </w:tcPr>
          <w:p w14:paraId="02DE5E67">
            <w:pPr>
              <w:widowControl/>
              <w:jc w:val="center"/>
              <w:rPr>
                <w:rFonts w:hint="eastAsia" w:ascii="仿宋" w:hAnsi="仿宋" w:eastAsia="仿宋" w:cs="宋体"/>
                <w:b/>
                <w:bCs/>
                <w:kern w:val="0"/>
                <w:szCs w:val="21"/>
              </w:rPr>
            </w:pPr>
            <w:r>
              <w:rPr>
                <w:rFonts w:hint="eastAsia" w:ascii="仿宋" w:hAnsi="仿宋" w:eastAsia="仿宋" w:cs="宋体"/>
                <w:b/>
                <w:bCs/>
                <w:kern w:val="0"/>
                <w:szCs w:val="21"/>
              </w:rPr>
              <w:t>包干单价</w:t>
            </w:r>
          </w:p>
          <w:p w14:paraId="76AB13C0">
            <w:pPr>
              <w:widowControl/>
              <w:jc w:val="center"/>
              <w:rPr>
                <w:rFonts w:ascii="仿宋" w:hAnsi="仿宋" w:eastAsia="仿宋" w:cs="宋体"/>
                <w:b/>
                <w:bCs/>
                <w:kern w:val="0"/>
                <w:szCs w:val="21"/>
              </w:rPr>
            </w:pPr>
            <w:r>
              <w:rPr>
                <w:rFonts w:hint="eastAsia" w:ascii="仿宋" w:hAnsi="仿宋" w:eastAsia="仿宋" w:cs="宋体"/>
                <w:b/>
                <w:bCs/>
                <w:kern w:val="0"/>
                <w:szCs w:val="21"/>
              </w:rPr>
              <w:t>（元/吨）</w:t>
            </w:r>
          </w:p>
        </w:tc>
        <w:tc>
          <w:tcPr>
            <w:tcW w:w="1260" w:type="dxa"/>
            <w:vMerge w:val="restart"/>
            <w:tcBorders>
              <w:top w:val="single" w:color="auto" w:sz="4" w:space="0"/>
              <w:left w:val="single" w:color="auto" w:sz="4" w:space="0"/>
              <w:bottom w:val="single" w:color="000000" w:sz="4" w:space="0"/>
              <w:right w:val="single" w:color="auto" w:sz="4" w:space="0"/>
            </w:tcBorders>
            <w:noWrap w:val="0"/>
            <w:vAlign w:val="center"/>
          </w:tcPr>
          <w:p w14:paraId="1180063A">
            <w:pPr>
              <w:widowControl/>
              <w:jc w:val="center"/>
              <w:rPr>
                <w:rFonts w:hint="eastAsia" w:ascii="仿宋" w:hAnsi="仿宋" w:eastAsia="仿宋" w:cs="宋体"/>
                <w:b/>
                <w:bCs/>
                <w:kern w:val="0"/>
                <w:szCs w:val="21"/>
              </w:rPr>
            </w:pPr>
            <w:r>
              <w:rPr>
                <w:rFonts w:hint="eastAsia" w:ascii="仿宋" w:hAnsi="仿宋" w:eastAsia="仿宋" w:cs="宋体"/>
                <w:b/>
                <w:bCs/>
                <w:kern w:val="0"/>
                <w:szCs w:val="21"/>
              </w:rPr>
              <w:t>合计包干</w:t>
            </w:r>
          </w:p>
          <w:p w14:paraId="39372BE6">
            <w:pPr>
              <w:widowControl/>
              <w:jc w:val="center"/>
              <w:rPr>
                <w:rFonts w:hint="eastAsia" w:ascii="仿宋" w:hAnsi="仿宋" w:eastAsia="仿宋" w:cs="宋体"/>
                <w:b/>
                <w:bCs/>
                <w:kern w:val="0"/>
                <w:szCs w:val="21"/>
              </w:rPr>
            </w:pPr>
            <w:r>
              <w:rPr>
                <w:rFonts w:hint="eastAsia" w:ascii="仿宋" w:hAnsi="仿宋" w:eastAsia="仿宋" w:cs="宋体"/>
                <w:b/>
                <w:bCs/>
                <w:kern w:val="0"/>
                <w:szCs w:val="21"/>
              </w:rPr>
              <w:t>金额</w:t>
            </w:r>
          </w:p>
          <w:p w14:paraId="122235E4">
            <w:pPr>
              <w:widowControl/>
              <w:jc w:val="center"/>
              <w:rPr>
                <w:rFonts w:ascii="仿宋" w:hAnsi="仿宋" w:eastAsia="仿宋" w:cs="宋体"/>
                <w:b/>
                <w:bCs/>
                <w:kern w:val="0"/>
                <w:szCs w:val="21"/>
              </w:rPr>
            </w:pPr>
            <w:r>
              <w:rPr>
                <w:rFonts w:hint="eastAsia" w:ascii="仿宋" w:hAnsi="仿宋" w:eastAsia="仿宋" w:cs="宋体"/>
                <w:b/>
                <w:bCs/>
                <w:kern w:val="0"/>
                <w:szCs w:val="21"/>
              </w:rPr>
              <w:t>（元）</w:t>
            </w:r>
          </w:p>
        </w:tc>
        <w:tc>
          <w:tcPr>
            <w:tcW w:w="3127" w:type="dxa"/>
            <w:vMerge w:val="restart"/>
            <w:tcBorders>
              <w:top w:val="single" w:color="auto" w:sz="4" w:space="0"/>
              <w:left w:val="single" w:color="auto" w:sz="4" w:space="0"/>
              <w:bottom w:val="single" w:color="000000" w:sz="4" w:space="0"/>
              <w:right w:val="single" w:color="auto" w:sz="4" w:space="0"/>
            </w:tcBorders>
            <w:noWrap w:val="0"/>
            <w:vAlign w:val="center"/>
          </w:tcPr>
          <w:p w14:paraId="48EB0FE7">
            <w:pPr>
              <w:widowControl/>
              <w:jc w:val="center"/>
              <w:rPr>
                <w:rFonts w:ascii="仿宋" w:hAnsi="仿宋" w:eastAsia="仿宋" w:cs="宋体"/>
                <w:b/>
                <w:bCs/>
                <w:kern w:val="0"/>
                <w:szCs w:val="21"/>
              </w:rPr>
            </w:pPr>
            <w:r>
              <w:rPr>
                <w:rFonts w:hint="eastAsia" w:ascii="仿宋" w:hAnsi="仿宋" w:eastAsia="仿宋" w:cs="宋体"/>
                <w:b/>
                <w:bCs/>
                <w:kern w:val="0"/>
                <w:szCs w:val="21"/>
              </w:rPr>
              <w:t>备注</w:t>
            </w:r>
          </w:p>
        </w:tc>
      </w:tr>
      <w:tr w14:paraId="08C0AF2C">
        <w:tblPrEx>
          <w:tblCellMar>
            <w:top w:w="0" w:type="dxa"/>
            <w:left w:w="108" w:type="dxa"/>
            <w:bottom w:w="0" w:type="dxa"/>
            <w:right w:w="108" w:type="dxa"/>
          </w:tblCellMar>
        </w:tblPrEx>
        <w:trPr>
          <w:trHeight w:val="792" w:hRule="atLeast"/>
          <w:jc w:val="center"/>
        </w:trPr>
        <w:tc>
          <w:tcPr>
            <w:tcW w:w="1533" w:type="dxa"/>
            <w:vMerge w:val="continue"/>
            <w:tcBorders>
              <w:top w:val="single" w:color="auto" w:sz="4" w:space="0"/>
              <w:left w:val="single" w:color="auto" w:sz="4" w:space="0"/>
              <w:bottom w:val="single" w:color="000000" w:sz="4" w:space="0"/>
              <w:right w:val="single" w:color="auto" w:sz="4" w:space="0"/>
            </w:tcBorders>
            <w:noWrap w:val="0"/>
            <w:vAlign w:val="center"/>
          </w:tcPr>
          <w:p w14:paraId="3916BD36">
            <w:pPr>
              <w:widowControl/>
              <w:jc w:val="left"/>
              <w:rPr>
                <w:rFonts w:ascii="仿宋" w:hAnsi="仿宋" w:eastAsia="仿宋" w:cs="宋体"/>
                <w:b/>
                <w:bCs/>
                <w:kern w:val="0"/>
                <w:szCs w:val="21"/>
              </w:rPr>
            </w:pPr>
          </w:p>
        </w:tc>
        <w:tc>
          <w:tcPr>
            <w:tcW w:w="715" w:type="dxa"/>
            <w:vMerge w:val="continue"/>
            <w:tcBorders>
              <w:top w:val="single" w:color="auto" w:sz="4" w:space="0"/>
              <w:left w:val="single" w:color="auto" w:sz="4" w:space="0"/>
              <w:bottom w:val="single" w:color="000000" w:sz="4" w:space="0"/>
              <w:right w:val="single" w:color="auto" w:sz="4" w:space="0"/>
            </w:tcBorders>
            <w:noWrap w:val="0"/>
            <w:vAlign w:val="center"/>
          </w:tcPr>
          <w:p w14:paraId="5A829C86">
            <w:pPr>
              <w:widowControl/>
              <w:jc w:val="left"/>
              <w:rPr>
                <w:rFonts w:ascii="仿宋" w:hAnsi="仿宋" w:eastAsia="仿宋" w:cs="宋体"/>
                <w:b/>
                <w:bCs/>
                <w:kern w:val="0"/>
                <w:szCs w:val="21"/>
              </w:rPr>
            </w:pPr>
          </w:p>
        </w:tc>
        <w:tc>
          <w:tcPr>
            <w:tcW w:w="1070" w:type="dxa"/>
            <w:tcBorders>
              <w:top w:val="nil"/>
              <w:left w:val="nil"/>
              <w:bottom w:val="single" w:color="auto" w:sz="4" w:space="0"/>
              <w:right w:val="single" w:color="auto" w:sz="4" w:space="0"/>
            </w:tcBorders>
            <w:noWrap w:val="0"/>
            <w:vAlign w:val="center"/>
          </w:tcPr>
          <w:p w14:paraId="003854D9">
            <w:pPr>
              <w:widowControl/>
              <w:jc w:val="center"/>
              <w:rPr>
                <w:rFonts w:ascii="仿宋" w:hAnsi="仿宋" w:eastAsia="仿宋" w:cs="宋体"/>
                <w:b/>
                <w:bCs/>
                <w:kern w:val="0"/>
                <w:szCs w:val="21"/>
              </w:rPr>
            </w:pPr>
            <w:r>
              <w:rPr>
                <w:rFonts w:hint="eastAsia" w:ascii="仿宋" w:hAnsi="仿宋" w:eastAsia="仿宋" w:cs="宋体"/>
                <w:b/>
                <w:bCs/>
                <w:kern w:val="0"/>
                <w:szCs w:val="21"/>
              </w:rPr>
              <w:t>早籼稻谷（吨）</w:t>
            </w:r>
          </w:p>
        </w:tc>
        <w:tc>
          <w:tcPr>
            <w:tcW w:w="1124" w:type="dxa"/>
            <w:tcBorders>
              <w:top w:val="nil"/>
              <w:left w:val="nil"/>
              <w:bottom w:val="single" w:color="auto" w:sz="4" w:space="0"/>
              <w:right w:val="single" w:color="auto" w:sz="4" w:space="0"/>
            </w:tcBorders>
            <w:noWrap w:val="0"/>
            <w:vAlign w:val="center"/>
          </w:tcPr>
          <w:p w14:paraId="13EB2FDC">
            <w:pPr>
              <w:widowControl/>
              <w:jc w:val="center"/>
              <w:rPr>
                <w:rFonts w:ascii="仿宋" w:hAnsi="仿宋" w:eastAsia="仿宋" w:cs="宋体"/>
                <w:b/>
                <w:bCs/>
                <w:kern w:val="0"/>
                <w:szCs w:val="21"/>
              </w:rPr>
            </w:pPr>
            <w:r>
              <w:rPr>
                <w:rFonts w:hint="eastAsia" w:ascii="仿宋" w:hAnsi="仿宋" w:eastAsia="仿宋" w:cs="宋体"/>
                <w:b/>
                <w:bCs/>
                <w:kern w:val="0"/>
                <w:szCs w:val="21"/>
              </w:rPr>
              <w:t>中晚籼稻谷（吨）</w:t>
            </w:r>
          </w:p>
        </w:tc>
        <w:tc>
          <w:tcPr>
            <w:tcW w:w="747" w:type="dxa"/>
            <w:tcBorders>
              <w:top w:val="nil"/>
              <w:left w:val="nil"/>
              <w:bottom w:val="single" w:color="auto" w:sz="4" w:space="0"/>
              <w:right w:val="single" w:color="auto" w:sz="4" w:space="0"/>
            </w:tcBorders>
            <w:noWrap w:val="0"/>
            <w:vAlign w:val="center"/>
          </w:tcPr>
          <w:p w14:paraId="0041253E">
            <w:pPr>
              <w:widowControl/>
              <w:jc w:val="center"/>
              <w:rPr>
                <w:rFonts w:ascii="仿宋" w:hAnsi="仿宋" w:eastAsia="仿宋" w:cs="宋体"/>
                <w:b/>
                <w:bCs/>
                <w:kern w:val="0"/>
                <w:szCs w:val="21"/>
              </w:rPr>
            </w:pPr>
            <w:r>
              <w:rPr>
                <w:rFonts w:hint="eastAsia" w:ascii="仿宋" w:hAnsi="仿宋" w:eastAsia="仿宋" w:cs="宋体"/>
                <w:b/>
                <w:bCs/>
                <w:kern w:val="0"/>
                <w:szCs w:val="21"/>
              </w:rPr>
              <w:t>合计数量</w:t>
            </w:r>
          </w:p>
        </w:tc>
        <w:tc>
          <w:tcPr>
            <w:tcW w:w="1080" w:type="dxa"/>
            <w:vMerge w:val="continue"/>
            <w:tcBorders>
              <w:left w:val="single" w:color="auto" w:sz="4" w:space="0"/>
              <w:bottom w:val="single" w:color="auto" w:sz="4" w:space="0"/>
              <w:right w:val="single" w:color="000000" w:sz="4" w:space="0"/>
            </w:tcBorders>
            <w:noWrap w:val="0"/>
            <w:vAlign w:val="center"/>
          </w:tcPr>
          <w:p w14:paraId="727960FF">
            <w:pPr>
              <w:widowControl/>
              <w:jc w:val="center"/>
              <w:rPr>
                <w:rFonts w:ascii="仿宋" w:hAnsi="仿宋" w:eastAsia="仿宋" w:cs="宋体"/>
                <w:b/>
                <w:bCs/>
                <w:kern w:val="0"/>
                <w:szCs w:val="21"/>
              </w:rPr>
            </w:pPr>
          </w:p>
        </w:tc>
        <w:tc>
          <w:tcPr>
            <w:tcW w:w="1260" w:type="dxa"/>
            <w:vMerge w:val="continue"/>
            <w:tcBorders>
              <w:top w:val="single" w:color="auto" w:sz="4" w:space="0"/>
              <w:left w:val="single" w:color="000000" w:sz="4" w:space="0"/>
              <w:bottom w:val="single" w:color="000000" w:sz="4" w:space="0"/>
              <w:right w:val="single" w:color="auto" w:sz="4" w:space="0"/>
            </w:tcBorders>
            <w:noWrap w:val="0"/>
            <w:vAlign w:val="center"/>
          </w:tcPr>
          <w:p w14:paraId="4C5DBD60">
            <w:pPr>
              <w:widowControl/>
              <w:jc w:val="left"/>
              <w:rPr>
                <w:rFonts w:ascii="仿宋" w:hAnsi="仿宋" w:eastAsia="仿宋" w:cs="宋体"/>
                <w:b/>
                <w:bCs/>
                <w:kern w:val="0"/>
                <w:szCs w:val="21"/>
              </w:rPr>
            </w:pPr>
          </w:p>
        </w:tc>
        <w:tc>
          <w:tcPr>
            <w:tcW w:w="3127" w:type="dxa"/>
            <w:vMerge w:val="continue"/>
            <w:tcBorders>
              <w:top w:val="single" w:color="auto" w:sz="4" w:space="0"/>
              <w:left w:val="single" w:color="auto" w:sz="4" w:space="0"/>
              <w:bottom w:val="single" w:color="000000" w:sz="4" w:space="0"/>
              <w:right w:val="single" w:color="auto" w:sz="4" w:space="0"/>
            </w:tcBorders>
            <w:noWrap w:val="0"/>
            <w:vAlign w:val="center"/>
          </w:tcPr>
          <w:p w14:paraId="468C931D">
            <w:pPr>
              <w:widowControl/>
              <w:jc w:val="left"/>
              <w:rPr>
                <w:rFonts w:ascii="仿宋" w:hAnsi="仿宋" w:eastAsia="仿宋" w:cs="宋体"/>
                <w:b/>
                <w:bCs/>
                <w:kern w:val="0"/>
                <w:szCs w:val="21"/>
              </w:rPr>
            </w:pPr>
          </w:p>
        </w:tc>
      </w:tr>
      <w:tr w14:paraId="4EE79566">
        <w:tblPrEx>
          <w:tblCellMar>
            <w:top w:w="0" w:type="dxa"/>
            <w:left w:w="108" w:type="dxa"/>
            <w:bottom w:w="0" w:type="dxa"/>
            <w:right w:w="108" w:type="dxa"/>
          </w:tblCellMar>
        </w:tblPrEx>
        <w:trPr>
          <w:trHeight w:val="700" w:hRule="atLeast"/>
          <w:jc w:val="center"/>
        </w:trPr>
        <w:tc>
          <w:tcPr>
            <w:tcW w:w="1533" w:type="dxa"/>
            <w:tcBorders>
              <w:top w:val="nil"/>
              <w:left w:val="single" w:color="auto" w:sz="4" w:space="0"/>
              <w:bottom w:val="single" w:color="auto" w:sz="4" w:space="0"/>
              <w:right w:val="single" w:color="auto" w:sz="4" w:space="0"/>
            </w:tcBorders>
            <w:noWrap w:val="0"/>
            <w:vAlign w:val="center"/>
          </w:tcPr>
          <w:p w14:paraId="52F74ADE">
            <w:pPr>
              <w:widowControl/>
              <w:jc w:val="center"/>
              <w:rPr>
                <w:rFonts w:ascii="仿宋" w:hAnsi="仿宋" w:eastAsia="仿宋" w:cs="宋体"/>
                <w:kern w:val="0"/>
                <w:szCs w:val="21"/>
              </w:rPr>
            </w:pPr>
            <w:r>
              <w:rPr>
                <w:rFonts w:hint="eastAsia" w:ascii="仿宋" w:hAnsi="仿宋" w:eastAsia="仿宋" w:cs="宋体"/>
                <w:kern w:val="0"/>
                <w:szCs w:val="21"/>
              </w:rPr>
              <w:t>北团粮站集并至朋口储备库</w:t>
            </w:r>
          </w:p>
        </w:tc>
        <w:tc>
          <w:tcPr>
            <w:tcW w:w="715" w:type="dxa"/>
            <w:tcBorders>
              <w:top w:val="nil"/>
              <w:left w:val="nil"/>
              <w:bottom w:val="single" w:color="auto" w:sz="4" w:space="0"/>
              <w:right w:val="single" w:color="auto" w:sz="4" w:space="0"/>
            </w:tcBorders>
            <w:noWrap w:val="0"/>
            <w:vAlign w:val="center"/>
          </w:tcPr>
          <w:p w14:paraId="5E6B9A2D">
            <w:pPr>
              <w:widowControl/>
              <w:jc w:val="center"/>
              <w:rPr>
                <w:rFonts w:ascii="仿宋" w:hAnsi="仿宋" w:eastAsia="仿宋" w:cs="宋体"/>
                <w:kern w:val="0"/>
                <w:szCs w:val="21"/>
              </w:rPr>
            </w:pPr>
            <w:r>
              <w:rPr>
                <w:rFonts w:hint="eastAsia" w:ascii="仿宋" w:hAnsi="仿宋" w:eastAsia="仿宋" w:cs="宋体"/>
                <w:kern w:val="0"/>
                <w:szCs w:val="21"/>
              </w:rPr>
              <w:t>散装散运散卸</w:t>
            </w:r>
          </w:p>
        </w:tc>
        <w:tc>
          <w:tcPr>
            <w:tcW w:w="1070" w:type="dxa"/>
            <w:tcBorders>
              <w:top w:val="nil"/>
              <w:left w:val="nil"/>
              <w:bottom w:val="single" w:color="auto" w:sz="4" w:space="0"/>
              <w:right w:val="single" w:color="auto" w:sz="4" w:space="0"/>
            </w:tcBorders>
            <w:noWrap w:val="0"/>
            <w:vAlign w:val="center"/>
          </w:tcPr>
          <w:p w14:paraId="77DCE786">
            <w:pPr>
              <w:widowControl/>
              <w:jc w:val="center"/>
              <w:rPr>
                <w:rFonts w:hint="eastAsia" w:ascii="仿宋" w:hAnsi="仿宋" w:eastAsia="仿宋" w:cs="宋体"/>
                <w:kern w:val="0"/>
                <w:szCs w:val="21"/>
              </w:rPr>
            </w:pPr>
            <w:r>
              <w:rPr>
                <w:rFonts w:hint="eastAsia" w:ascii="仿宋" w:hAnsi="仿宋" w:eastAsia="仿宋" w:cs="宋体"/>
                <w:kern w:val="0"/>
                <w:szCs w:val="21"/>
              </w:rPr>
              <w:t>230</w:t>
            </w:r>
          </w:p>
        </w:tc>
        <w:tc>
          <w:tcPr>
            <w:tcW w:w="1124" w:type="dxa"/>
            <w:tcBorders>
              <w:top w:val="nil"/>
              <w:left w:val="nil"/>
              <w:bottom w:val="single" w:color="auto" w:sz="4" w:space="0"/>
              <w:right w:val="single" w:color="auto" w:sz="4" w:space="0"/>
            </w:tcBorders>
            <w:noWrap w:val="0"/>
            <w:vAlign w:val="center"/>
          </w:tcPr>
          <w:p w14:paraId="5302AE11">
            <w:pPr>
              <w:widowControl/>
              <w:jc w:val="center"/>
              <w:rPr>
                <w:rFonts w:hint="eastAsia" w:ascii="仿宋" w:hAnsi="仿宋" w:eastAsia="仿宋" w:cs="宋体"/>
                <w:kern w:val="0"/>
                <w:szCs w:val="21"/>
              </w:rPr>
            </w:pPr>
            <w:r>
              <w:rPr>
                <w:rFonts w:hint="eastAsia" w:ascii="仿宋" w:hAnsi="仿宋" w:eastAsia="仿宋" w:cs="宋体"/>
                <w:kern w:val="0"/>
                <w:szCs w:val="21"/>
              </w:rPr>
              <w:t>770</w:t>
            </w:r>
          </w:p>
        </w:tc>
        <w:tc>
          <w:tcPr>
            <w:tcW w:w="747" w:type="dxa"/>
            <w:tcBorders>
              <w:top w:val="nil"/>
              <w:left w:val="nil"/>
              <w:bottom w:val="single" w:color="auto" w:sz="4" w:space="0"/>
              <w:right w:val="single" w:color="auto" w:sz="4" w:space="0"/>
            </w:tcBorders>
            <w:noWrap w:val="0"/>
            <w:vAlign w:val="center"/>
          </w:tcPr>
          <w:p w14:paraId="40EAC622">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1080" w:type="dxa"/>
            <w:tcBorders>
              <w:top w:val="nil"/>
              <w:left w:val="nil"/>
              <w:bottom w:val="single" w:color="auto" w:sz="4" w:space="0"/>
              <w:right w:val="single" w:color="auto" w:sz="4" w:space="0"/>
            </w:tcBorders>
            <w:noWrap w:val="0"/>
            <w:vAlign w:val="center"/>
          </w:tcPr>
          <w:p w14:paraId="10E6ED8D">
            <w:pPr>
              <w:widowControl/>
              <w:jc w:val="center"/>
              <w:rPr>
                <w:rFonts w:hint="eastAsia" w:ascii="仿宋" w:hAnsi="仿宋" w:eastAsia="仿宋" w:cs="宋体"/>
                <w:kern w:val="0"/>
                <w:szCs w:val="21"/>
              </w:rPr>
            </w:pPr>
          </w:p>
        </w:tc>
        <w:tc>
          <w:tcPr>
            <w:tcW w:w="1260" w:type="dxa"/>
            <w:tcBorders>
              <w:top w:val="nil"/>
              <w:left w:val="nil"/>
              <w:bottom w:val="single" w:color="auto" w:sz="4" w:space="0"/>
              <w:right w:val="single" w:color="auto" w:sz="4" w:space="0"/>
            </w:tcBorders>
            <w:noWrap w:val="0"/>
            <w:vAlign w:val="center"/>
          </w:tcPr>
          <w:p w14:paraId="05F98D6A">
            <w:pPr>
              <w:widowControl/>
              <w:jc w:val="center"/>
              <w:rPr>
                <w:rFonts w:hint="eastAsia" w:ascii="仿宋" w:hAnsi="仿宋" w:eastAsia="仿宋" w:cs="宋体"/>
                <w:kern w:val="0"/>
                <w:szCs w:val="21"/>
              </w:rPr>
            </w:pPr>
          </w:p>
        </w:tc>
        <w:tc>
          <w:tcPr>
            <w:tcW w:w="3127" w:type="dxa"/>
            <w:tcBorders>
              <w:top w:val="nil"/>
              <w:left w:val="nil"/>
              <w:bottom w:val="single" w:color="auto" w:sz="4" w:space="0"/>
              <w:right w:val="single" w:color="auto" w:sz="4" w:space="0"/>
            </w:tcBorders>
            <w:noWrap w:val="0"/>
            <w:vAlign w:val="center"/>
          </w:tcPr>
          <w:p w14:paraId="538CE8B4">
            <w:pPr>
              <w:widowControl/>
              <w:rPr>
                <w:rFonts w:hint="eastAsia" w:ascii="仿宋" w:hAnsi="仿宋" w:eastAsia="仿宋" w:cs="宋体"/>
                <w:kern w:val="0"/>
                <w:szCs w:val="21"/>
              </w:rPr>
            </w:pPr>
            <w:r>
              <w:rPr>
                <w:rFonts w:hint="eastAsia" w:ascii="仿宋" w:hAnsi="仿宋" w:eastAsia="仿宋" w:cs="宋体"/>
                <w:kern w:val="0"/>
                <w:szCs w:val="21"/>
              </w:rPr>
              <w:t>北团镇至朋口镇运输路程约40公里。</w:t>
            </w:r>
          </w:p>
          <w:p w14:paraId="0341D12F">
            <w:pPr>
              <w:rPr>
                <w:rFonts w:ascii="仿宋" w:hAnsi="仿宋" w:eastAsia="仿宋" w:cs="宋体"/>
                <w:kern w:val="0"/>
                <w:szCs w:val="21"/>
              </w:rPr>
            </w:pPr>
            <w:r>
              <w:rPr>
                <w:rFonts w:hint="eastAsia" w:ascii="仿宋" w:hAnsi="仿宋" w:eastAsia="仿宋" w:cs="宋体"/>
                <w:kern w:val="0"/>
                <w:szCs w:val="21"/>
              </w:rPr>
              <w:t>以实际装卸运输实际到库数量结算</w:t>
            </w:r>
          </w:p>
        </w:tc>
      </w:tr>
      <w:tr w14:paraId="218033C3">
        <w:tblPrEx>
          <w:tblCellMar>
            <w:top w:w="0" w:type="dxa"/>
            <w:left w:w="108" w:type="dxa"/>
            <w:bottom w:w="0" w:type="dxa"/>
            <w:right w:w="108" w:type="dxa"/>
          </w:tblCellMar>
        </w:tblPrEx>
        <w:trPr>
          <w:trHeight w:val="540"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14:paraId="1569C5E5">
            <w:pPr>
              <w:jc w:val="center"/>
              <w:rPr>
                <w:rFonts w:hint="eastAsia" w:ascii="仿宋" w:hAnsi="仿宋" w:eastAsia="仿宋" w:cs="宋体"/>
                <w:kern w:val="0"/>
                <w:szCs w:val="21"/>
              </w:rPr>
            </w:pPr>
            <w:r>
              <w:rPr>
                <w:rFonts w:hint="eastAsia" w:ascii="仿宋" w:hAnsi="仿宋" w:eastAsia="仿宋" w:cs="宋体"/>
                <w:kern w:val="0"/>
                <w:szCs w:val="21"/>
              </w:rPr>
              <w:t>朋口储备库库区内移仓并库</w:t>
            </w:r>
          </w:p>
        </w:tc>
        <w:tc>
          <w:tcPr>
            <w:tcW w:w="715" w:type="dxa"/>
            <w:tcBorders>
              <w:top w:val="single" w:color="auto" w:sz="4" w:space="0"/>
              <w:left w:val="nil"/>
              <w:bottom w:val="single" w:color="auto" w:sz="4" w:space="0"/>
              <w:right w:val="single" w:color="auto" w:sz="4" w:space="0"/>
            </w:tcBorders>
            <w:noWrap w:val="0"/>
            <w:vAlign w:val="center"/>
          </w:tcPr>
          <w:p w14:paraId="6A849F35">
            <w:pPr>
              <w:jc w:val="center"/>
              <w:rPr>
                <w:rFonts w:hint="eastAsia" w:ascii="仿宋" w:hAnsi="仿宋" w:eastAsia="仿宋" w:cs="宋体"/>
                <w:kern w:val="0"/>
                <w:szCs w:val="21"/>
              </w:rPr>
            </w:pPr>
            <w:r>
              <w:rPr>
                <w:rFonts w:hint="eastAsia" w:ascii="仿宋" w:hAnsi="仿宋" w:eastAsia="仿宋" w:cs="宋体"/>
                <w:kern w:val="0"/>
                <w:szCs w:val="21"/>
              </w:rPr>
              <w:t>库内转仓装卸</w:t>
            </w:r>
          </w:p>
        </w:tc>
        <w:tc>
          <w:tcPr>
            <w:tcW w:w="1070" w:type="dxa"/>
            <w:tcBorders>
              <w:top w:val="single" w:color="auto" w:sz="4" w:space="0"/>
              <w:left w:val="nil"/>
              <w:bottom w:val="single" w:color="auto" w:sz="4" w:space="0"/>
              <w:right w:val="single" w:color="auto" w:sz="4" w:space="0"/>
            </w:tcBorders>
            <w:noWrap w:val="0"/>
            <w:vAlign w:val="center"/>
          </w:tcPr>
          <w:p w14:paraId="6FD8EFBB">
            <w:pPr>
              <w:jc w:val="center"/>
              <w:rPr>
                <w:rFonts w:hint="eastAsia" w:ascii="仿宋" w:hAnsi="仿宋" w:eastAsia="仿宋" w:cs="宋体"/>
                <w:kern w:val="0"/>
                <w:szCs w:val="21"/>
              </w:rPr>
            </w:pPr>
            <w:r>
              <w:rPr>
                <w:rFonts w:hint="eastAsia" w:ascii="仿宋" w:hAnsi="仿宋" w:eastAsia="仿宋" w:cs="宋体"/>
                <w:kern w:val="0"/>
                <w:szCs w:val="21"/>
              </w:rPr>
              <w:t>700</w:t>
            </w:r>
          </w:p>
        </w:tc>
        <w:tc>
          <w:tcPr>
            <w:tcW w:w="1124" w:type="dxa"/>
            <w:tcBorders>
              <w:top w:val="single" w:color="auto" w:sz="4" w:space="0"/>
              <w:left w:val="nil"/>
              <w:bottom w:val="single" w:color="auto" w:sz="4" w:space="0"/>
              <w:right w:val="single" w:color="auto" w:sz="4" w:space="0"/>
            </w:tcBorders>
            <w:noWrap w:val="0"/>
            <w:vAlign w:val="center"/>
          </w:tcPr>
          <w:p w14:paraId="7478E5D3">
            <w:pPr>
              <w:jc w:val="center"/>
              <w:rPr>
                <w:rFonts w:hint="eastAsia" w:ascii="仿宋" w:hAnsi="仿宋" w:eastAsia="仿宋" w:cs="宋体"/>
                <w:kern w:val="0"/>
                <w:szCs w:val="21"/>
              </w:rPr>
            </w:pPr>
            <w:r>
              <w:rPr>
                <w:rFonts w:hint="eastAsia" w:ascii="仿宋" w:hAnsi="仿宋" w:eastAsia="仿宋" w:cs="宋体"/>
                <w:kern w:val="0"/>
                <w:szCs w:val="21"/>
              </w:rPr>
              <w:t>/</w:t>
            </w:r>
          </w:p>
        </w:tc>
        <w:tc>
          <w:tcPr>
            <w:tcW w:w="747" w:type="dxa"/>
            <w:tcBorders>
              <w:top w:val="single" w:color="auto" w:sz="4" w:space="0"/>
              <w:left w:val="nil"/>
              <w:bottom w:val="single" w:color="auto" w:sz="4" w:space="0"/>
              <w:right w:val="single" w:color="auto" w:sz="4" w:space="0"/>
            </w:tcBorders>
            <w:noWrap w:val="0"/>
            <w:vAlign w:val="center"/>
          </w:tcPr>
          <w:p w14:paraId="49112DF0">
            <w:pPr>
              <w:jc w:val="center"/>
              <w:rPr>
                <w:rFonts w:hint="eastAsia" w:ascii="仿宋" w:hAnsi="仿宋" w:eastAsia="仿宋" w:cs="宋体"/>
                <w:kern w:val="0"/>
                <w:szCs w:val="21"/>
              </w:rPr>
            </w:pPr>
            <w:r>
              <w:rPr>
                <w:rFonts w:hint="eastAsia" w:ascii="仿宋" w:hAnsi="仿宋" w:eastAsia="仿宋" w:cs="宋体"/>
                <w:kern w:val="0"/>
                <w:szCs w:val="21"/>
              </w:rPr>
              <w:t>700</w:t>
            </w:r>
          </w:p>
        </w:tc>
        <w:tc>
          <w:tcPr>
            <w:tcW w:w="1080" w:type="dxa"/>
            <w:tcBorders>
              <w:top w:val="single" w:color="auto" w:sz="4" w:space="0"/>
              <w:left w:val="nil"/>
              <w:bottom w:val="single" w:color="auto" w:sz="4" w:space="0"/>
              <w:right w:val="single" w:color="auto" w:sz="4" w:space="0"/>
            </w:tcBorders>
            <w:noWrap w:val="0"/>
            <w:vAlign w:val="center"/>
          </w:tcPr>
          <w:p w14:paraId="1E238B74">
            <w:pPr>
              <w:widowControl/>
              <w:jc w:val="center"/>
              <w:rPr>
                <w:rFonts w:hint="eastAsia" w:ascii="仿宋" w:hAnsi="仿宋" w:eastAsia="仿宋" w:cs="宋体"/>
                <w:kern w:val="0"/>
                <w:szCs w:val="21"/>
              </w:rPr>
            </w:pPr>
          </w:p>
        </w:tc>
        <w:tc>
          <w:tcPr>
            <w:tcW w:w="1260" w:type="dxa"/>
            <w:tcBorders>
              <w:top w:val="single" w:color="auto" w:sz="4" w:space="0"/>
              <w:left w:val="nil"/>
              <w:bottom w:val="single" w:color="auto" w:sz="4" w:space="0"/>
              <w:right w:val="single" w:color="auto" w:sz="4" w:space="0"/>
            </w:tcBorders>
            <w:noWrap w:val="0"/>
            <w:vAlign w:val="center"/>
          </w:tcPr>
          <w:p w14:paraId="4A8290A4">
            <w:pPr>
              <w:widowControl/>
              <w:jc w:val="center"/>
              <w:rPr>
                <w:rFonts w:hint="eastAsia" w:ascii="仿宋" w:hAnsi="仿宋" w:eastAsia="仿宋" w:cs="宋体"/>
                <w:kern w:val="0"/>
                <w:szCs w:val="21"/>
              </w:rPr>
            </w:pPr>
          </w:p>
        </w:tc>
        <w:tc>
          <w:tcPr>
            <w:tcW w:w="3127" w:type="dxa"/>
            <w:tcBorders>
              <w:top w:val="single" w:color="auto" w:sz="4" w:space="0"/>
              <w:left w:val="nil"/>
              <w:bottom w:val="single" w:color="auto" w:sz="4" w:space="0"/>
              <w:right w:val="single" w:color="auto" w:sz="4" w:space="0"/>
            </w:tcBorders>
            <w:noWrap w:val="0"/>
            <w:vAlign w:val="center"/>
          </w:tcPr>
          <w:p w14:paraId="129EF6BC">
            <w:pPr>
              <w:rPr>
                <w:rFonts w:hint="eastAsia" w:ascii="仿宋" w:hAnsi="仿宋" w:eastAsia="仿宋" w:cs="宋体"/>
                <w:kern w:val="0"/>
                <w:szCs w:val="21"/>
              </w:rPr>
            </w:pPr>
            <w:r>
              <w:rPr>
                <w:rFonts w:hint="eastAsia" w:ascii="仿宋" w:hAnsi="仿宋" w:eastAsia="仿宋" w:cs="宋体"/>
                <w:kern w:val="0"/>
                <w:szCs w:val="21"/>
              </w:rPr>
              <w:t>库内转仓，P11转入P10（两仓为相邻仓廒，采用输送带移仓）。</w:t>
            </w:r>
          </w:p>
          <w:p w14:paraId="66F8A3BF">
            <w:pPr>
              <w:rPr>
                <w:rFonts w:hint="eastAsia" w:ascii="仿宋" w:hAnsi="仿宋" w:eastAsia="仿宋" w:cs="宋体"/>
                <w:kern w:val="0"/>
                <w:szCs w:val="21"/>
              </w:rPr>
            </w:pPr>
            <w:r>
              <w:rPr>
                <w:rFonts w:hint="eastAsia" w:ascii="仿宋" w:hAnsi="仿宋" w:eastAsia="仿宋" w:cs="宋体"/>
                <w:kern w:val="0"/>
                <w:szCs w:val="21"/>
              </w:rPr>
              <w:t>以实际移仓数量结算。</w:t>
            </w:r>
          </w:p>
        </w:tc>
      </w:tr>
      <w:tr w14:paraId="589DC15A">
        <w:tblPrEx>
          <w:tblCellMar>
            <w:top w:w="0" w:type="dxa"/>
            <w:left w:w="108" w:type="dxa"/>
            <w:bottom w:w="0" w:type="dxa"/>
            <w:right w:w="108" w:type="dxa"/>
          </w:tblCellMar>
        </w:tblPrEx>
        <w:trPr>
          <w:trHeight w:val="600" w:hRule="atLeast"/>
          <w:jc w:val="center"/>
        </w:trPr>
        <w:tc>
          <w:tcPr>
            <w:tcW w:w="6269" w:type="dxa"/>
            <w:gridSpan w:val="6"/>
            <w:tcBorders>
              <w:top w:val="nil"/>
              <w:left w:val="single" w:color="auto" w:sz="4" w:space="0"/>
              <w:bottom w:val="single" w:color="auto" w:sz="4" w:space="0"/>
              <w:right w:val="single" w:color="auto" w:sz="4" w:space="0"/>
            </w:tcBorders>
            <w:noWrap w:val="0"/>
            <w:vAlign w:val="center"/>
          </w:tcPr>
          <w:p w14:paraId="3990E465">
            <w:pPr>
              <w:widowControl/>
              <w:jc w:val="center"/>
              <w:rPr>
                <w:rFonts w:hint="eastAsia" w:ascii="仿宋" w:hAnsi="仿宋" w:eastAsia="仿宋" w:cs="宋体"/>
                <w:kern w:val="0"/>
                <w:szCs w:val="21"/>
              </w:rPr>
            </w:pPr>
            <w:r>
              <w:rPr>
                <w:rFonts w:hint="eastAsia" w:ascii="仿宋" w:hAnsi="仿宋" w:eastAsia="仿宋" w:cs="宋体"/>
                <w:kern w:val="0"/>
                <w:szCs w:val="21"/>
              </w:rPr>
              <w:t>合      计</w:t>
            </w:r>
          </w:p>
        </w:tc>
        <w:tc>
          <w:tcPr>
            <w:tcW w:w="1260" w:type="dxa"/>
            <w:tcBorders>
              <w:top w:val="nil"/>
              <w:left w:val="nil"/>
              <w:bottom w:val="single" w:color="auto" w:sz="4" w:space="0"/>
              <w:right w:val="single" w:color="auto" w:sz="4" w:space="0"/>
            </w:tcBorders>
            <w:noWrap w:val="0"/>
            <w:vAlign w:val="center"/>
          </w:tcPr>
          <w:p w14:paraId="2DF70E9B">
            <w:pPr>
              <w:widowControl/>
              <w:jc w:val="center"/>
              <w:rPr>
                <w:rFonts w:hint="eastAsia" w:ascii="仿宋" w:hAnsi="仿宋" w:eastAsia="仿宋" w:cs="宋体"/>
                <w:kern w:val="0"/>
                <w:szCs w:val="21"/>
              </w:rPr>
            </w:pPr>
          </w:p>
        </w:tc>
        <w:tc>
          <w:tcPr>
            <w:tcW w:w="3127" w:type="dxa"/>
            <w:tcBorders>
              <w:top w:val="nil"/>
              <w:left w:val="nil"/>
              <w:bottom w:val="single" w:color="auto" w:sz="4" w:space="0"/>
              <w:right w:val="single" w:color="auto" w:sz="4" w:space="0"/>
            </w:tcBorders>
            <w:noWrap w:val="0"/>
            <w:vAlign w:val="center"/>
          </w:tcPr>
          <w:p w14:paraId="50373030">
            <w:pPr>
              <w:widowControl/>
              <w:jc w:val="center"/>
              <w:rPr>
                <w:rFonts w:ascii="仿宋" w:hAnsi="仿宋" w:eastAsia="仿宋" w:cs="宋体"/>
                <w:kern w:val="0"/>
                <w:szCs w:val="21"/>
              </w:rPr>
            </w:pPr>
          </w:p>
        </w:tc>
      </w:tr>
      <w:tr w14:paraId="597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656" w:type="dxa"/>
            <w:gridSpan w:val="8"/>
            <w:noWrap w:val="0"/>
            <w:vAlign w:val="center"/>
          </w:tcPr>
          <w:p w14:paraId="0B56D1E5">
            <w:pPr>
              <w:snapToGrid w:val="0"/>
              <w:spacing w:line="360" w:lineRule="auto"/>
              <w:rPr>
                <w:rFonts w:hint="eastAsia" w:ascii="仿宋" w:hAnsi="仿宋" w:eastAsia="仿宋" w:cs="宋体"/>
                <w:kern w:val="0"/>
                <w:szCs w:val="21"/>
              </w:rPr>
            </w:pPr>
            <w:r>
              <w:rPr>
                <w:rFonts w:hint="eastAsia" w:ascii="仿宋" w:hAnsi="仿宋" w:eastAsia="仿宋" w:cs="宋体"/>
                <w:kern w:val="0"/>
                <w:szCs w:val="21"/>
              </w:rPr>
              <w:t>合同总金额：人民币 元整（￥元）</w:t>
            </w:r>
          </w:p>
        </w:tc>
      </w:tr>
      <w:tr w14:paraId="5C28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656" w:type="dxa"/>
            <w:gridSpan w:val="8"/>
            <w:noWrap w:val="0"/>
            <w:vAlign w:val="top"/>
          </w:tcPr>
          <w:p w14:paraId="6299E96C">
            <w:pPr>
              <w:ind w:left="630" w:hanging="630" w:hangingChars="300"/>
              <w:jc w:val="left"/>
              <w:rPr>
                <w:rFonts w:hint="eastAsia" w:ascii="仿宋" w:hAnsi="仿宋" w:eastAsia="仿宋" w:cs="宋体"/>
                <w:kern w:val="0"/>
                <w:szCs w:val="21"/>
              </w:rPr>
            </w:pPr>
            <w:r>
              <w:rPr>
                <w:rFonts w:hint="eastAsia" w:ascii="仿宋" w:hAnsi="仿宋" w:eastAsia="仿宋" w:cs="宋体"/>
                <w:kern w:val="0"/>
                <w:szCs w:val="21"/>
              </w:rPr>
              <w:t>备注：1、本表中预算集并数量仅代表招标采购数量，最终集并的早籼稻谷、中晚籼稻谷均以实际发生数量结算。</w:t>
            </w:r>
          </w:p>
          <w:p w14:paraId="20D4EF71">
            <w:pPr>
              <w:ind w:firstLine="630" w:firstLineChars="300"/>
              <w:jc w:val="left"/>
              <w:rPr>
                <w:rFonts w:hint="eastAsia" w:ascii="仿宋" w:hAnsi="仿宋" w:eastAsia="仿宋" w:cs="宋体"/>
                <w:kern w:val="0"/>
                <w:szCs w:val="21"/>
              </w:rPr>
            </w:pPr>
            <w:r>
              <w:rPr>
                <w:rFonts w:hint="eastAsia" w:ascii="仿宋" w:hAnsi="仿宋" w:eastAsia="仿宋" w:cs="宋体"/>
                <w:bCs/>
                <w:kern w:val="0"/>
                <w:szCs w:val="21"/>
              </w:rPr>
              <w:t>2、本表中朋口储备库若中晚籼稻谷也需要库内移仓并库，费用单价按早籼稻谷单价执行。</w:t>
            </w:r>
            <w:r>
              <w:rPr>
                <w:rFonts w:hint="eastAsia" w:ascii="仿宋" w:hAnsi="仿宋" w:eastAsia="仿宋" w:cs="宋体"/>
                <w:kern w:val="0"/>
                <w:szCs w:val="21"/>
              </w:rPr>
              <w:t xml:space="preserve"> </w:t>
            </w:r>
          </w:p>
          <w:p w14:paraId="388A3369">
            <w:pPr>
              <w:ind w:left="630" w:leftChars="300"/>
              <w:jc w:val="left"/>
              <w:rPr>
                <w:rFonts w:hint="eastAsia" w:ascii="仿宋" w:hAnsi="仿宋" w:eastAsia="仿宋" w:cs="宋体"/>
                <w:kern w:val="0"/>
                <w:szCs w:val="21"/>
              </w:rPr>
            </w:pPr>
            <w:r>
              <w:rPr>
                <w:rFonts w:hint="eastAsia" w:ascii="仿宋" w:hAnsi="仿宋" w:eastAsia="仿宋" w:cs="宋体"/>
                <w:kern w:val="0"/>
                <w:szCs w:val="21"/>
              </w:rPr>
              <w:t>3、合同金额为含税包干价，采购人不再支付其他费用。</w:t>
            </w:r>
          </w:p>
        </w:tc>
      </w:tr>
    </w:tbl>
    <w:p w14:paraId="773BC806">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二</w:t>
      </w:r>
      <w:r>
        <w:rPr>
          <w:rFonts w:ascii="仿宋" w:hAnsi="仿宋" w:eastAsia="仿宋"/>
          <w:b/>
          <w:sz w:val="30"/>
          <w:szCs w:val="30"/>
        </w:rPr>
        <w:t>、本项目</w:t>
      </w:r>
      <w:r>
        <w:rPr>
          <w:rFonts w:hint="eastAsia" w:ascii="仿宋" w:hAnsi="仿宋" w:eastAsia="仿宋"/>
          <w:b/>
          <w:sz w:val="30"/>
          <w:szCs w:val="30"/>
        </w:rPr>
        <w:t>装卸运输（移仓并库）</w:t>
      </w:r>
      <w:r>
        <w:rPr>
          <w:rFonts w:ascii="仿宋" w:hAnsi="仿宋" w:eastAsia="仿宋"/>
          <w:b/>
          <w:sz w:val="30"/>
          <w:szCs w:val="30"/>
        </w:rPr>
        <w:t>货物名称：</w:t>
      </w:r>
      <w:r>
        <w:rPr>
          <w:rFonts w:hint="eastAsia" w:ascii="仿宋" w:hAnsi="仿宋" w:eastAsia="仿宋"/>
          <w:sz w:val="30"/>
          <w:szCs w:val="30"/>
          <w:u w:val="single"/>
        </w:rPr>
        <w:t xml:space="preserve">早籼稻谷、中晚籼稻谷 </w:t>
      </w:r>
    </w:p>
    <w:p w14:paraId="7458A71D">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本项目装卸运输货物</w:t>
      </w:r>
      <w:r>
        <w:rPr>
          <w:rFonts w:ascii="仿宋" w:hAnsi="仿宋" w:eastAsia="仿宋"/>
          <w:b/>
          <w:sz w:val="30"/>
          <w:szCs w:val="30"/>
        </w:rPr>
        <w:t>数量：</w:t>
      </w:r>
      <w:r>
        <w:rPr>
          <w:rFonts w:hint="eastAsia" w:ascii="仿宋" w:hAnsi="仿宋" w:eastAsia="仿宋"/>
          <w:b/>
          <w:sz w:val="30"/>
          <w:szCs w:val="30"/>
          <w:u w:val="single"/>
        </w:rPr>
        <w:t>暂定早籼稻谷230吨，中晚籼稻谷770吨（</w:t>
      </w:r>
      <w:r>
        <w:rPr>
          <w:rFonts w:hint="eastAsia" w:ascii="仿宋" w:hAnsi="仿宋" w:eastAsia="仿宋"/>
          <w:sz w:val="30"/>
          <w:szCs w:val="30"/>
          <w:u w:val="single"/>
        </w:rPr>
        <w:t>以实际到达接收库点</w:t>
      </w:r>
      <w:r>
        <w:rPr>
          <w:rFonts w:ascii="仿宋" w:hAnsi="仿宋" w:eastAsia="仿宋"/>
          <w:sz w:val="30"/>
          <w:szCs w:val="30"/>
          <w:u w:val="single"/>
        </w:rPr>
        <w:t>数量为准）</w:t>
      </w:r>
      <w:r>
        <w:rPr>
          <w:rFonts w:hint="eastAsia" w:ascii="仿宋" w:hAnsi="仿宋" w:eastAsia="仿宋"/>
          <w:sz w:val="30"/>
          <w:szCs w:val="30"/>
        </w:rPr>
        <w:t>。</w:t>
      </w:r>
    </w:p>
    <w:p w14:paraId="6DADEB38">
      <w:pPr>
        <w:snapToGrid w:val="0"/>
        <w:spacing w:line="300" w:lineRule="auto"/>
        <w:ind w:firstLine="602" w:firstLineChars="200"/>
        <w:rPr>
          <w:rFonts w:hint="eastAsia" w:ascii="仿宋" w:hAnsi="仿宋" w:eastAsia="仿宋"/>
          <w:sz w:val="30"/>
          <w:szCs w:val="30"/>
          <w:u w:val="single"/>
        </w:rPr>
      </w:pPr>
      <w:r>
        <w:rPr>
          <w:rFonts w:hint="eastAsia" w:ascii="仿宋" w:hAnsi="仿宋" w:eastAsia="仿宋"/>
          <w:b/>
          <w:sz w:val="30"/>
          <w:szCs w:val="30"/>
        </w:rPr>
        <w:t>本项目移仓并库数量：</w:t>
      </w:r>
      <w:r>
        <w:rPr>
          <w:rFonts w:hint="eastAsia" w:ascii="仿宋" w:hAnsi="仿宋" w:eastAsia="仿宋"/>
          <w:sz w:val="30"/>
          <w:szCs w:val="30"/>
          <w:u w:val="single"/>
        </w:rPr>
        <w:t>暂定早籼稻谷700吨（以朋口储备库仓内实际数量为准）</w:t>
      </w:r>
      <w:r>
        <w:rPr>
          <w:rFonts w:hint="eastAsia" w:ascii="仿宋" w:hAnsi="仿宋" w:eastAsia="仿宋"/>
          <w:sz w:val="30"/>
          <w:szCs w:val="30"/>
        </w:rPr>
        <w:t>。</w:t>
      </w:r>
    </w:p>
    <w:p w14:paraId="72F752EA">
      <w:pPr>
        <w:snapToGrid w:val="0"/>
        <w:spacing w:line="300" w:lineRule="auto"/>
        <w:ind w:firstLine="602" w:firstLineChars="200"/>
        <w:rPr>
          <w:rFonts w:ascii="仿宋" w:hAnsi="仿宋" w:eastAsia="仿宋"/>
          <w:sz w:val="30"/>
          <w:szCs w:val="30"/>
        </w:rPr>
      </w:pPr>
      <w:r>
        <w:rPr>
          <w:rFonts w:hint="eastAsia" w:ascii="仿宋" w:hAnsi="仿宋" w:eastAsia="仿宋"/>
          <w:b/>
          <w:sz w:val="30"/>
          <w:szCs w:val="30"/>
        </w:rPr>
        <w:t>三</w:t>
      </w:r>
      <w:r>
        <w:rPr>
          <w:rFonts w:ascii="仿宋" w:hAnsi="仿宋" w:eastAsia="仿宋"/>
          <w:b/>
          <w:sz w:val="30"/>
          <w:szCs w:val="30"/>
        </w:rPr>
        <w:t>、本项目装车、起运地点：</w:t>
      </w:r>
      <w:r>
        <w:rPr>
          <w:rFonts w:hint="eastAsia" w:ascii="仿宋" w:hAnsi="仿宋" w:eastAsia="仿宋"/>
          <w:sz w:val="30"/>
          <w:szCs w:val="30"/>
          <w:u w:val="single"/>
        </w:rPr>
        <w:t>北团粮站</w:t>
      </w:r>
      <w:r>
        <w:rPr>
          <w:rFonts w:ascii="仿宋" w:hAnsi="仿宋" w:eastAsia="仿宋"/>
          <w:sz w:val="30"/>
          <w:szCs w:val="30"/>
          <w:u w:val="single"/>
        </w:rPr>
        <w:t>收购库点（</w:t>
      </w:r>
      <w:r>
        <w:rPr>
          <w:rFonts w:hint="eastAsia" w:ascii="仿宋" w:hAnsi="仿宋" w:eastAsia="仿宋"/>
          <w:sz w:val="30"/>
          <w:szCs w:val="30"/>
          <w:u w:val="single"/>
        </w:rPr>
        <w:t>北团镇孙台村芜祀台路28-1号）</w:t>
      </w:r>
      <w:r>
        <w:rPr>
          <w:rFonts w:ascii="仿宋" w:hAnsi="仿宋" w:eastAsia="仿宋"/>
          <w:sz w:val="30"/>
          <w:szCs w:val="30"/>
        </w:rPr>
        <w:t>。</w:t>
      </w:r>
    </w:p>
    <w:p w14:paraId="5A39DF1E">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四</w:t>
      </w:r>
      <w:r>
        <w:rPr>
          <w:rFonts w:ascii="仿宋" w:hAnsi="仿宋" w:eastAsia="仿宋"/>
          <w:b/>
          <w:sz w:val="30"/>
          <w:szCs w:val="30"/>
        </w:rPr>
        <w:t>、本项目到达地点：</w:t>
      </w:r>
      <w:r>
        <w:rPr>
          <w:rFonts w:hint="eastAsia" w:ascii="仿宋" w:hAnsi="仿宋" w:eastAsia="仿宋"/>
          <w:sz w:val="30"/>
          <w:szCs w:val="30"/>
          <w:u w:val="single"/>
        </w:rPr>
        <w:t>朋口储备库（朋口镇天马村马山前路39号）</w:t>
      </w:r>
      <w:r>
        <w:rPr>
          <w:rFonts w:hint="eastAsia" w:ascii="仿宋" w:hAnsi="仿宋" w:eastAsia="仿宋"/>
          <w:sz w:val="30"/>
          <w:szCs w:val="30"/>
        </w:rPr>
        <w:t>。</w:t>
      </w:r>
    </w:p>
    <w:p w14:paraId="5E06EE71">
      <w:pPr>
        <w:snapToGrid w:val="0"/>
        <w:spacing w:line="300" w:lineRule="auto"/>
        <w:ind w:firstLine="602" w:firstLineChars="200"/>
        <w:rPr>
          <w:rFonts w:hint="eastAsia" w:ascii="仿宋" w:hAnsi="仿宋" w:eastAsia="仿宋"/>
          <w:sz w:val="30"/>
          <w:szCs w:val="30"/>
          <w:u w:val="single"/>
        </w:rPr>
      </w:pPr>
      <w:r>
        <w:rPr>
          <w:rFonts w:hint="eastAsia" w:ascii="仿宋" w:hAnsi="仿宋" w:eastAsia="仿宋"/>
          <w:b/>
          <w:sz w:val="30"/>
          <w:szCs w:val="30"/>
        </w:rPr>
        <w:t>五、本项目移仓并库：</w:t>
      </w:r>
      <w:r>
        <w:rPr>
          <w:rFonts w:hint="eastAsia" w:ascii="仿宋" w:hAnsi="仿宋" w:eastAsia="仿宋"/>
          <w:sz w:val="30"/>
          <w:szCs w:val="30"/>
          <w:u w:val="single"/>
        </w:rPr>
        <w:t>朋口储备库库内相邻仓间移并</w:t>
      </w:r>
      <w:r>
        <w:rPr>
          <w:rFonts w:hint="eastAsia" w:ascii="仿宋" w:hAnsi="仿宋" w:eastAsia="仿宋"/>
          <w:sz w:val="30"/>
          <w:szCs w:val="30"/>
        </w:rPr>
        <w:t>。</w:t>
      </w:r>
    </w:p>
    <w:p w14:paraId="53BEEC4F">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六</w:t>
      </w:r>
      <w:r>
        <w:rPr>
          <w:rFonts w:ascii="仿宋" w:hAnsi="仿宋" w:eastAsia="仿宋"/>
          <w:b/>
          <w:sz w:val="30"/>
          <w:szCs w:val="30"/>
        </w:rPr>
        <w:t>、本项目服务期限：</w:t>
      </w:r>
      <w:r>
        <w:rPr>
          <w:rFonts w:hint="eastAsia" w:ascii="仿宋" w:hAnsi="仿宋" w:eastAsia="仿宋"/>
          <w:b/>
          <w:sz w:val="30"/>
          <w:szCs w:val="30"/>
        </w:rPr>
        <w:t>暂定</w:t>
      </w:r>
      <w:r>
        <w:rPr>
          <w:rFonts w:hint="eastAsia" w:ascii="仿宋" w:hAnsi="仿宋" w:eastAsia="仿宋"/>
          <w:sz w:val="30"/>
          <w:szCs w:val="30"/>
        </w:rPr>
        <w:t>2025</w:t>
      </w:r>
      <w:r>
        <w:rPr>
          <w:rFonts w:ascii="仿宋" w:hAnsi="仿宋" w:eastAsia="仿宋"/>
          <w:sz w:val="30"/>
          <w:szCs w:val="30"/>
        </w:rPr>
        <w:t>年</w:t>
      </w:r>
      <w:r>
        <w:rPr>
          <w:rFonts w:hint="eastAsia" w:ascii="仿宋" w:hAnsi="仿宋" w:eastAsia="仿宋"/>
          <w:sz w:val="30"/>
          <w:szCs w:val="30"/>
          <w:u w:val="single"/>
          <w:lang w:val="en-US" w:eastAsia="zh-CN"/>
        </w:rPr>
        <w:t xml:space="preserve">  </w:t>
      </w:r>
      <w:r>
        <w:rPr>
          <w:rFonts w:ascii="仿宋" w:hAnsi="仿宋" w:eastAsia="仿宋"/>
          <w:sz w:val="30"/>
          <w:szCs w:val="30"/>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ascii="仿宋" w:hAnsi="仿宋" w:eastAsia="仿宋"/>
          <w:sz w:val="30"/>
          <w:szCs w:val="30"/>
        </w:rPr>
        <w:t>日至</w:t>
      </w:r>
      <w:r>
        <w:rPr>
          <w:rFonts w:hint="eastAsia" w:ascii="仿宋" w:hAnsi="仿宋" w:eastAsia="仿宋"/>
          <w:sz w:val="30"/>
          <w:szCs w:val="30"/>
        </w:rPr>
        <w:t>2025</w:t>
      </w:r>
      <w:r>
        <w:rPr>
          <w:rFonts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rPr>
        <w:t>日</w:t>
      </w:r>
      <w:r>
        <w:rPr>
          <w:rFonts w:hint="eastAsia" w:ascii="仿宋" w:hAnsi="仿宋" w:eastAsia="仿宋"/>
          <w:sz w:val="30"/>
          <w:szCs w:val="30"/>
        </w:rPr>
        <w:t>（根据甲方粮食收购情况，乙方应无条件配合甲方进行本项目的装卸运输）。</w:t>
      </w:r>
    </w:p>
    <w:p w14:paraId="507B54C5">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七、本项目合同履约保证金：</w:t>
      </w:r>
      <w:r>
        <w:rPr>
          <w:rFonts w:hint="eastAsia" w:ascii="仿宋" w:hAnsi="仿宋" w:eastAsia="仿宋"/>
          <w:sz w:val="30"/>
          <w:szCs w:val="30"/>
        </w:rPr>
        <w:t>合同履约保证金为中标总价款</w:t>
      </w:r>
      <w:r>
        <w:rPr>
          <w:rFonts w:hint="eastAsia" w:ascii="仿宋" w:hAnsi="仿宋" w:eastAsia="仿宋"/>
          <w:sz w:val="30"/>
          <w:szCs w:val="30"/>
          <w:u w:val="single"/>
        </w:rPr>
        <w:t>10%</w:t>
      </w:r>
      <w:r>
        <w:rPr>
          <w:rFonts w:hint="eastAsia" w:ascii="仿宋" w:hAnsi="仿宋" w:eastAsia="仿宋"/>
          <w:sz w:val="30"/>
          <w:szCs w:val="30"/>
        </w:rPr>
        <w:t>，即人民币</w:t>
      </w:r>
      <w:r>
        <w:rPr>
          <w:rFonts w:hint="eastAsia" w:ascii="仿宋" w:hAnsi="仿宋" w:eastAsia="仿宋"/>
          <w:sz w:val="30"/>
          <w:szCs w:val="30"/>
          <w:u w:val="single"/>
        </w:rPr>
        <w:t xml:space="preserve">    </w:t>
      </w:r>
      <w:r>
        <w:rPr>
          <w:rFonts w:hint="eastAsia" w:ascii="仿宋" w:hAnsi="仿宋" w:eastAsia="仿宋"/>
          <w:sz w:val="30"/>
          <w:szCs w:val="30"/>
        </w:rPr>
        <w:t>元（￥ 元），在本项目成交之日起5日内存缴入甲方账户。履约保证金在本项目集并装卸运输全部完成后（夏、秋粮集并运输完成），一次性无息退还乙方。</w:t>
      </w:r>
    </w:p>
    <w:p w14:paraId="285D7CC3">
      <w:pPr>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八</w:t>
      </w:r>
      <w:r>
        <w:rPr>
          <w:rFonts w:ascii="仿宋" w:hAnsi="仿宋" w:eastAsia="仿宋"/>
          <w:b/>
          <w:sz w:val="30"/>
          <w:szCs w:val="30"/>
        </w:rPr>
        <w:t>、本项目装卸、运输</w:t>
      </w:r>
      <w:r>
        <w:rPr>
          <w:rFonts w:hint="eastAsia" w:ascii="仿宋" w:hAnsi="仿宋" w:eastAsia="仿宋"/>
          <w:b/>
          <w:sz w:val="30"/>
          <w:szCs w:val="30"/>
        </w:rPr>
        <w:t>及移仓并库</w:t>
      </w:r>
      <w:r>
        <w:rPr>
          <w:rFonts w:ascii="仿宋" w:hAnsi="仿宋" w:eastAsia="仿宋"/>
          <w:b/>
          <w:sz w:val="30"/>
          <w:szCs w:val="30"/>
        </w:rPr>
        <w:t>要求：</w:t>
      </w:r>
    </w:p>
    <w:p w14:paraId="1256EC67">
      <w:pPr>
        <w:snapToGrid w:val="0"/>
        <w:spacing w:line="300" w:lineRule="auto"/>
        <w:ind w:firstLine="600" w:firstLineChars="200"/>
        <w:rPr>
          <w:rFonts w:ascii="仿宋" w:hAnsi="仿宋" w:eastAsia="仿宋"/>
          <w:sz w:val="30"/>
          <w:szCs w:val="30"/>
        </w:rPr>
      </w:pPr>
      <w:r>
        <w:rPr>
          <w:rFonts w:ascii="仿宋" w:hAnsi="仿宋" w:eastAsia="仿宋"/>
          <w:sz w:val="30"/>
          <w:szCs w:val="30"/>
        </w:rPr>
        <w:t>1、乙方须督促装卸工人遵守甲方规章制度，若存在违反甲方规章制度和不服从甲方人员指挥的行为，甲方有权对乙方或乙方装卸工人按甲方制度进行处罚。</w:t>
      </w:r>
    </w:p>
    <w:p w14:paraId="7368D4B9">
      <w:pPr>
        <w:snapToGrid w:val="0"/>
        <w:spacing w:line="300" w:lineRule="auto"/>
        <w:ind w:firstLine="600" w:firstLineChars="200"/>
        <w:rPr>
          <w:rFonts w:ascii="仿宋" w:hAnsi="仿宋" w:eastAsia="仿宋"/>
          <w:sz w:val="30"/>
          <w:szCs w:val="30"/>
        </w:rPr>
      </w:pPr>
      <w:r>
        <w:rPr>
          <w:rFonts w:ascii="仿宋" w:hAnsi="仿宋" w:eastAsia="仿宋"/>
          <w:sz w:val="30"/>
          <w:szCs w:val="30"/>
        </w:rPr>
        <w:t>2、乙方应保证车辆箱体要密实无撒漏、无污染，防潮防雨。装过有毒物品、农药、玻璃纤维和其它有害物质或装过化肥、活牲畜和其它污秽物，未经消毒、有异味、清扫不干净的车辆不得装车，确保运输粮食质量安全。</w:t>
      </w:r>
    </w:p>
    <w:p w14:paraId="1236F527">
      <w:pPr>
        <w:snapToGrid w:val="0"/>
        <w:spacing w:line="300" w:lineRule="auto"/>
        <w:ind w:firstLine="602" w:firstLineChars="200"/>
        <w:rPr>
          <w:rFonts w:ascii="仿宋" w:hAnsi="仿宋" w:eastAsia="仿宋"/>
          <w:sz w:val="30"/>
          <w:szCs w:val="30"/>
        </w:rPr>
      </w:pPr>
      <w:r>
        <w:rPr>
          <w:rFonts w:hint="eastAsia" w:ascii="仿宋" w:hAnsi="仿宋" w:eastAsia="仿宋"/>
          <w:b/>
          <w:sz w:val="30"/>
          <w:szCs w:val="30"/>
        </w:rPr>
        <w:t>九</w:t>
      </w:r>
      <w:r>
        <w:rPr>
          <w:rFonts w:ascii="仿宋" w:hAnsi="仿宋" w:eastAsia="仿宋"/>
          <w:b/>
          <w:sz w:val="30"/>
          <w:szCs w:val="30"/>
        </w:rPr>
        <w:t>、甲方责任：</w:t>
      </w:r>
      <w:r>
        <w:rPr>
          <w:rFonts w:ascii="仿宋" w:hAnsi="仿宋" w:eastAsia="仿宋"/>
          <w:sz w:val="30"/>
          <w:szCs w:val="30"/>
        </w:rPr>
        <w:t>甲方应按双方约定时间在乙方安全无损将货物运达目的地之后将装卸、运输</w:t>
      </w:r>
      <w:r>
        <w:rPr>
          <w:rFonts w:hint="eastAsia" w:ascii="仿宋" w:hAnsi="仿宋" w:eastAsia="仿宋"/>
          <w:sz w:val="30"/>
          <w:szCs w:val="30"/>
        </w:rPr>
        <w:t>及移仓并库</w:t>
      </w:r>
      <w:r>
        <w:rPr>
          <w:rFonts w:ascii="仿宋" w:hAnsi="仿宋" w:eastAsia="仿宋"/>
          <w:sz w:val="30"/>
          <w:szCs w:val="30"/>
        </w:rPr>
        <w:t>费</w:t>
      </w:r>
      <w:r>
        <w:rPr>
          <w:rFonts w:hint="eastAsia" w:ascii="仿宋" w:hAnsi="仿宋" w:eastAsia="仿宋"/>
          <w:sz w:val="30"/>
          <w:szCs w:val="30"/>
        </w:rPr>
        <w:t>用</w:t>
      </w:r>
      <w:r>
        <w:rPr>
          <w:rFonts w:ascii="仿宋" w:hAnsi="仿宋" w:eastAsia="仿宋"/>
          <w:sz w:val="30"/>
          <w:szCs w:val="30"/>
        </w:rPr>
        <w:t>结算给乙方。</w:t>
      </w:r>
    </w:p>
    <w:p w14:paraId="56F4BFA7">
      <w:pPr>
        <w:snapToGrid w:val="0"/>
        <w:spacing w:line="300" w:lineRule="auto"/>
        <w:ind w:firstLine="602" w:firstLineChars="200"/>
        <w:rPr>
          <w:rFonts w:hint="eastAsia" w:ascii="仿宋" w:hAnsi="仿宋" w:eastAsia="仿宋"/>
          <w:b/>
          <w:sz w:val="30"/>
          <w:szCs w:val="30"/>
        </w:rPr>
      </w:pPr>
      <w:r>
        <w:rPr>
          <w:rFonts w:hint="eastAsia" w:ascii="仿宋" w:hAnsi="仿宋" w:eastAsia="仿宋"/>
          <w:b/>
          <w:sz w:val="30"/>
          <w:szCs w:val="30"/>
        </w:rPr>
        <w:t>十</w:t>
      </w:r>
      <w:r>
        <w:rPr>
          <w:rFonts w:ascii="仿宋" w:hAnsi="仿宋" w:eastAsia="仿宋"/>
          <w:b/>
          <w:sz w:val="30"/>
          <w:szCs w:val="30"/>
        </w:rPr>
        <w:t>、乙方责任：</w:t>
      </w:r>
    </w:p>
    <w:p w14:paraId="1B5CE08C">
      <w:pPr>
        <w:snapToGrid w:val="0"/>
        <w:spacing w:line="300" w:lineRule="auto"/>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保证在合同规定期限内将货物安全运抵指定地点。对承运的货物要负责安全。必须保证装卸工人、车辆、驾驶员安全，如由装卸工人、车辆、驾驶员引发的安全事故，乙方承担一切经济责任及相关赔偿费用。</w:t>
      </w:r>
    </w:p>
    <w:p w14:paraId="0F90A1FA">
      <w:pPr>
        <w:snapToGrid w:val="0"/>
        <w:spacing w:line="300" w:lineRule="auto"/>
        <w:ind w:firstLine="600" w:firstLineChars="200"/>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保证货物无短缺、无人为变质。在装卸、运输途中一旦出现货物丢失、短少、变质、损坏等情况，原则上按到达地市场价格进行赔偿。另有约定的，按约定限额赔偿。但如果货物的缺失和损坏是由不可抗力、货物的自身属性决定的合理损耗或是甲方过错造成，则承运方不承担赔偿责任。</w:t>
      </w:r>
    </w:p>
    <w:p w14:paraId="12FAE16C">
      <w:pPr>
        <w:snapToGrid w:val="0"/>
        <w:spacing w:line="300" w:lineRule="auto"/>
        <w:ind w:firstLine="600" w:firstLineChars="200"/>
        <w:rPr>
          <w:rFonts w:hint="eastAsia" w:ascii="仿宋" w:hAnsi="仿宋" w:eastAsia="仿宋"/>
          <w:sz w:val="30"/>
          <w:szCs w:val="30"/>
        </w:rPr>
      </w:pPr>
      <w:r>
        <w:rPr>
          <w:rFonts w:hint="eastAsia" w:ascii="仿宋" w:hAnsi="仿宋" w:eastAsia="仿宋"/>
          <w:sz w:val="30"/>
          <w:szCs w:val="30"/>
        </w:rPr>
        <w:t>3、保证在出库结束后及时清理现场，将各种器材、机械设备清理清扫后归放到位；保证在入库完成时做好仓库内外清扫卫生和仓内粮面平整。</w:t>
      </w:r>
    </w:p>
    <w:p w14:paraId="48A40C1A">
      <w:pPr>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十</w:t>
      </w:r>
      <w:r>
        <w:rPr>
          <w:rFonts w:ascii="仿宋" w:hAnsi="仿宋" w:eastAsia="仿宋"/>
          <w:b/>
          <w:sz w:val="30"/>
          <w:szCs w:val="30"/>
        </w:rPr>
        <w:t>、装卸运输</w:t>
      </w:r>
      <w:r>
        <w:rPr>
          <w:rFonts w:hint="eastAsia" w:ascii="仿宋" w:hAnsi="仿宋" w:eastAsia="仿宋"/>
          <w:b/>
          <w:sz w:val="30"/>
          <w:szCs w:val="30"/>
        </w:rPr>
        <w:t>及移仓并库</w:t>
      </w:r>
      <w:r>
        <w:rPr>
          <w:rFonts w:ascii="仿宋" w:hAnsi="仿宋" w:eastAsia="仿宋"/>
          <w:b/>
          <w:sz w:val="30"/>
          <w:szCs w:val="30"/>
        </w:rPr>
        <w:t>费用（</w:t>
      </w:r>
      <w:r>
        <w:rPr>
          <w:rFonts w:hint="eastAsia" w:ascii="仿宋" w:hAnsi="仿宋" w:eastAsia="仿宋"/>
          <w:b/>
          <w:sz w:val="30"/>
          <w:szCs w:val="30"/>
        </w:rPr>
        <w:t>包干金额含装包、上车、运输、拆包卸车或割包卸车、仓内粮面平整、现场卫生清理等费用）</w:t>
      </w:r>
      <w:r>
        <w:rPr>
          <w:rFonts w:ascii="仿宋" w:hAnsi="仿宋" w:eastAsia="仿宋"/>
          <w:b/>
          <w:sz w:val="30"/>
          <w:szCs w:val="30"/>
        </w:rPr>
        <w:t>：</w:t>
      </w:r>
    </w:p>
    <w:p w14:paraId="0C0409AF">
      <w:pPr>
        <w:snapToGrid w:val="0"/>
        <w:spacing w:line="300" w:lineRule="auto"/>
        <w:ind w:firstLine="584" w:firstLineChars="200"/>
        <w:rPr>
          <w:rFonts w:hint="eastAsia" w:ascii="仿宋" w:hAnsi="仿宋" w:eastAsia="仿宋"/>
          <w:spacing w:val="-4"/>
          <w:sz w:val="30"/>
          <w:szCs w:val="30"/>
        </w:rPr>
      </w:pPr>
      <w:r>
        <w:rPr>
          <w:rFonts w:hint="eastAsia" w:ascii="仿宋" w:hAnsi="仿宋" w:eastAsia="仿宋"/>
          <w:spacing w:val="-4"/>
          <w:sz w:val="30"/>
          <w:szCs w:val="30"/>
        </w:rPr>
        <w:t>北团粮站至朋口储备库散装散运散卸（包干单价）</w:t>
      </w:r>
      <w:r>
        <w:rPr>
          <w:rFonts w:hint="eastAsia" w:ascii="仿宋" w:hAnsi="仿宋" w:eastAsia="仿宋"/>
          <w:spacing w:val="-4"/>
          <w:sz w:val="30"/>
          <w:szCs w:val="30"/>
          <w:u w:val="single"/>
        </w:rPr>
        <w:t xml:space="preserve">     </w:t>
      </w:r>
      <w:r>
        <w:rPr>
          <w:rFonts w:hint="eastAsia" w:ascii="仿宋" w:hAnsi="仿宋" w:eastAsia="仿宋"/>
          <w:spacing w:val="-4"/>
          <w:sz w:val="30"/>
          <w:szCs w:val="30"/>
        </w:rPr>
        <w:t>元/吨；</w:t>
      </w:r>
    </w:p>
    <w:p w14:paraId="1410C770">
      <w:pPr>
        <w:snapToGrid w:val="0"/>
        <w:spacing w:line="300" w:lineRule="auto"/>
        <w:ind w:firstLine="584" w:firstLineChars="200"/>
        <w:rPr>
          <w:rFonts w:hint="eastAsia" w:ascii="仿宋" w:hAnsi="仿宋" w:eastAsia="仿宋"/>
          <w:spacing w:val="-4"/>
          <w:sz w:val="30"/>
          <w:szCs w:val="30"/>
        </w:rPr>
      </w:pPr>
      <w:r>
        <w:rPr>
          <w:rFonts w:hint="eastAsia" w:ascii="仿宋" w:hAnsi="仿宋" w:eastAsia="仿宋"/>
          <w:spacing w:val="-4"/>
          <w:sz w:val="30"/>
          <w:szCs w:val="30"/>
        </w:rPr>
        <w:t>朋口储备库库内移仓并库转仓装卸（包干单价）</w:t>
      </w:r>
      <w:r>
        <w:rPr>
          <w:rFonts w:hint="eastAsia" w:ascii="仿宋" w:hAnsi="仿宋" w:eastAsia="仿宋"/>
          <w:spacing w:val="-4"/>
          <w:sz w:val="30"/>
          <w:szCs w:val="30"/>
          <w:u w:val="single"/>
        </w:rPr>
        <w:t xml:space="preserve">     </w:t>
      </w:r>
      <w:r>
        <w:rPr>
          <w:rFonts w:hint="eastAsia" w:ascii="仿宋" w:hAnsi="仿宋" w:eastAsia="仿宋"/>
          <w:spacing w:val="-4"/>
          <w:sz w:val="30"/>
          <w:szCs w:val="30"/>
        </w:rPr>
        <w:t>元/吨。</w:t>
      </w:r>
    </w:p>
    <w:p w14:paraId="49B3F103">
      <w:pPr>
        <w:snapToGrid w:val="0"/>
        <w:spacing w:line="300" w:lineRule="auto"/>
        <w:ind w:firstLine="602" w:firstLineChars="200"/>
        <w:rPr>
          <w:rFonts w:hint="eastAsia" w:ascii="仿宋" w:hAnsi="仿宋" w:eastAsia="仿宋"/>
          <w:sz w:val="30"/>
          <w:szCs w:val="30"/>
        </w:rPr>
      </w:pPr>
      <w:r>
        <w:rPr>
          <w:rFonts w:hint="eastAsia" w:ascii="仿宋" w:hAnsi="仿宋" w:eastAsia="仿宋"/>
          <w:b/>
          <w:sz w:val="30"/>
          <w:szCs w:val="30"/>
        </w:rPr>
        <w:t>十一、</w:t>
      </w:r>
      <w:r>
        <w:rPr>
          <w:rFonts w:ascii="仿宋" w:hAnsi="仿宋" w:eastAsia="仿宋"/>
          <w:b/>
          <w:sz w:val="30"/>
          <w:szCs w:val="30"/>
        </w:rPr>
        <w:t>结算、</w:t>
      </w:r>
      <w:r>
        <w:rPr>
          <w:rFonts w:hint="eastAsia" w:ascii="仿宋" w:hAnsi="仿宋" w:eastAsia="仿宋"/>
          <w:b/>
          <w:sz w:val="30"/>
          <w:szCs w:val="30"/>
        </w:rPr>
        <w:t>支付</w:t>
      </w:r>
      <w:r>
        <w:rPr>
          <w:rFonts w:ascii="仿宋" w:hAnsi="仿宋" w:eastAsia="仿宋"/>
          <w:b/>
          <w:sz w:val="30"/>
          <w:szCs w:val="30"/>
        </w:rPr>
        <w:t>方式</w:t>
      </w:r>
      <w:r>
        <w:rPr>
          <w:rFonts w:ascii="仿宋" w:hAnsi="仿宋" w:eastAsia="仿宋"/>
          <w:sz w:val="30"/>
          <w:szCs w:val="30"/>
        </w:rPr>
        <w:t>：</w:t>
      </w:r>
    </w:p>
    <w:p w14:paraId="05F42439">
      <w:pPr>
        <w:snapToGrid w:val="0"/>
        <w:spacing w:line="300" w:lineRule="auto"/>
        <w:ind w:firstLine="600" w:firstLineChars="200"/>
        <w:rPr>
          <w:rFonts w:hint="eastAsia" w:ascii="仿宋" w:hAnsi="仿宋" w:eastAsia="仿宋"/>
          <w:spacing w:val="-14"/>
          <w:sz w:val="30"/>
          <w:szCs w:val="30"/>
        </w:rPr>
      </w:pPr>
      <w:r>
        <w:rPr>
          <w:rFonts w:hint="eastAsia" w:ascii="仿宋" w:hAnsi="仿宋" w:eastAsia="仿宋"/>
          <w:sz w:val="30"/>
          <w:szCs w:val="30"/>
        </w:rPr>
        <w:t>1、按起运库点和到达接收库点实际接收数量结算费用</w:t>
      </w:r>
      <w:r>
        <w:rPr>
          <w:rFonts w:ascii="仿宋" w:hAnsi="仿宋" w:eastAsia="仿宋"/>
          <w:spacing w:val="-14"/>
          <w:sz w:val="30"/>
          <w:szCs w:val="30"/>
        </w:rPr>
        <w:t>。</w:t>
      </w:r>
    </w:p>
    <w:p w14:paraId="2C5848DA">
      <w:pPr>
        <w:snapToGrid w:val="0"/>
        <w:spacing w:line="300" w:lineRule="auto"/>
        <w:ind w:firstLine="544" w:firstLineChars="200"/>
        <w:rPr>
          <w:rFonts w:hint="eastAsia" w:ascii="仿宋" w:hAnsi="仿宋" w:eastAsia="仿宋"/>
          <w:spacing w:val="-14"/>
          <w:sz w:val="30"/>
          <w:szCs w:val="30"/>
        </w:rPr>
      </w:pPr>
      <w:r>
        <w:rPr>
          <w:rFonts w:hint="eastAsia" w:ascii="仿宋" w:hAnsi="仿宋" w:eastAsia="仿宋"/>
          <w:spacing w:val="-14"/>
          <w:sz w:val="30"/>
          <w:szCs w:val="30"/>
        </w:rPr>
        <w:t>2、移仓并库数量，按朋口储备库仓内实际数量结算移仓并库费用。</w:t>
      </w:r>
    </w:p>
    <w:p w14:paraId="54701A2E">
      <w:pPr>
        <w:snapToGrid w:val="0"/>
        <w:spacing w:line="300" w:lineRule="auto"/>
        <w:ind w:firstLine="544" w:firstLineChars="200"/>
        <w:rPr>
          <w:rFonts w:hint="eastAsia" w:ascii="仿宋" w:hAnsi="仿宋" w:eastAsia="仿宋"/>
          <w:spacing w:val="-14"/>
          <w:sz w:val="30"/>
          <w:szCs w:val="30"/>
        </w:rPr>
      </w:pPr>
      <w:r>
        <w:rPr>
          <w:rFonts w:hint="eastAsia" w:ascii="仿宋" w:hAnsi="仿宋" w:eastAsia="仿宋"/>
          <w:spacing w:val="-14"/>
          <w:sz w:val="30"/>
          <w:szCs w:val="30"/>
        </w:rPr>
        <w:t>3、结算支付分为两个阶段：夏粮集并运输（移仓并库）；秋粮集并运输（移仓并库）</w:t>
      </w:r>
    </w:p>
    <w:p w14:paraId="6A02B550">
      <w:pPr>
        <w:snapToGrid w:val="0"/>
        <w:spacing w:line="300" w:lineRule="auto"/>
        <w:ind w:firstLine="544" w:firstLineChars="200"/>
        <w:rPr>
          <w:rFonts w:hint="eastAsia" w:ascii="仿宋" w:hAnsi="仿宋" w:eastAsia="仿宋"/>
          <w:spacing w:val="-14"/>
          <w:sz w:val="30"/>
          <w:szCs w:val="30"/>
        </w:rPr>
      </w:pPr>
      <w:r>
        <w:rPr>
          <w:rFonts w:hint="eastAsia" w:ascii="仿宋" w:hAnsi="仿宋" w:eastAsia="仿宋"/>
          <w:spacing w:val="-14"/>
          <w:sz w:val="30"/>
          <w:szCs w:val="30"/>
        </w:rPr>
        <w:t>（1）夏粮集并运输（移仓并库）完成，按接收库点实际数量支付费用；</w:t>
      </w:r>
    </w:p>
    <w:p w14:paraId="05F47FA0">
      <w:pPr>
        <w:snapToGrid w:val="0"/>
        <w:spacing w:line="300" w:lineRule="auto"/>
        <w:ind w:firstLine="544" w:firstLineChars="200"/>
        <w:rPr>
          <w:rFonts w:hint="eastAsia" w:ascii="仿宋" w:hAnsi="仿宋" w:eastAsia="仿宋"/>
          <w:spacing w:val="-14"/>
          <w:sz w:val="30"/>
          <w:szCs w:val="30"/>
        </w:rPr>
      </w:pPr>
      <w:r>
        <w:rPr>
          <w:rFonts w:hint="eastAsia" w:ascii="仿宋" w:hAnsi="仿宋" w:eastAsia="仿宋"/>
          <w:spacing w:val="-14"/>
          <w:sz w:val="30"/>
          <w:szCs w:val="30"/>
        </w:rPr>
        <w:t>（2）秋粮集并运输（移仓并库）完成，按接收库点实际数量支付费用。</w:t>
      </w:r>
    </w:p>
    <w:p w14:paraId="0ACCD254">
      <w:pPr>
        <w:snapToGrid w:val="0"/>
        <w:spacing w:line="300" w:lineRule="auto"/>
        <w:ind w:firstLine="544" w:firstLineChars="200"/>
        <w:rPr>
          <w:rFonts w:hint="eastAsia" w:ascii="仿宋" w:hAnsi="仿宋" w:eastAsia="仿宋"/>
          <w:spacing w:val="-14"/>
          <w:sz w:val="30"/>
          <w:szCs w:val="30"/>
        </w:rPr>
      </w:pPr>
      <w:r>
        <w:rPr>
          <w:rFonts w:hint="eastAsia" w:ascii="仿宋" w:hAnsi="仿宋" w:eastAsia="仿宋"/>
          <w:spacing w:val="-14"/>
          <w:sz w:val="30"/>
          <w:szCs w:val="30"/>
        </w:rPr>
        <w:t>4、合同结算金额为含税包干金额，甲方不再支付其他费用。在装卸运输及移仓并库工作完成后，乙方开具普通增值税发票给甲方，甲方在收到发票10个工作内支付乙方装卸运输及移仓并库费用。</w:t>
      </w:r>
    </w:p>
    <w:p w14:paraId="140CAB3A">
      <w:pPr>
        <w:snapToGrid w:val="0"/>
        <w:spacing w:line="300" w:lineRule="auto"/>
        <w:ind w:firstLine="590" w:firstLineChars="196"/>
        <w:rPr>
          <w:rFonts w:ascii="仿宋" w:hAnsi="仿宋" w:eastAsia="仿宋"/>
          <w:sz w:val="30"/>
          <w:szCs w:val="30"/>
        </w:rPr>
      </w:pPr>
      <w:r>
        <w:rPr>
          <w:rFonts w:hint="eastAsia" w:ascii="仿宋" w:hAnsi="仿宋" w:eastAsia="仿宋"/>
          <w:b/>
          <w:sz w:val="30"/>
          <w:szCs w:val="30"/>
        </w:rPr>
        <w:t>十二</w:t>
      </w:r>
      <w:r>
        <w:rPr>
          <w:rFonts w:ascii="仿宋" w:hAnsi="仿宋" w:eastAsia="仿宋"/>
          <w:b/>
          <w:sz w:val="30"/>
          <w:szCs w:val="30"/>
        </w:rPr>
        <w:t>、</w:t>
      </w:r>
      <w:r>
        <w:rPr>
          <w:rFonts w:ascii="仿宋" w:hAnsi="仿宋" w:eastAsia="仿宋"/>
          <w:sz w:val="30"/>
          <w:szCs w:val="30"/>
        </w:rPr>
        <w:t>本合同</w:t>
      </w:r>
      <w:r>
        <w:rPr>
          <w:rFonts w:hint="eastAsia" w:ascii="仿宋" w:hAnsi="仿宋" w:eastAsia="仿宋"/>
          <w:sz w:val="30"/>
          <w:szCs w:val="30"/>
        </w:rPr>
        <w:t>壹</w:t>
      </w:r>
      <w:r>
        <w:rPr>
          <w:rFonts w:ascii="仿宋" w:hAnsi="仿宋" w:eastAsia="仿宋"/>
          <w:sz w:val="30"/>
          <w:szCs w:val="30"/>
        </w:rPr>
        <w:t>式</w:t>
      </w:r>
      <w:r>
        <w:rPr>
          <w:rFonts w:hint="eastAsia" w:ascii="仿宋" w:hAnsi="仿宋" w:eastAsia="仿宋"/>
          <w:sz w:val="30"/>
          <w:szCs w:val="30"/>
        </w:rPr>
        <w:t>贰</w:t>
      </w:r>
      <w:r>
        <w:rPr>
          <w:rFonts w:ascii="仿宋" w:hAnsi="仿宋" w:eastAsia="仿宋"/>
          <w:sz w:val="30"/>
          <w:szCs w:val="30"/>
        </w:rPr>
        <w:t>份，甲、乙双方各执</w:t>
      </w:r>
      <w:r>
        <w:rPr>
          <w:rFonts w:hint="eastAsia" w:ascii="仿宋" w:hAnsi="仿宋" w:eastAsia="仿宋"/>
          <w:sz w:val="30"/>
          <w:szCs w:val="30"/>
        </w:rPr>
        <w:t>壹</w:t>
      </w:r>
      <w:r>
        <w:rPr>
          <w:rFonts w:ascii="仿宋" w:hAnsi="仿宋" w:eastAsia="仿宋"/>
          <w:sz w:val="30"/>
          <w:szCs w:val="30"/>
        </w:rPr>
        <w:t>份，具有同等法律效力。如有未尽事宜，由双方协商解决。</w:t>
      </w:r>
    </w:p>
    <w:p w14:paraId="48D529CC">
      <w:pPr>
        <w:snapToGrid w:val="0"/>
        <w:spacing w:line="300" w:lineRule="auto"/>
        <w:ind w:left="630"/>
        <w:rPr>
          <w:rFonts w:hint="eastAsia" w:ascii="仿宋" w:hAnsi="仿宋" w:eastAsia="仿宋"/>
          <w:sz w:val="30"/>
          <w:szCs w:val="30"/>
        </w:rPr>
      </w:pPr>
    </w:p>
    <w:p w14:paraId="6F3346EA">
      <w:pPr>
        <w:snapToGrid w:val="0"/>
        <w:spacing w:line="288" w:lineRule="auto"/>
        <w:ind w:left="630"/>
        <w:rPr>
          <w:rFonts w:hint="eastAsia" w:ascii="仿宋" w:hAnsi="仿宋" w:eastAsia="仿宋"/>
          <w:sz w:val="30"/>
          <w:szCs w:val="30"/>
        </w:rPr>
      </w:pPr>
    </w:p>
    <w:p w14:paraId="680B6DD0">
      <w:pPr>
        <w:snapToGrid w:val="0"/>
        <w:spacing w:line="288" w:lineRule="auto"/>
        <w:ind w:left="630"/>
        <w:rPr>
          <w:rFonts w:ascii="仿宋" w:hAnsi="仿宋" w:eastAsia="仿宋"/>
          <w:sz w:val="30"/>
          <w:szCs w:val="30"/>
        </w:rPr>
      </w:pPr>
      <w:r>
        <w:rPr>
          <w:rFonts w:ascii="仿宋" w:hAnsi="仿宋" w:eastAsia="仿宋"/>
          <w:sz w:val="30"/>
          <w:szCs w:val="30"/>
        </w:rPr>
        <w:t xml:space="preserve">甲方：（盖章）  </w:t>
      </w:r>
      <w:r>
        <w:rPr>
          <w:rFonts w:hint="eastAsia" w:ascii="仿宋" w:hAnsi="仿宋" w:eastAsia="仿宋"/>
          <w:sz w:val="30"/>
          <w:szCs w:val="30"/>
        </w:rPr>
        <w:t xml:space="preserve"> </w:t>
      </w:r>
      <w:r>
        <w:rPr>
          <w:rFonts w:ascii="仿宋" w:hAnsi="仿宋" w:eastAsia="仿宋"/>
          <w:sz w:val="30"/>
          <w:szCs w:val="30"/>
        </w:rPr>
        <w:t xml:space="preserve">             乙方：（盖章）</w:t>
      </w:r>
    </w:p>
    <w:p w14:paraId="7E261BC2">
      <w:pPr>
        <w:snapToGrid w:val="0"/>
        <w:spacing w:line="288" w:lineRule="auto"/>
        <w:ind w:left="630"/>
        <w:rPr>
          <w:rFonts w:hint="eastAsia" w:ascii="仿宋" w:hAnsi="仿宋" w:eastAsia="仿宋"/>
          <w:sz w:val="30"/>
          <w:szCs w:val="30"/>
        </w:rPr>
      </w:pPr>
    </w:p>
    <w:p w14:paraId="5B8F0E9D">
      <w:pPr>
        <w:snapToGrid w:val="0"/>
        <w:spacing w:line="288" w:lineRule="auto"/>
        <w:rPr>
          <w:rFonts w:hint="eastAsia" w:ascii="仿宋" w:hAnsi="仿宋" w:eastAsia="仿宋"/>
          <w:sz w:val="30"/>
          <w:szCs w:val="30"/>
        </w:rPr>
      </w:pPr>
    </w:p>
    <w:p w14:paraId="3F9C523D">
      <w:pPr>
        <w:snapToGrid w:val="0"/>
        <w:spacing w:line="288" w:lineRule="auto"/>
        <w:rPr>
          <w:rFonts w:hint="eastAsia" w:ascii="仿宋" w:hAnsi="仿宋" w:eastAsia="仿宋"/>
          <w:sz w:val="30"/>
          <w:szCs w:val="30"/>
        </w:rPr>
      </w:pPr>
    </w:p>
    <w:p w14:paraId="7BCFA51D">
      <w:pPr>
        <w:snapToGrid w:val="0"/>
        <w:spacing w:line="288" w:lineRule="auto"/>
        <w:ind w:left="630"/>
        <w:rPr>
          <w:rFonts w:ascii="仿宋" w:hAnsi="仿宋" w:eastAsia="仿宋"/>
          <w:sz w:val="30"/>
          <w:szCs w:val="30"/>
        </w:rPr>
      </w:pPr>
      <w:r>
        <w:rPr>
          <w:rFonts w:ascii="仿宋" w:hAnsi="仿宋" w:eastAsia="仿宋"/>
          <w:sz w:val="30"/>
          <w:szCs w:val="30"/>
        </w:rPr>
        <w:t>法定代表人：（</w:t>
      </w:r>
      <w:r>
        <w:rPr>
          <w:rFonts w:hint="eastAsia" w:ascii="仿宋" w:hAnsi="仿宋" w:eastAsia="仿宋"/>
          <w:sz w:val="30"/>
          <w:szCs w:val="30"/>
        </w:rPr>
        <w:t>签章）</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代表</w:t>
      </w:r>
      <w:r>
        <w:rPr>
          <w:rFonts w:ascii="仿宋" w:hAnsi="仿宋" w:eastAsia="仿宋"/>
          <w:sz w:val="30"/>
          <w:szCs w:val="30"/>
        </w:rPr>
        <w:t>：（</w:t>
      </w:r>
      <w:r>
        <w:rPr>
          <w:rFonts w:hint="eastAsia" w:ascii="仿宋" w:hAnsi="仿宋" w:eastAsia="仿宋"/>
          <w:sz w:val="30"/>
          <w:szCs w:val="30"/>
        </w:rPr>
        <w:t>签章）</w:t>
      </w:r>
    </w:p>
    <w:p w14:paraId="6EFA2536">
      <w:pPr>
        <w:snapToGrid w:val="0"/>
        <w:spacing w:line="288" w:lineRule="auto"/>
        <w:ind w:left="630" w:leftChars="300" w:firstLine="6150" w:firstLineChars="2050"/>
        <w:jc w:val="right"/>
        <w:rPr>
          <w:rFonts w:hint="eastAsia" w:ascii="仿宋" w:hAnsi="仿宋" w:eastAsia="仿宋"/>
          <w:sz w:val="30"/>
          <w:szCs w:val="30"/>
        </w:rPr>
      </w:pPr>
    </w:p>
    <w:p w14:paraId="26696598">
      <w:pPr>
        <w:snapToGrid w:val="0"/>
        <w:spacing w:line="288" w:lineRule="auto"/>
        <w:jc w:val="right"/>
        <w:rPr>
          <w:rFonts w:hint="eastAsia" w:ascii="仿宋" w:hAnsi="仿宋" w:eastAsia="仿宋"/>
          <w:sz w:val="30"/>
          <w:szCs w:val="30"/>
        </w:rPr>
      </w:pPr>
    </w:p>
    <w:p w14:paraId="32A9413C">
      <w:pPr>
        <w:snapToGrid w:val="0"/>
        <w:spacing w:line="288" w:lineRule="auto"/>
        <w:jc w:val="right"/>
        <w:rPr>
          <w:rFonts w:hint="eastAsia"/>
          <w:lang w:val="en-US" w:eastAsia="zh-CN"/>
        </w:rPr>
      </w:pPr>
      <w:r>
        <w:rPr>
          <w:rFonts w:hint="eastAsia" w:ascii="仿宋" w:hAnsi="仿宋" w:eastAsia="仿宋"/>
          <w:sz w:val="30"/>
          <w:szCs w:val="30"/>
        </w:rPr>
        <w:t xml:space="preserve">日期：     </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w:t>
      </w:r>
      <w:r>
        <w:rPr>
          <w:rFonts w:hint="eastAsia" w:ascii="仿宋" w:hAnsi="仿宋" w:eastAsia="仿宋"/>
          <w:sz w:val="30"/>
          <w:szCs w:val="30"/>
        </w:rPr>
        <w:t xml:space="preserve">   </w:t>
      </w:r>
      <w:r>
        <w:rPr>
          <w:rFonts w:ascii="仿宋" w:hAnsi="仿宋" w:eastAsia="仿宋"/>
          <w:sz w:val="30"/>
          <w:szCs w:val="30"/>
        </w:rPr>
        <w:t>日</w:t>
      </w:r>
    </w:p>
    <w:p w14:paraId="2D0F7296"/>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73326"/>
    <w:rsid w:val="5B17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2025-09-08T10:27:00Z</dcterms:created>
  <dc:creator>Administrator</dc:creator>
  <cp:lastModifiedBy>Administrator</cp:lastModifiedBy>
  <dcterms:modified xsi:type="dcterms:W3CDTF">2025-09-08T10:27:40Z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025FD74EDAE44544B3227A5615624C1F_11</vt:lpwstr>
  </property>
  <property fmtid="{D5CDD505-2E9C-101B-9397-08002B2CF9AE}" pid="4" name="KSOTemplateDocerSaveRecord">
    <vt:lpwstr>eyJoZGlkIjoiMmY5M2NkNzgzMTNhYzNmYjU2NTc2OGQwMGFkNmU3N2MiLCJ1c2VySWQiOiIxNTc4Njk4MDQ3In0=</vt:lpwstr>
  </property>
</Properties>
</file>