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LCCQJJ20250922</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16</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“薯交所”数字化交易中心一期建设运营项目可行性研究报告暨建设运营方案编制服务采购项目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28400元（含税包干），费用限价为包干价，包括但不限于服务费、管理费、税费、专家论证评审费等项目实施过程中的一切费用，委托人不再另行支付。竞价人应充分考虑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3.项目概况：</w:t>
      </w:r>
      <w:r>
        <w:rPr>
          <w:rFonts w:hint="eastAsia" w:asciiTheme="minorEastAsia" w:hAnsiTheme="minorEastAsia" w:eastAsiaTheme="minorEastAsia" w:cstheme="minorEastAsia"/>
          <w:color w:val="0000FF"/>
          <w:sz w:val="24"/>
          <w:highlight w:val="none"/>
          <w:lang w:val="en-US" w:eastAsia="zh-CN"/>
        </w:rPr>
        <w:t>围绕连城甘薯全产业链升级，项目建设聚焦“六大核心系统+全周期运营服务”内容，主要建设如下内容：平台建设侧主要搭建连城甘薯投入品交易系统、连城甘薯产品交易系统、甘薯行情服务系统、甘薯产业公共服务系统、甘薯产业供应链金融系统、甘薯产业大脑六大系统，覆盖种植、加工、流通全链路。运营服务侧同步推进平台运维、用户分层运营、场景化活动，助力强化“连城甘薯”地域品牌影响力，最终形成“系统支撑交易、运营激活生态”的闭环，推动产业集约化、品牌化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4.服务地点：</w:t>
      </w:r>
      <w:r>
        <w:rPr>
          <w:rFonts w:hint="eastAsia" w:asciiTheme="minorEastAsia" w:hAnsiTheme="minorEastAsia" w:eastAsiaTheme="minorEastAsia" w:cstheme="minorEastAsia"/>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福建省连城县</w:t>
      </w: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5.服务周期：</w:t>
      </w:r>
      <w:r>
        <w:rPr>
          <w:rFonts w:hint="eastAsia" w:asciiTheme="minorEastAsia" w:hAnsiTheme="minorEastAsia" w:eastAsiaTheme="minorEastAsia" w:cstheme="minorEastAsia"/>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合同签订之日起至方案评审通过。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6.项目服务内容：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6.1编制“薯交所”数字化交易中心一期建设运营项目可行性研究报告；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6.2项目建设方案设计：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6.2.1交易平台门户：包括门户网站的相关内容和功能。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6.2.2投入品交易系统：实现农机、辅料、农资投入品等交易闭环。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6.2.3甘薯交易系统：实现甘薯及甘薯产品交易的闭环。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6.2.4金融服务系统：满足地瓜产业金融服务需求。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6.2.5行情服务系统：通过数据分析处理，形成甘薯产地交易行情、平台交易行情、趋势以及形成“价格”指数。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6.2.6公共服务系统：满足甘薯产业政策宣传、监测等服务需求。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6.2.7仓储物流系统：物流系统对接、仓储出入库管理等。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6.2.8发票系统管理：对接各方需求，在线开票功能等。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6.2.9甘薯产业大脑：提供产业展示、数据展示、产业分布展示、交易链路展示、交易数据监测、AI产业分析等并提供决策服务参考。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6.3项目运营方案设计：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6.3.1平台日常运营管理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6.3.2平台运营推广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6.3.3产业资源整合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6.3.4平台运营架构及支撑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6.3.5带动投资效益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6.3.6运营目标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6.交付条件：成交人主导完成的成果文件通过委托人项目组评审的视为验收合格。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7.付款方式：</w:t>
      </w:r>
    </w:p>
    <w:tbl>
      <w:tblPr>
        <w:tblStyle w:val="17"/>
        <w:tblW w:w="5000" w:type="pct"/>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trPr>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80</w:t>
            </w:r>
          </w:p>
        </w:tc>
        <w:tc>
          <w:tcPr>
            <w:tcW w:w="58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设计成果提交并经评审验收合格后，</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提供相关票据的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支付合同款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3" w:hRule="atLeast"/>
          <w:tblCellSpacing w:w="0" w:type="dxa"/>
        </w:trPr>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20</w:t>
            </w:r>
          </w:p>
        </w:tc>
        <w:tc>
          <w:tcPr>
            <w:tcW w:w="58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项目平台完成建设后，提供相关票据的支付合同款20%。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8.履约保证金：</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本项目履约保证金为成交价的10%。合同签订前，成交人需采用现金（银行转帐或电汇）形式缴交履约保证金。履约担保有效期至合同履约完成，如成交人无违约，成交人凭履约保证金相关凭证、合同复印件等证明材料向委托人提交申请一次性无息退回。</w:t>
      </w:r>
      <w:r>
        <w:rPr>
          <w:rFonts w:hint="eastAsia" w:ascii="宋体" w:hAnsi="宋体" w:cs="宋体"/>
          <w:color w:val="000000" w:themeColor="text1"/>
          <w:sz w:val="24"/>
          <w:highlight w:val="none"/>
          <w:u w:val="single"/>
          <w14:textFill>
            <w14:solidFill>
              <w14:schemeClr w14:val="tx1"/>
            </w14:solidFill>
          </w14:textFill>
        </w:rPr>
        <w:br w:type="textWrapping"/>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9.其他要求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合同签订后7个工作日内提交初期成果，经招标人组织评审完成后3个工作日完成修改并提交审批，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10.违约责任：</w:t>
      </w:r>
    </w:p>
    <w:p>
      <w:pPr>
        <w:pStyle w:val="16"/>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4.须持有有效的工程咨询单位乙级及以上资信证书（业务范围须同时包括：电子、信息工程（含通信、广电、信息化）等相关专业）。</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500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工程咨询单位乙级及以上资信证书复印件（业务范围须同时包括：电子、信息工程（含通信、广电、信息化）等相关专业）</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w:t>
      </w:r>
      <w:bookmarkStart w:id="2" w:name="_GoBack"/>
      <w:bookmarkEnd w:id="2"/>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u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20"/>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4.竞价人应以服务费总价进行报价，竞价系统设置的价格28400元表示最高控制价为人民币28400元，系统填报价格最低的竞价人作为本项目成交人。</w:t>
      </w:r>
      <w:r>
        <w:rPr>
          <w:rFonts w:hint="eastAsia" w:asciiTheme="minorEastAsia" w:hAnsiTheme="minorEastAsia" w:eastAsiaTheme="minorEastAsia" w:cstheme="minorEastAsia"/>
          <w:b/>
          <w:bCs/>
          <w:color w:val="0000FF"/>
          <w:kern w:val="2"/>
          <w:sz w:val="24"/>
          <w:szCs w:val="24"/>
          <w:shd w:val="clear"/>
          <w:lang w:val="en-US" w:eastAsia="zh-CN" w:bidi="ar-SA"/>
        </w:rPr>
        <w:t>若竞价人在竞价系统填报价格高于28400元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color w:val="auto"/>
          <w:kern w:val="2"/>
          <w:sz w:val="24"/>
          <w:szCs w:val="24"/>
          <w:shd w:val="clear"/>
          <w:lang w:val="en-US" w:eastAsia="zh-CN" w:bidi="ar-SA"/>
        </w:rPr>
        <w:t xml:space="preserve">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w:t>
      </w:r>
      <w:r>
        <w:rPr>
          <w:rFonts w:hint="eastAsia" w:asciiTheme="minorEastAsia" w:hAnsiTheme="minorEastAsia" w:eastAsiaTheme="minorEastAsia" w:cstheme="minorEastAsia"/>
          <w:b/>
          <w:bCs/>
          <w:color w:val="0000FF"/>
          <w:sz w:val="24"/>
          <w:highlight w:val="none"/>
          <w:lang w:val="en-US" w:eastAsia="zh-CN"/>
        </w:rPr>
        <w:t>招标代理</w:t>
      </w:r>
      <w:r>
        <w:rPr>
          <w:rFonts w:hint="eastAsia" w:asciiTheme="minorEastAsia" w:hAnsiTheme="minorEastAsia" w:eastAsiaTheme="minorEastAsia" w:cstheme="minorEastAsia"/>
          <w:b/>
          <w:bCs/>
          <w:color w:val="0000FF"/>
          <w:sz w:val="24"/>
          <w:highlight w:val="none"/>
        </w:rPr>
        <w:t>服务费按成交价的1.5%向成交人收取</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2025年9月16日</w:t>
      </w:r>
    </w:p>
    <w:p>
      <w:pPr>
        <w:pStyle w:val="6"/>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9月22日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“薯交所”数字化交易中心一期建设运营项目可行性研究报告暨建设运营方案编制服务采购项目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LCCQJJ20250922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rPr>
          <w:rFonts w:hint="eastAsia" w:asciiTheme="minorEastAsia" w:hAnsiTheme="minorEastAsia" w:eastAsiaTheme="minorEastAsia" w:cstheme="minorEastAsia"/>
          <w:color w:val="0000FF"/>
          <w:sz w:val="24"/>
          <w:highlight w:val="none"/>
          <w:lang w:eastAsia="zh-CN"/>
        </w:rPr>
      </w:pPr>
    </w:p>
    <w:p>
      <w:pPr>
        <w:pStyle w:val="6"/>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0064F6"/>
    <w:rsid w:val="055D7EE3"/>
    <w:rsid w:val="0A3C092D"/>
    <w:rsid w:val="0AE20526"/>
    <w:rsid w:val="0ED562CE"/>
    <w:rsid w:val="0F114F36"/>
    <w:rsid w:val="193C5B8F"/>
    <w:rsid w:val="1A412CB8"/>
    <w:rsid w:val="1D895EB1"/>
    <w:rsid w:val="1E18008F"/>
    <w:rsid w:val="1E2123D7"/>
    <w:rsid w:val="205A2A84"/>
    <w:rsid w:val="209C6E63"/>
    <w:rsid w:val="290043D2"/>
    <w:rsid w:val="2BD31870"/>
    <w:rsid w:val="2BEF61A7"/>
    <w:rsid w:val="2E6F1761"/>
    <w:rsid w:val="30D63D1F"/>
    <w:rsid w:val="38574A3F"/>
    <w:rsid w:val="3BD95FA3"/>
    <w:rsid w:val="4175600C"/>
    <w:rsid w:val="476B0980"/>
    <w:rsid w:val="49144107"/>
    <w:rsid w:val="4BB535D6"/>
    <w:rsid w:val="536966BB"/>
    <w:rsid w:val="55531475"/>
    <w:rsid w:val="58070D78"/>
    <w:rsid w:val="582B4610"/>
    <w:rsid w:val="58EC35A5"/>
    <w:rsid w:val="5A151506"/>
    <w:rsid w:val="60265A02"/>
    <w:rsid w:val="637B3271"/>
    <w:rsid w:val="64D771FD"/>
    <w:rsid w:val="65736AA7"/>
    <w:rsid w:val="65AD68DC"/>
    <w:rsid w:val="68B7181F"/>
    <w:rsid w:val="69485F59"/>
    <w:rsid w:val="6AD42A74"/>
    <w:rsid w:val="759B20E3"/>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pPr>
    <w:rPr>
      <w:rFonts w:cs="宋体"/>
    </w:rPr>
  </w:style>
  <w:style w:type="paragraph" w:styleId="3">
    <w:name w:val="Body Text Indent"/>
    <w:basedOn w:val="1"/>
    <w:next w:val="1"/>
    <w:qFormat/>
    <w:uiPriority w:val="0"/>
    <w:pPr>
      <w:ind w:firstLine="560" w:firstLineChars="200"/>
    </w:pPr>
    <w:rPr>
      <w:rFonts w:ascii="宋体" w:hAnsi="宋体"/>
      <w:sz w:val="28"/>
      <w:szCs w:val="28"/>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80" w:lineRule="exact"/>
    </w:pPr>
    <w:rPr>
      <w:sz w:val="24"/>
    </w:rPr>
  </w:style>
  <w:style w:type="paragraph" w:customStyle="1" w:styleId="8">
    <w:name w:val="样式 表格正文 + 两端对齐"/>
    <w:basedOn w:val="1"/>
    <w:next w:val="9"/>
    <w:qFormat/>
    <w:uiPriority w:val="0"/>
    <w:pPr>
      <w:spacing w:line="300" w:lineRule="auto"/>
    </w:pPr>
  </w:style>
  <w:style w:type="paragraph" w:customStyle="1" w:styleId="9">
    <w:name w:val="正文1"/>
    <w:basedOn w:val="1"/>
    <w:qFormat/>
    <w:uiPriority w:val="0"/>
    <w:pPr>
      <w:spacing w:line="480" w:lineRule="exact"/>
      <w:ind w:firstLine="567"/>
    </w:pPr>
    <w:rPr>
      <w:rFonts w:ascii="幼圆" w:eastAsia="幼圆"/>
      <w:sz w:val="28"/>
      <w:szCs w:val="20"/>
    </w:rPr>
  </w:style>
  <w:style w:type="paragraph" w:styleId="10">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11">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2">
    <w:name w:val="Balloon Text"/>
    <w:next w:val="11"/>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3">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4">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Body Text Indent 3"/>
    <w:basedOn w:val="1"/>
    <w:unhideWhenUsed/>
    <w:qFormat/>
    <w:uiPriority w:val="99"/>
    <w:pPr>
      <w:spacing w:after="120"/>
      <w:ind w:left="420" w:leftChars="200"/>
    </w:pPr>
    <w:rPr>
      <w:kern w:val="2"/>
      <w:sz w:val="16"/>
      <w:szCs w:val="16"/>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9">
    <w:name w:val="Strong"/>
    <w:basedOn w:val="18"/>
    <w:qFormat/>
    <w:uiPriority w:val="0"/>
  </w:style>
  <w:style w:type="paragraph" w:customStyle="1" w:styleId="20">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21">
    <w:name w:val="List Paragraph"/>
    <w:basedOn w:val="1"/>
    <w:qFormat/>
    <w:uiPriority w:val="34"/>
    <w:pPr>
      <w:ind w:firstLine="420" w:firstLineChars="200"/>
    </w:pPr>
  </w:style>
  <w:style w:type="paragraph" w:customStyle="1" w:styleId="22">
    <w:name w:val="样式3"/>
    <w:basedOn w:val="10"/>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5211</Words>
  <Characters>5615</Characters>
  <Lines>0</Lines>
  <Paragraphs>0</Paragraphs>
  <TotalTime>0</TotalTime>
  <ScaleCrop>false</ScaleCrop>
  <LinksUpToDate>false</LinksUpToDate>
  <CharactersWithSpaces>5753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2025-09-16T13:29:08Z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eyJoZGlkIjoiNzU4MzU2ZjA3NDFmMzk5NzYzMDY0YjlmOTgwOTVjNzgiLCJ1c2VySWQiOiIzNTE2Njc4MjgifQ==</vt:lpwstr>
  </property>
</Properties>
</file>