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202510</w:t>
      </w:r>
      <w:r>
        <w:rPr>
          <w:rFonts w:hint="eastAsia" w:ascii="宋体" w:hAnsi="宋体" w:cs="宋体"/>
          <w:b/>
          <w:bCs/>
          <w:color w:val="0000FF"/>
          <w:kern w:val="0"/>
          <w:sz w:val="28"/>
          <w:szCs w:val="28"/>
          <w:shd w:val="clear" w:color="auto" w:fill="FFFFFF"/>
          <w:lang w:val="en-US" w:eastAsia="zh-CN"/>
        </w:rPr>
        <w:t>24-1</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24</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下午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福建省连城桃坪矿业有限公司股权收购服务采购项目选取法律尽职调查服务机构</w:t>
      </w:r>
      <w:r>
        <w:rPr>
          <w:rFonts w:hint="eastAsia" w:ascii="宋体" w:hAnsi="宋体" w:eastAsia="宋体" w:cs="宋体"/>
          <w:b w:val="0"/>
          <w:bCs w:val="0"/>
          <w:color w:val="auto"/>
          <w:sz w:val="28"/>
          <w:szCs w:val="28"/>
          <w:lang w:val="en-US" w:eastAsia="zh-CN"/>
        </w:rPr>
        <w:t>。</w:t>
      </w:r>
    </w:p>
    <w:p w14:paraId="47FD0B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福建省连城桃坪矿业有限公司股权收购服务采购项目策划、谈判、尽调、起草法律文书等非诉讼专项法律事务,出具《法律尽职调查报告》（一式两份），为收购福建省连城桃坪矿业有限公司股权决策提供关键依据和估值参考。</w:t>
      </w:r>
    </w:p>
    <w:p w14:paraId="1D87B5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0000FF"/>
          <w:sz w:val="28"/>
          <w:szCs w:val="28"/>
          <w:lang w:val="en-US" w:eastAsia="zh-CN"/>
        </w:rPr>
        <w:t>26700</w:t>
      </w:r>
      <w:r>
        <w:rPr>
          <w:rFonts w:hint="eastAsia" w:ascii="宋体" w:hAnsi="宋体" w:eastAsia="宋体" w:cs="宋体"/>
          <w:color w:val="0000FF"/>
          <w:sz w:val="28"/>
          <w:szCs w:val="28"/>
          <w:lang w:val="en-US" w:eastAsia="zh-CN"/>
        </w:rPr>
        <w:t>元。</w:t>
      </w:r>
    </w:p>
    <w:p w14:paraId="1825C3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000元。</w:t>
      </w:r>
    </w:p>
    <w:p w14:paraId="0C36BC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b w:val="0"/>
          <w:bCs w:val="0"/>
          <w:color w:val="auto"/>
          <w:sz w:val="28"/>
          <w:szCs w:val="28"/>
          <w:lang w:val="en-US" w:eastAsia="zh-CN"/>
        </w:rPr>
        <w:t>5.服务期限：</w:t>
      </w:r>
      <w:r>
        <w:rPr>
          <w:rFonts w:hint="eastAsia" w:ascii="宋体" w:hAnsi="宋体" w:eastAsia="宋体" w:cs="宋体"/>
          <w:color w:val="0000FF"/>
          <w:sz w:val="28"/>
          <w:szCs w:val="28"/>
          <w:lang w:val="en-US" w:eastAsia="zh-CN"/>
        </w:rPr>
        <w:t>在收到尽调业务通知后必须尽快与委托人对接并进场，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按时完成调查工作并提交《法律尽职调查报告》</w:t>
      </w:r>
      <w:r>
        <w:rPr>
          <w:rFonts w:hint="eastAsia" w:ascii="宋体" w:hAnsi="宋体" w:eastAsia="宋体" w:cs="宋体"/>
          <w:b w:val="0"/>
          <w:bCs w:val="0"/>
          <w:color w:val="0000FF"/>
          <w:sz w:val="28"/>
          <w:szCs w:val="28"/>
          <w:lang w:val="en-US" w:eastAsia="zh-CN"/>
        </w:rPr>
        <w:t>。</w:t>
      </w:r>
    </w:p>
    <w:p w14:paraId="18564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2B7DF1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（1）在尽职调查过程中要严格按照国家法律法规相关要求进行尽职调查。</w:t>
      </w:r>
    </w:p>
    <w:p w14:paraId="395164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（2）律师事务所委派的经办律师应当具备胜任的专业能力，遵守行业职业道德和执业纪律，独立、客观、公正，依据事实和法律做出判断，尽最大努力维护委托人利益。</w:t>
      </w:r>
      <w:r>
        <w:rPr>
          <w:rFonts w:hint="eastAsia" w:ascii="宋体" w:hAnsi="宋体" w:eastAsia="宋体" w:cs="宋体"/>
          <w:color w:val="0000FF"/>
          <w:sz w:val="28"/>
          <w:szCs w:val="28"/>
          <w:lang w:eastAsia="zh-CN"/>
        </w:rPr>
        <w:t>若因职业变动或其他不可抗力等特殊情况，需更换主办律师的，应提前三个工作日以书面形式通知</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新指派的律师应具备与原主办律师相当的专业资质和执业经验，且需</w:t>
      </w:r>
      <w:r>
        <w:rPr>
          <w:rFonts w:hint="eastAsia" w:ascii="宋体" w:hAnsi="宋体" w:eastAsia="宋体" w:cs="宋体"/>
          <w:color w:val="0000FF"/>
          <w:sz w:val="28"/>
          <w:szCs w:val="28"/>
          <w:lang w:eastAsia="zh-CN"/>
        </w:rPr>
        <w:t>获得</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书面同意；未经</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同意，不得擅自更换主办律师。</w:t>
      </w:r>
    </w:p>
    <w:p w14:paraId="30F46B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尽职调查目的为调查目标公司的相关证照，实控人，主体合法性，资产和负债情况，经营和财务情况、法律关系，股东背景资料调查，资产入账原始成本真实准确性，对外担保，业务开展，重大合同，税务，环保，劳动关系，关联企业情况，董事、监事、高管人员对外公开基本情况，诉讼仲裁和可能涉及的行政处罚等一系列法律问题以及成立合资公司带来的机会和潜在风险进行充分、详实的调查，从而合法、客观、公正地进行尽职调查，出具符合要求、规范的《法律尽职调查报告》和专项《法律意见书》，能真实、完整地反映出与目标公司的财务、业务法律等风险情况。</w:t>
      </w:r>
    </w:p>
    <w:p w14:paraId="0D48F8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（4）律师事务所及委派的经办律师、律师事务所负责人对出具的《法律尽职调查报告》和专项《法律意见书》的客观性、真实性、公正性承担法律责任。</w:t>
      </w:r>
    </w:p>
    <w:p w14:paraId="389A85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对执行尽职调查业务过程中知悉和接触的委托人和目标公司的商业秘密应严加保密、对委托人提供的有关资料和尽职调查结果保密，未经委托人书面同意不得泄露或者披露，如有违反应承担由此引起的法律责任和法律后果。</w:t>
      </w:r>
    </w:p>
    <w:p w14:paraId="1A87CB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（6）成交的律师事务所在收到业务通知后必须尽快与委托人经办人员对接并进场，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尽调工作并出具纸质《法律尽职调查报告》和专项《法律意见书》（纸质文件均需胶印成册并加盖公章），同时报送同口径的电子文档，无正当理由不得拖延，如因项目复杂可根据具体情况另行商定完成时间。若不能按期完成法律尽职调查任务的，委托人可视实际情况考虑予以更换，并由不能按期完成尽职调查任务的成交的律师事务所承担由此引起的经济和法律责任。</w:t>
      </w:r>
    </w:p>
    <w:p w14:paraId="687670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（7）协助委托人开展项目投资协议的谈判并草拟及审查相关法律文书，提供法律咨询和法律风险防控措施。</w:t>
      </w:r>
    </w:p>
    <w:p w14:paraId="1956F2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成交的律师事务所及其委派的经办律师尽职调查工作或者尽职调查报告质量不符合统一工作要求，委托人可要求补充相关资料或者重新进行尽职调查；调查质量存在较大问题的，委托人有权少付费或不付费。</w:t>
      </w:r>
    </w:p>
    <w:p w14:paraId="75F58D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成交的律师事务所及其委派的经办律师违反有关法律法规、执业规范和职业道德，与目标公司及相关人员串通，弄虚作假，出具不实或虚假内容的《法律尽职调查报告》和《法律意见书》的，委托人将通报有关部门依法予以处罚，并有权对律师事务所予以调整更换。</w:t>
      </w:r>
    </w:p>
    <w:p w14:paraId="0D115F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（10）若存在未按约定提供服务，擅自更换主办律师，应支付违约金（按代理费50%计）给委托人，若造成的损失大于违约金时，按造成的损失赔偿</w:t>
      </w:r>
      <w:r>
        <w:rPr>
          <w:rFonts w:hint="eastAsia" w:ascii="宋体" w:hAnsi="宋体" w:eastAsia="宋体" w:cs="宋体"/>
          <w:color w:val="000000"/>
          <w:sz w:val="28"/>
          <w:szCs w:val="28"/>
          <w:lang w:val="en-US" w:eastAsia="zh-CN"/>
        </w:rPr>
        <w:t>。</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515C76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1.遵守中华人民共和国法律、法规，依法成立具备国家行业主管部门颁发的合法有效的相关执业资质的律师事务所，但已经被列入失信被执行人名单（截止报名时间）的除外。</w:t>
      </w:r>
    </w:p>
    <w:p w14:paraId="6A105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14:paraId="20C666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3.竞价人必须是委托方邀请的单位。</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eastAsia="宋体" w:cs="宋体"/>
          <w:color w:val="0000FF"/>
          <w:sz w:val="28"/>
          <w:szCs w:val="28"/>
          <w:lang w:val="en-US" w:eastAsia="zh-CN"/>
        </w:rPr>
        <w:t>3000元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23</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下午</w:t>
      </w:r>
      <w:r>
        <w:rPr>
          <w:rFonts w:hint="eastAsia" w:ascii="宋体" w:hAnsi="宋体" w:cs="宋体"/>
          <w:b/>
          <w:bCs/>
          <w:color w:val="0000FF"/>
          <w:kern w:val="0"/>
          <w:sz w:val="28"/>
          <w:szCs w:val="28"/>
          <w:shd w:val="clear" w:color="auto" w:fill="FFFFFF"/>
          <w:lang w:val="en-US" w:eastAsia="zh-CN"/>
        </w:rPr>
        <w:t>17</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eastAsia="宋体" w:cs="宋体"/>
          <w:b/>
          <w:bCs/>
          <w:color w:val="0000FF"/>
          <w:sz w:val="28"/>
          <w:szCs w:val="28"/>
          <w:lang w:val="en-US" w:eastAsia="zh-CN"/>
        </w:rPr>
        <w:t>非诉讼委托代理合同》</w:t>
      </w:r>
      <w:bookmarkStart w:id="0" w:name="_GoBack"/>
      <w:bookmarkEnd w:id="0"/>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7555B12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(1)律师事务所执行许可证（副本）复印件、律师执业证复印件；</w:t>
      </w:r>
    </w:p>
    <w:p w14:paraId="4CC25F9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(2)营业执照副本、负责人身份证复印件；</w:t>
      </w:r>
    </w:p>
    <w:p w14:paraId="57F0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p>
    <w:p w14:paraId="691166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(4)已缴纳的竞价保证金凭证；</w:t>
      </w:r>
    </w:p>
    <w:p w14:paraId="593DFF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(5)在参加本次采购活动前3年内在经营活动中没有重大违法记录的书面声明；</w:t>
      </w:r>
    </w:p>
    <w:p w14:paraId="464BDA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(6)通过“信用中国”网（www.creditchina.gov.cn）或中国政府采购网（www.ccgp.gov.cn）信用信息查询无严重违法失信行为信息记录的打印件（或截图）。</w:t>
      </w:r>
    </w:p>
    <w:p w14:paraId="1E0A8CE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w:t>
      </w:r>
      <w:r>
        <w:rPr>
          <w:rFonts w:hint="eastAsia" w:ascii="宋体" w:hAnsi="宋体" w:eastAsia="宋体" w:cs="宋体"/>
          <w:color w:val="0000FF"/>
          <w:sz w:val="28"/>
          <w:szCs w:val="28"/>
          <w:lang w:val="en-US" w:eastAsia="zh-CN"/>
        </w:rPr>
        <w:t>负责人</w:t>
      </w:r>
      <w:r>
        <w:rPr>
          <w:rFonts w:hint="eastAsia" w:ascii="宋体" w:hAnsi="宋体" w:eastAsia="宋体" w:cs="宋体"/>
          <w:color w:val="auto"/>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b/>
          <w:bCs/>
          <w:color w:val="0000FF"/>
          <w:kern w:val="2"/>
          <w:sz w:val="28"/>
          <w:szCs w:val="28"/>
          <w:highlight w:val="none"/>
          <w:shd w:val="clear"/>
          <w:lang w:val="en-US" w:eastAsia="zh-CN"/>
        </w:rPr>
        <w:t>反</w:t>
      </w:r>
      <w:r>
        <w:rPr>
          <w:rFonts w:hint="eastAsia" w:ascii="宋体" w:hAnsi="宋体" w:eastAsia="宋体" w:cs="宋体"/>
          <w:b/>
          <w:bCs/>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b/>
          <w:bCs/>
          <w:color w:val="0000FF"/>
          <w:sz w:val="28"/>
          <w:szCs w:val="28"/>
          <w:lang w:val="en-US" w:eastAsia="zh-CN"/>
        </w:rPr>
        <w:t>成交人与委托人签订的合同生效后五个工作日内，委托人向成交人（或中标人）支付律师代理费总额的30%，作为首期服务费。本项目股权收购协议签署完毕，且完成约定的全部服务事项后五个工作日内，委托人向成交人（或中标人）支付剩余70%律师代理费 ，具体以《财务尽职调查业务约定书》约定为准 。</w:t>
      </w:r>
      <w:r>
        <w:rPr>
          <w:rFonts w:hint="eastAsia" w:ascii="宋体" w:hAnsi="宋体" w:eastAsia="宋体" w:cs="宋体"/>
          <w:color w:val="0000FF"/>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2025年10月</w:t>
      </w:r>
      <w:r>
        <w:rPr>
          <w:rFonts w:hint="eastAsia" w:ascii="宋体" w:hAnsi="宋体" w:cs="宋体"/>
          <w:color w:val="0000FF"/>
          <w:sz w:val="28"/>
          <w:szCs w:val="28"/>
          <w:lang w:val="en-US" w:eastAsia="zh-CN"/>
        </w:rPr>
        <w:t>20</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eastAsia="宋体" w:cs="宋体"/>
          <w:color w:val="0000FF"/>
          <w:sz w:val="28"/>
          <w:szCs w:val="28"/>
          <w:u w:val="single"/>
          <w:lang w:val="en-US" w:eastAsia="zh-CN"/>
        </w:rPr>
        <w:t>10</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24</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“权益云</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eastAsia="宋体" w:cs="宋体"/>
          <w:color w:val="000000"/>
          <w:sz w:val="28"/>
          <w:szCs w:val="28"/>
          <w:u w:val="single"/>
          <w:lang w:val="en-US" w:eastAsia="zh-CN"/>
        </w:rPr>
        <w:t>财务尽职调查</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202510</w:t>
      </w:r>
      <w:r>
        <w:rPr>
          <w:rFonts w:hint="eastAsia" w:ascii="宋体" w:hAnsi="宋体" w:cs="宋体"/>
          <w:color w:val="0000FF"/>
          <w:sz w:val="28"/>
          <w:szCs w:val="28"/>
          <w:u w:val="single"/>
          <w:lang w:val="en-US" w:eastAsia="zh-CN"/>
        </w:rPr>
        <w:t>24-1</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804406F"/>
    <w:rsid w:val="081C4C9C"/>
    <w:rsid w:val="0834033F"/>
    <w:rsid w:val="0A122BE9"/>
    <w:rsid w:val="0A670D81"/>
    <w:rsid w:val="0AEE0C79"/>
    <w:rsid w:val="0C0C7087"/>
    <w:rsid w:val="0CA830A9"/>
    <w:rsid w:val="0CDA1129"/>
    <w:rsid w:val="0D0C3638"/>
    <w:rsid w:val="0D724C37"/>
    <w:rsid w:val="0E6A79B6"/>
    <w:rsid w:val="0E8467A8"/>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394265"/>
    <w:rsid w:val="1B215742"/>
    <w:rsid w:val="1CC932F4"/>
    <w:rsid w:val="1E303C84"/>
    <w:rsid w:val="1EF00CA7"/>
    <w:rsid w:val="1F633F72"/>
    <w:rsid w:val="1FB913FE"/>
    <w:rsid w:val="203C362E"/>
    <w:rsid w:val="211A411E"/>
    <w:rsid w:val="21E464DA"/>
    <w:rsid w:val="226244CC"/>
    <w:rsid w:val="22950329"/>
    <w:rsid w:val="22A30872"/>
    <w:rsid w:val="234F36E4"/>
    <w:rsid w:val="23761465"/>
    <w:rsid w:val="246A52EB"/>
    <w:rsid w:val="24741525"/>
    <w:rsid w:val="249C78F6"/>
    <w:rsid w:val="24AF2DCF"/>
    <w:rsid w:val="25AD5A5E"/>
    <w:rsid w:val="25F64131"/>
    <w:rsid w:val="26945745"/>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6070CBD"/>
    <w:rsid w:val="366756A0"/>
    <w:rsid w:val="371B5B3B"/>
    <w:rsid w:val="3741602B"/>
    <w:rsid w:val="38A87E0A"/>
    <w:rsid w:val="39C752B8"/>
    <w:rsid w:val="3A0C4B4E"/>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3B3A62"/>
    <w:rsid w:val="4A58410E"/>
    <w:rsid w:val="4ACA1E61"/>
    <w:rsid w:val="4B42467C"/>
    <w:rsid w:val="4C6355B6"/>
    <w:rsid w:val="4D235499"/>
    <w:rsid w:val="4D2550DF"/>
    <w:rsid w:val="4D515A96"/>
    <w:rsid w:val="4DA2556F"/>
    <w:rsid w:val="4E143612"/>
    <w:rsid w:val="4E997C57"/>
    <w:rsid w:val="4E9D3635"/>
    <w:rsid w:val="4ED62599"/>
    <w:rsid w:val="4F0771E0"/>
    <w:rsid w:val="4F4F373F"/>
    <w:rsid w:val="51A703F2"/>
    <w:rsid w:val="51AA471F"/>
    <w:rsid w:val="522E2CD6"/>
    <w:rsid w:val="524A20F8"/>
    <w:rsid w:val="524E2EDF"/>
    <w:rsid w:val="53CB6FAB"/>
    <w:rsid w:val="542826BF"/>
    <w:rsid w:val="545B5616"/>
    <w:rsid w:val="55915C48"/>
    <w:rsid w:val="56DC71A4"/>
    <w:rsid w:val="599A26B4"/>
    <w:rsid w:val="59E02F96"/>
    <w:rsid w:val="59FD510C"/>
    <w:rsid w:val="5A10637D"/>
    <w:rsid w:val="5A244F70"/>
    <w:rsid w:val="5B280C0A"/>
    <w:rsid w:val="5BA1276A"/>
    <w:rsid w:val="5C1B076F"/>
    <w:rsid w:val="5C2441D3"/>
    <w:rsid w:val="5C9245A9"/>
    <w:rsid w:val="5D434E88"/>
    <w:rsid w:val="5DBB508D"/>
    <w:rsid w:val="5E047FD0"/>
    <w:rsid w:val="5EA42C9D"/>
    <w:rsid w:val="5F1519BF"/>
    <w:rsid w:val="602A7EDE"/>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CA81B7D"/>
    <w:rsid w:val="6D7B66F3"/>
    <w:rsid w:val="6E661D1D"/>
    <w:rsid w:val="6EC07C7F"/>
    <w:rsid w:val="7007345D"/>
    <w:rsid w:val="707966E1"/>
    <w:rsid w:val="729A0B48"/>
    <w:rsid w:val="729B4033"/>
    <w:rsid w:val="75A82C1C"/>
    <w:rsid w:val="77354B5A"/>
    <w:rsid w:val="77875CB0"/>
    <w:rsid w:val="77CE5972"/>
    <w:rsid w:val="786F5C73"/>
    <w:rsid w:val="78F75F2F"/>
    <w:rsid w:val="7956473D"/>
    <w:rsid w:val="79B76855"/>
    <w:rsid w:val="7AD654A8"/>
    <w:rsid w:val="7B1E19C1"/>
    <w:rsid w:val="7C207AE9"/>
    <w:rsid w:val="7C435390"/>
    <w:rsid w:val="7E2F48C9"/>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5084</Words>
  <Characters>5455</Characters>
  <Lines>4</Lines>
  <Paragraphs>7</Paragraphs>
  <TotalTime>0</TotalTime>
  <ScaleCrop>false</ScaleCrop>
  <LinksUpToDate>false</LinksUpToDate>
  <CharactersWithSpaces>5555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2025-10-20T07:33:06Z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