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C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44"/>
          <w:szCs w:val="44"/>
          <w:lang w:eastAsia="zh-CN"/>
          <w14:textFill>
            <w14:solidFill>
              <w14:schemeClr w14:val="tx1"/>
            </w14:solidFill>
          </w14:textFill>
        </w:rPr>
      </w:pPr>
      <w:bookmarkStart w:id="0" w:name="_GoBack"/>
      <w:r>
        <w:rPr>
          <w:rFonts w:hint="eastAsia" w:ascii="宋体" w:hAnsi="宋体" w:cs="宋体"/>
          <w:b/>
          <w:color w:val="000000" w:themeColor="text1"/>
          <w:sz w:val="44"/>
          <w:szCs w:val="44"/>
          <w:lang w:val="en-US" w:eastAsia="zh-CN"/>
          <w14:textFill>
            <w14:solidFill>
              <w14:schemeClr w14:val="tx1"/>
            </w14:solidFill>
          </w14:textFill>
        </w:rPr>
        <w:t>非诉讼</w:t>
      </w:r>
      <w:r>
        <w:rPr>
          <w:rFonts w:hint="eastAsia" w:ascii="宋体" w:hAnsi="宋体" w:eastAsia="宋体" w:cs="宋体"/>
          <w:b/>
          <w:color w:val="000000" w:themeColor="text1"/>
          <w:sz w:val="44"/>
          <w:szCs w:val="44"/>
          <w14:textFill>
            <w14:solidFill>
              <w14:schemeClr w14:val="tx1"/>
            </w14:solidFill>
          </w14:textFill>
        </w:rPr>
        <w:t>代理合同</w:t>
      </w:r>
    </w:p>
    <w:p w14:paraId="452BB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1C9B0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委托人（以下简称甲方）：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福建省莲鑫矿业投资集团有限公司</w:t>
      </w:r>
    </w:p>
    <w:p w14:paraId="45BBD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统一社会信用代码：91350825MABN3L837T</w:t>
      </w:r>
    </w:p>
    <w:p w14:paraId="7E6459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法定代表人：</w:t>
      </w:r>
    </w:p>
    <w:p w14:paraId="3A0BD9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地址：</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14:paraId="78A9D0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电话：0597 - 8925202</w:t>
      </w:r>
    </w:p>
    <w:p w14:paraId="08C5FF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受托人（以下简称乙方）</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30F1A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统一社会信用代码：</w:t>
      </w:r>
    </w:p>
    <w:p w14:paraId="210267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法定代表人：</w:t>
      </w:r>
    </w:p>
    <w:p w14:paraId="5A1514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地址</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2320A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电话：</w:t>
      </w:r>
    </w:p>
    <w:p w14:paraId="5049699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E4098C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甲、乙双方秉持平等自愿、诚实信用之原则，经友好协商，就甲方委托乙方提供非诉讼法律服务事宜，达成如下协议，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双方共同遵守：</w:t>
      </w:r>
    </w:p>
    <w:p w14:paraId="110708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一、甲方</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就福建省连城桃坪矿业有限公司股权收购服务采购项目</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非诉法律事宜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，委托乙方办理非诉讼法律事务，乙方接受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委托。</w:t>
      </w:r>
    </w:p>
    <w:p w14:paraId="2050F7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二、乙方指派</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[具体律师姓名]</w:t>
      </w:r>
      <w:r>
        <w:rPr>
          <w:rFonts w:hint="eastAsia" w:ascii="仿宋_GB2312" w:hAnsi="仿宋_GB2312" w:eastAsia="仿宋_GB2312" w:cs="仿宋_GB2312"/>
          <w:color w:val="000000" w:themeColor="text1"/>
          <w:sz w:val="32"/>
          <w:szCs w:val="32"/>
          <w14:textFill>
            <w14:solidFill>
              <w14:schemeClr w14:val="tx1"/>
            </w14:solidFill>
          </w14:textFill>
        </w:rPr>
        <w:t>律师具体经办受托事务。</w:t>
      </w:r>
      <w:r>
        <w:rPr>
          <w:rFonts w:hint="eastAsia" w:ascii="仿宋_GB2312" w:hAnsi="仿宋_GB2312" w:eastAsia="仿宋_GB2312" w:cs="仿宋_GB2312"/>
          <w:color w:val="000000" w:themeColor="text1"/>
          <w:sz w:val="32"/>
          <w:szCs w:val="32"/>
          <w:lang w:eastAsia="zh-CN"/>
          <w14:textFill>
            <w14:solidFill>
              <w14:schemeClr w14:val="tx1"/>
            </w14:solidFill>
          </w14:textFill>
        </w:rPr>
        <w:t>若因职业变动或其他不可抗力等特殊情况，乙方需更换主办律师的，应提前</w:t>
      </w:r>
      <w:r>
        <w:rPr>
          <w:rFonts w:hint="eastAsia" w:ascii="仿宋_GB2312" w:hAnsi="仿宋_GB2312" w:eastAsia="仿宋_GB2312" w:cs="仿宋_GB2312"/>
          <w:color w:val="000000" w:themeColor="text1"/>
          <w:sz w:val="32"/>
          <w:szCs w:val="32"/>
          <w:lang w:eastAsia="zh-CN"/>
          <w14:textFill>
            <w14:solidFill>
              <w14:schemeClr w14:val="tx1"/>
            </w14:solidFill>
          </w14:textFill>
        </w:rPr>
        <w:t>三个</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工作日以书面形式通知甲方。</w:t>
      </w:r>
      <w:r>
        <w:rPr>
          <w:rFonts w:hint="eastAsia" w:ascii="仿宋_GB2312" w:hAnsi="仿宋_GB2312" w:eastAsia="仿宋_GB2312" w:cs="仿宋_GB2312"/>
          <w:color w:val="000000" w:themeColor="text1"/>
          <w:sz w:val="32"/>
          <w:szCs w:val="32"/>
          <w14:textFill>
            <w14:solidFill>
              <w14:schemeClr w14:val="tx1"/>
            </w14:solidFill>
          </w14:textFill>
        </w:rPr>
        <w:t>新指派的律师应具备与原主办律师相当的专业资质和执业经验，且需</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w:t>
      </w:r>
      <w:r>
        <w:rPr>
          <w:rFonts w:hint="eastAsia" w:ascii="仿宋_GB2312" w:hAnsi="仿宋_GB2312" w:eastAsia="仿宋_GB2312" w:cs="仿宋_GB2312"/>
          <w:color w:val="000000" w:themeColor="text1"/>
          <w:sz w:val="32"/>
          <w:szCs w:val="32"/>
          <w14:textFill>
            <w14:solidFill>
              <w14:schemeClr w14:val="tx1"/>
            </w14:solidFill>
          </w14:textFill>
        </w:rPr>
        <w:t>甲方书面同意；未经甲方同意，乙方不得擅自更换主办律师。</w:t>
      </w:r>
    </w:p>
    <w:p w14:paraId="7A3069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三、委托事项：</w:t>
      </w:r>
    </w:p>
    <w:p w14:paraId="467A9A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就上述非诉法律事宜参与该项目的策划、谈判、尽职调查、起草法律文书等非诉讼专项法律事务。</w:t>
      </w:r>
    </w:p>
    <w:p w14:paraId="4D7937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 出具正式的律师尽职调查报告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共二份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0A2C1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委托人就本非诉法律事宜委托本所办理的相关事项。</w:t>
      </w:r>
    </w:p>
    <w:p w14:paraId="57527E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四、律师代理费及支付方式</w:t>
      </w:r>
    </w:p>
    <w:p w14:paraId="310B7B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律师代理费为人民币[具体金额]元（大写：[大写金额]元整），包含但不限于税费、服务费、文印费、差旅费、交通费、住宿费等所有相关费用。除本合同另有约定外，乙方不得再向甲方收取其他任何费用。</w:t>
      </w:r>
    </w:p>
    <w:p w14:paraId="48A2AC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本合同生效后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工作日内，甲方向乙方支付律师代理费总额的30%，即人民币[具体金额]元（大写：[大写金额]元整），作为首期服务费。</w:t>
      </w:r>
    </w:p>
    <w:p w14:paraId="6E5728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本项目股权收购协议签署完毕，且乙方完成本合同第三条约定的全部服务事项后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工作日内，甲方向乙方支付剩余70%律师代理费，即人民币[具体金额]元（大写：[大写金额]元整），作为尾款。</w:t>
      </w:r>
    </w:p>
    <w:p w14:paraId="193B62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乙方账号信息：户名：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14:ligatures w14:val="none"/>
        </w:rPr>
        <w:t>[具体户名]，开户行：[具体开户行]，账号：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[具体账号]。</w:t>
      </w:r>
    </w:p>
    <w:p w14:paraId="174F41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五、甲方权利与义务</w:t>
      </w:r>
    </w:p>
    <w:p w14:paraId="22E94B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甲方有权了解委托事项的进展情况，并要求乙方及时反馈服务进度。</w:t>
      </w:r>
    </w:p>
    <w:p w14:paraId="0A22CC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甲方有权对乙方提供的法律意见、文书等提出合理修改建议，乙方应予以回应并说明理由。</w:t>
      </w:r>
    </w:p>
    <w:p w14:paraId="59C5CD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甲方应如实、全面地向乙方律师陈述委托事项相关的背景情况，及时、完整地提供与委托事项有关的文件、资料。</w:t>
      </w:r>
    </w:p>
    <w:p w14:paraId="2A0E92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B78F7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甲方不得捏造事实、隐瞒重要信息或提供虚假材料。如因甲方提供虚假信息或隐瞒真实情况导致乙方提供的法律服务出现偏差或甲方遭受损失，由甲方自行承担全部责任，乙方已收取的律师代理费不予退还。</w:t>
      </w:r>
    </w:p>
    <w:p w14:paraId="0AD32D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六、乙方权利与义务</w:t>
      </w:r>
    </w:p>
    <w:p w14:paraId="12E48F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乙方有权要求甲方如实提供与委托事项相关的资料和信息。对于甲方提供的虚假信息或隐瞒行为，乙方有权要求甲方纠正，必要时可暂停服务。</w:t>
      </w:r>
    </w:p>
    <w:p w14:paraId="187EFB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乙方有权按照本合同约定收取律师代理费。</w:t>
      </w:r>
    </w:p>
    <w:p w14:paraId="51F73A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乙方应指派具备相应专业能力的律师团队提供服务，严格遵守律师职业道德和执业纪律，勤勉尽责地履行委托义务，维护甲方的合法权益。</w:t>
      </w:r>
    </w:p>
    <w:p w14:paraId="3C36AD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乙方应及时向甲方反馈服务进展情况。对于甲方提出的咨询问题，乙方应在一个工作日内予以回复（复杂问题可延长至三个工作日）。</w:t>
      </w:r>
    </w:p>
    <w:p w14:paraId="68C261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 乙方对在服务过程中知悉的甲方商业秘密、未公开信息及个人隐私（如有）负有保密义务，该保密义务不因本合同终止而终止。</w:t>
      </w:r>
    </w:p>
    <w:p w14:paraId="4EED77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 乙方不得超越本合同约定的服务范围从事代理活动，不得利用提供服务的便利谋取与本合同无关的利益。</w:t>
      </w:r>
    </w:p>
    <w:p w14:paraId="0E3EE9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 乙方向甲方提供的法律意见、调查报告及文书等，应基于当时已掌握的资料和现行有效的法律规定，确保专业、严谨。</w:t>
      </w:r>
    </w:p>
    <w:p w14:paraId="75C919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七、违约责任</w:t>
      </w:r>
    </w:p>
    <w:p w14:paraId="02C7B4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1.若乙方律师存在未按约定提供服务，擅自更换主办律师，应支付违约金（按代理费50%计）给甲方，若造成的损失大于违约金时，按造成的损失赔偿。</w:t>
      </w:r>
    </w:p>
    <w:p w14:paraId="4C4340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2.因过错报告失实给甲方造成损失，应赔偿相应的损失。</w:t>
      </w:r>
    </w:p>
    <w:p w14:paraId="41B4CA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因履行本合同产生的一切纠纷，应通过友好协商的方式解决。如双方通过友好协商无法解决争议，任何一方均有权向连城县人民法院提起诉讼。</w:t>
      </w:r>
    </w:p>
    <w:p w14:paraId="15EE02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、本合同有效期限为：自本合同生效之日起，至本合同第三条规定事项办理完毕时止。</w:t>
      </w:r>
    </w:p>
    <w:p w14:paraId="66E183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十、本合同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一式两份</w:t>
      </w:r>
      <w:r>
        <w:rPr>
          <w:rFonts w:hint="eastAsia" w:ascii="仿宋_GB2312" w:hAnsi="仿宋_GB2312" w:eastAsia="仿宋_GB2312" w:cs="仿宋_GB2312"/>
          <w:color w:val="000000" w:themeColor="text1"/>
          <w:sz w:val="32"/>
          <w:szCs w:val="32"/>
          <w14:textFill>
            <w14:solidFill>
              <w14:schemeClr w14:val="tx1"/>
            </w14:solidFill>
          </w14:textFill>
        </w:rPr>
        <w:t>，由乙方执一份，甲方执一份，经双方签</w:t>
      </w:r>
      <w:r>
        <w:rPr>
          <w:rFonts w:hint="eastAsia" w:ascii="仿宋_GB2312" w:hAnsi="仿宋_GB2312" w:eastAsia="仿宋_GB2312" w:cs="仿宋_GB2312"/>
          <w:color w:val="000000" w:themeColor="text1"/>
          <w:sz w:val="32"/>
          <w:szCs w:val="32"/>
          <w:lang w:eastAsia="zh-CN"/>
          <w14:textFill>
            <w14:solidFill>
              <w14:schemeClr w14:val="tx1"/>
            </w14:solidFill>
          </w14:textFill>
        </w:rPr>
        <w:t>字并盖</w:t>
      </w:r>
      <w:r>
        <w:rPr>
          <w:rFonts w:hint="eastAsia" w:ascii="仿宋_GB2312" w:hAnsi="仿宋_GB2312" w:eastAsia="仿宋_GB2312" w:cs="仿宋_GB2312"/>
          <w:color w:val="000000" w:themeColor="text1"/>
          <w:sz w:val="32"/>
          <w:szCs w:val="32"/>
          <w14:textFill>
            <w14:solidFill>
              <w14:schemeClr w14:val="tx1"/>
            </w14:solidFill>
          </w14:textFill>
        </w:rPr>
        <w:t>章后生效。</w:t>
      </w:r>
    </w:p>
    <w:p w14:paraId="74909A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、双方其它约定事项：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71C5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E2E4B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甲方：福建省莲鑫矿业投资集团有限公司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A647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法定代表人（或授权代表）</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515B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3A51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p>
    <w:p w14:paraId="5CD585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法定代表人（或授权代表）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296D5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签订地点：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福建省龙岩市连城县</w:t>
      </w:r>
    </w:p>
    <w:p w14:paraId="4ECCD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签订日期：〔具体年份〕年〔具体月份〕月〔具体日期〕日</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p>
    <w:bookmarkEnd w:id="0"/>
    <w:sectPr>
      <w:footerReference r:id="rId3" w:type="default"/>
      <w:pgSz w:w="11907" w:h="16840"/>
      <w:pgMar w:top="1134" w:right="1134" w:bottom="1134" w:left="1134" w:header="2098"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652F">
    <w:pPr>
      <w:pStyle w:val="2"/>
      <w:spacing w:before="60" w:after="60"/>
      <w:ind w:firstLine="360"/>
      <w:jc w:val="center"/>
      <w:rPr>
        <w:rFonts w:ascii="宋体"/>
        <w:lang w:eastAsia="zh-CN"/>
      </w:rPr>
    </w:pPr>
    <w:r>
      <w:rPr>
        <w:rFonts w:hint="eastAsia" w:ascii="宋体"/>
      </w:rPr>
      <w:t>第</w:t>
    </w:r>
    <w:r>
      <w:rPr>
        <w:rFonts w:hint="eastAsia" w:ascii="宋体"/>
      </w:rPr>
      <w:fldChar w:fldCharType="begin"/>
    </w:r>
    <w:r>
      <w:rPr>
        <w:rFonts w:hint="eastAsia" w:ascii="宋体"/>
      </w:rPr>
      <w:instrText xml:space="preserve"> PAGE </w:instrText>
    </w:r>
    <w:r>
      <w:rPr>
        <w:rFonts w:hint="eastAsia" w:ascii="宋体"/>
      </w:rPr>
      <w:fldChar w:fldCharType="separate"/>
    </w:r>
    <w:r>
      <w:rPr>
        <w:rFonts w:ascii="宋体"/>
      </w:rPr>
      <w:t>1</w:t>
    </w:r>
    <w:r>
      <w:rPr>
        <w:rFonts w:hint="eastAsia" w:ascii="宋体"/>
      </w:rPr>
      <w:fldChar w:fldCharType="end"/>
    </w:r>
    <w:r>
      <w:rPr>
        <w:rFonts w:hint="eastAsia" w:ascii="宋体"/>
      </w:rPr>
      <w:t>页/共</w:t>
    </w:r>
    <w:r>
      <w:rPr>
        <w:rFonts w:hint="eastAsia" w:ascii="宋体"/>
      </w:rPr>
      <w:fldChar w:fldCharType="begin"/>
    </w:r>
    <w:r>
      <w:rPr>
        <w:rFonts w:hint="eastAsia" w:ascii="宋体"/>
      </w:rPr>
      <w:instrText xml:space="preserve"> NUMPAGES  </w:instrText>
    </w:r>
    <w:r>
      <w:rPr>
        <w:rFonts w:hint="eastAsia" w:ascii="宋体"/>
      </w:rPr>
      <w:fldChar w:fldCharType="separate"/>
    </w:r>
    <w:r>
      <w:rPr>
        <w:rFonts w:ascii="宋体"/>
      </w:rPr>
      <w:t>5</w:t>
    </w:r>
    <w:r>
      <w:rPr>
        <w:rFonts w:hint="eastAsia" w:ascii="宋体"/>
      </w:rPr>
      <w:fldChar w:fldCharType="end"/>
    </w:r>
    <w:r>
      <w:rPr>
        <w:rFonts w:hint="eastAsia" w:ascii="宋体"/>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D56DC"/>
    <w:rsid w:val="177A783C"/>
    <w:rsid w:val="184906E7"/>
    <w:rsid w:val="219F7519"/>
    <w:rsid w:val="24C9508E"/>
    <w:rsid w:val="262130DF"/>
    <w:rsid w:val="27FC27CF"/>
    <w:rsid w:val="2C190729"/>
    <w:rsid w:val="2E3F0CFC"/>
    <w:rsid w:val="3A6D7599"/>
    <w:rsid w:val="3CF363E9"/>
    <w:rsid w:val="4BB153BE"/>
    <w:rsid w:val="58AE6D3C"/>
    <w:rsid w:val="595D56DC"/>
    <w:rsid w:val="5FA37C6C"/>
    <w:rsid w:val="6DAF4D7F"/>
    <w:rsid w:val="7AEA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FF0000"/>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color w:val="auto"/>
      <w:kern w:val="0"/>
      <w:sz w:val="18"/>
      <w:szCs w:val="18"/>
      <w:lang w:val="zh-CN" w:eastAsia="zh-CN"/>
    </w:rPr>
  </w:style>
  <w:style w:type="paragraph" w:styleId="3">
    <w:name w:val="header"/>
    <w:basedOn w:val="1"/>
    <w:qFormat/>
    <w:uiPriority w:val="0"/>
    <w:pPr>
      <w:pBdr>
        <w:bottom w:val="single" w:color="auto" w:sz="6" w:space="1"/>
      </w:pBdr>
      <w:tabs>
        <w:tab w:val="center" w:pos="4153"/>
        <w:tab w:val="right" w:pos="8306"/>
      </w:tabs>
      <w:snapToGrid w:val="0"/>
      <w:jc w:val="center"/>
    </w:pPr>
    <w:rPr>
      <w:color w:val="auto"/>
      <w:kern w:val="0"/>
      <w:sz w:val="18"/>
      <w:szCs w:val="18"/>
      <w:lang w:val="zh-CN" w:eastAsia="zh-CN"/>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1645</Words>
  <Characters>1697</Characters>
  <Lines>0</Lines>
  <Paragraphs>0</Paragraphs>
  <TotalTime>1</TotalTime>
  <ScaleCrop>false</ScaleCrop>
  <LinksUpToDate>false</LinksUpToDate>
  <CharactersWithSpaces>1733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2025-09-28T00:33:00Z</dcterms:created>
  <dc:creator>吉吉</dc:creator>
  <cp:lastModifiedBy>Smile   everyday</cp:lastModifiedBy>
  <dcterms:modified xsi:type="dcterms:W3CDTF">2025-10-20T01:32:29Z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C04C892639A942BB827CAA005C67AF50_11</vt:lpwstr>
  </property>
  <property fmtid="{D5CDD505-2E9C-101B-9397-08002B2CF9AE}" pid="4" name="KSOTemplateDocerSaveRecord">
    <vt:lpwstr>eyJoZGlkIjoiMmRkNWMwZGU3ZDViNGQ0YWVkNTQ0YzZlZWZiNDhjYTQiLCJ1c2VySWQiOiIyNTYwMTE1NzYifQ==</vt:lpwstr>
  </property>
</Properties>
</file>