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auto"/>
          <w:kern w:val="2"/>
          <w:sz w:val="24"/>
          <w:szCs w:val="24"/>
          <w:shd w:val="clear"/>
          <w:lang w:eastAsia="zh-CN"/>
        </w:rPr>
        <w:t>LCCQJJ202</w:t>
      </w:r>
      <w:r>
        <w:rPr>
          <w:rFonts w:hint="eastAsia" w:asciiTheme="minorEastAsia" w:hAnsiTheme="minorEastAsia" w:eastAsiaTheme="minorEastAsia" w:cstheme="minorEastAsia"/>
          <w:b w:val="0"/>
          <w:bCs w:val="0"/>
          <w:color w:val="auto"/>
          <w:kern w:val="2"/>
          <w:sz w:val="24"/>
          <w:szCs w:val="24"/>
          <w:shd w:val="clear"/>
          <w:lang w:val="en-US" w:eastAsia="zh-CN"/>
        </w:rPr>
        <w:t>51024-2</w:t>
      </w:r>
      <w:r>
        <w:rPr>
          <w:rFonts w:hint="eastAsia" w:asciiTheme="minorEastAsia" w:hAnsiTheme="minorEastAsia" w:eastAsiaTheme="minorEastAsia" w:cstheme="minorEastAsia"/>
          <w:b w:val="0"/>
          <w:bCs w:val="0"/>
          <w:color w:val="auto"/>
          <w:kern w:val="2"/>
          <w:sz w:val="24"/>
          <w:szCs w:val="24"/>
          <w:shd w:val="clear"/>
        </w:rPr>
        <w:t>）</w:t>
      </w:r>
    </w:p>
    <w:p w14:paraId="2C61C409">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w:t>
      </w:r>
      <w:r>
        <w:rPr>
          <w:rFonts w:hint="eastAsia" w:asciiTheme="minorEastAsia" w:hAnsiTheme="minorEastAsia" w:eastAsiaTheme="minorEastAsia" w:cstheme="minorEastAsia"/>
          <w:color w:val="auto"/>
          <w:kern w:val="2"/>
          <w:sz w:val="24"/>
          <w:szCs w:val="24"/>
          <w:shd w:val="clear"/>
          <w:lang w:val="en-US" w:eastAsia="zh-CN"/>
        </w:rPr>
        <w:t>截止时间</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shd w:val="clear"/>
          <w:lang w:val="en-US" w:eastAsia="zh-CN"/>
        </w:rPr>
        <w:t>10月24日 上午10:00</w:t>
      </w:r>
      <w:r>
        <w:rPr>
          <w:rFonts w:hint="eastAsia" w:asciiTheme="minorEastAsia" w:hAnsiTheme="minorEastAsia" w:eastAsiaTheme="minorEastAsia" w:cstheme="minorEastAsia"/>
          <w:color w:val="auto"/>
          <w:kern w:val="2"/>
          <w:sz w:val="24"/>
          <w:szCs w:val="24"/>
          <w:shd w:val="clear"/>
        </w:rPr>
        <w:t>。</w:t>
      </w:r>
    </w:p>
    <w:p w14:paraId="190903CA">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w:t>
      </w:r>
      <w:r>
        <w:rPr>
          <w:rFonts w:hint="eastAsia" w:asciiTheme="minorEastAsia" w:hAnsiTheme="minorEastAsia" w:eastAsiaTheme="minorEastAsia" w:cstheme="minorEastAsia"/>
          <w:color w:val="auto"/>
          <w:kern w:val="2"/>
          <w:sz w:val="24"/>
          <w:szCs w:val="24"/>
          <w:shd w:val="clear"/>
          <w:lang w:val="en-US" w:eastAsia="zh-CN"/>
        </w:rPr>
        <w:t>截止</w:t>
      </w:r>
      <w:r>
        <w:rPr>
          <w:rFonts w:hint="eastAsia" w:asciiTheme="minorEastAsia" w:hAnsiTheme="minorEastAsia" w:eastAsiaTheme="minorEastAsia" w:cstheme="minorEastAsia"/>
          <w:color w:val="auto"/>
          <w:kern w:val="2"/>
          <w:sz w:val="24"/>
          <w:szCs w:val="24"/>
          <w:shd w:val="clear"/>
        </w:rPr>
        <w:t>时间：</w:t>
      </w: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lang w:eastAsia="zh-CN"/>
        </w:rPr>
        <w:t>025年10月</w:t>
      </w:r>
      <w:r>
        <w:rPr>
          <w:rFonts w:hint="eastAsia" w:asciiTheme="minorEastAsia" w:hAnsiTheme="minorEastAsia" w:eastAsiaTheme="minorEastAsia" w:cstheme="minorEastAsia"/>
          <w:color w:val="auto"/>
          <w:kern w:val="2"/>
          <w:sz w:val="24"/>
          <w:szCs w:val="24"/>
          <w:shd w:val="clear"/>
          <w:lang w:val="en-US" w:eastAsia="zh-CN"/>
        </w:rPr>
        <w:t>23</w:t>
      </w:r>
      <w:r>
        <w:rPr>
          <w:rFonts w:hint="eastAsia" w:asciiTheme="minorEastAsia" w:hAnsiTheme="minorEastAsia" w:eastAsiaTheme="minorEastAsia" w:cstheme="minorEastAsia"/>
          <w:color w:val="auto"/>
          <w:kern w:val="2"/>
          <w:sz w:val="24"/>
          <w:szCs w:val="24"/>
          <w:shd w:val="clear"/>
          <w:lang w:eastAsia="zh-CN"/>
        </w:rPr>
        <w:t>日 上午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lang w:eastAsia="zh-CN"/>
        </w:rPr>
        <w:t>:00</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default"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1AB295F1">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68CD3364">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福建连城豸龙旅游集团有限公司办公用房智能化网络设备安装采购</w:t>
      </w:r>
      <w:r>
        <w:rPr>
          <w:rFonts w:hint="eastAsia" w:asciiTheme="minorEastAsia" w:hAnsiTheme="minorEastAsia" w:eastAsiaTheme="minorEastAsia" w:cstheme="minorEastAsia"/>
          <w:color w:val="auto"/>
          <w:sz w:val="24"/>
          <w:szCs w:val="24"/>
        </w:rPr>
        <w:t>。</w:t>
      </w:r>
    </w:p>
    <w:p w14:paraId="498DD77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项目建设内容：根据国家相关法规和行业技术标准，建设以下内容：</w:t>
      </w:r>
    </w:p>
    <w:p w14:paraId="414FA1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1）办公区域内外网网络覆盖</w:t>
      </w:r>
    </w:p>
    <w:p w14:paraId="00D399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2)楼内监控网络及相应录像存储系统</w:t>
      </w:r>
    </w:p>
    <w:p w14:paraId="0EA3D9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3)会议室音像视频会议系统</w:t>
      </w:r>
    </w:p>
    <w:p w14:paraId="2ACBF7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lang w:val="en-US" w:eastAsia="zh-CN"/>
        </w:rPr>
        <w:t>4)宣传走字屏系统</w:t>
      </w:r>
    </w:p>
    <w:p w14:paraId="507A92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val="en-US" w:eastAsia="zh-CN"/>
        </w:rPr>
        <w:t>.最高控制价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最高控制价为195636元（含税包干），具体详见《采购清单》。竞价人以总价报价方式进行报价，竞价人在报价时不得高于最高限价，根据有效供应商报价排名情况，由高到低排序，最低的一名即为成交人。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7A6850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val="en-US" w:eastAsia="zh-CN"/>
        </w:rPr>
        <w:t>.服务期限：（1）、本项目的服务期限为 3 年；（2）、自合同签订后30天内完成软硬件安装调试；</w:t>
      </w:r>
    </w:p>
    <w:p w14:paraId="17CF8FBA">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5.供货要求：成交人根据与委托人签订的《采购合同》完成供货。</w:t>
      </w:r>
    </w:p>
    <w:p w14:paraId="48900209">
      <w:pPr>
        <w:spacing w:line="360" w:lineRule="auto"/>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6.交付条件：经采购人验收合格，并提供给3套竣工图纸（含电子档）</w:t>
      </w:r>
    </w:p>
    <w:p w14:paraId="0AEFE4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7.验收标准及要求</w:t>
      </w:r>
    </w:p>
    <w:p w14:paraId="7689E1C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验收标准：安装调试完毕后，按照国家相关标准、行业标准、采购合同约定及采购文件要求执行。</w:t>
      </w:r>
    </w:p>
    <w:p w14:paraId="6CE6DF1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竞价文件</w:t>
      </w:r>
      <w:r>
        <w:rPr>
          <w:rFonts w:hint="eastAsia" w:asciiTheme="minorEastAsia" w:hAnsiTheme="minorEastAsia" w:eastAsiaTheme="minorEastAsia" w:cstheme="minorEastAsia"/>
          <w:color w:val="auto"/>
          <w:kern w:val="0"/>
          <w:sz w:val="24"/>
          <w:szCs w:val="24"/>
        </w:rPr>
        <w:t>夹进行产品安装、调试、测试、试运行后，由</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7D2C45E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有权对所供产品进行破坏性测试，所有费用包含在报价内，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0983D76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货物到货验收时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代表必须在场，并提供产品合格证、质量保证文件等相关证明材料。</w:t>
      </w:r>
    </w:p>
    <w:p w14:paraId="4D8053CC">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8.包装要求</w:t>
      </w:r>
    </w:p>
    <w:p w14:paraId="6BFDEE09">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标志：产品表层有明显的型号规格等标志，该标志在寿命期内应清晰、永久。</w:t>
      </w:r>
    </w:p>
    <w:p w14:paraId="51799879">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包装：产品的包装应保证在运输、储藏和安装期间的安全及性能不受损害。包装盒/箱内应附有产品合格证、出厂日期、产品说明书、附件及附件清单等。</w:t>
      </w:r>
    </w:p>
    <w:p w14:paraId="1C2AE8CF">
      <w:pPr>
        <w:pStyle w:val="5"/>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运输：产品在运输过程中应避免雨雪的直接淋袭或烈日的暴晒。</w:t>
      </w:r>
    </w:p>
    <w:p w14:paraId="7222B942">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9.其他要求</w:t>
      </w:r>
    </w:p>
    <w:p w14:paraId="2E39C6E3">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08EDB715">
      <w:pPr>
        <w:keepNext w:val="0"/>
        <w:keepLines w:val="0"/>
        <w:pageBreakBefore w:val="0"/>
        <w:widowControl/>
        <w:kinsoku/>
        <w:wordWrap/>
        <w:topLinePunct w:val="0"/>
        <w:bidi w:val="0"/>
        <w:spacing w:line="360" w:lineRule="auto"/>
        <w:ind w:firstLine="480" w:firstLineChars="200"/>
        <w:jc w:val="left"/>
        <w:rPr>
          <w:rFonts w:hint="default"/>
          <w:lang w:val="en-US" w:eastAsia="zh-CN"/>
        </w:rPr>
      </w:pPr>
      <w:r>
        <w:rPr>
          <w:rFonts w:hint="eastAsia" w:asciiTheme="minorEastAsia" w:hAnsiTheme="minorEastAsia" w:eastAsiaTheme="minorEastAsia" w:cstheme="minorEastAsia"/>
          <w:color w:val="auto"/>
          <w:kern w:val="0"/>
          <w:sz w:val="24"/>
          <w:szCs w:val="24"/>
          <w:lang w:val="en-US" w:eastAsia="zh-CN" w:bidi="ar-SA"/>
        </w:rPr>
        <w:t xml:space="preserve"> </w:t>
      </w:r>
      <w:r>
        <w:rPr>
          <w:rFonts w:hint="eastAsia" w:asciiTheme="minorEastAsia" w:hAnsiTheme="minorEastAsia" w:eastAsiaTheme="minorEastAsia" w:cstheme="minorEastAsia"/>
          <w:b w:val="0"/>
          <w:bCs w:val="0"/>
          <w:color w:val="auto"/>
          <w:kern w:val="2"/>
          <w:sz w:val="24"/>
          <w:szCs w:val="24"/>
          <w:shd w:val="clear"/>
          <w:lang w:val="en-US" w:eastAsia="zh-CN"/>
        </w:rPr>
        <w:t>2）</w:t>
      </w:r>
      <w:r>
        <w:rPr>
          <w:rFonts w:hint="eastAsia" w:ascii="宋体" w:hAnsi="宋体" w:eastAsia="宋体" w:cs="宋体"/>
          <w:color w:val="000000" w:themeColor="text1"/>
          <w:sz w:val="24"/>
          <w:highlight w:val="none"/>
          <w14:textFill>
            <w14:solidFill>
              <w14:schemeClr w14:val="tx1"/>
            </w14:solidFill>
          </w14:textFill>
        </w:rPr>
        <w:t>是否收取履约保证金：</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是；履约保证金12000元 </w:t>
      </w:r>
    </w:p>
    <w:p w14:paraId="1D8448FF">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yellow"/>
          <w:lang w:val="en-US" w:eastAsia="zh-CN"/>
        </w:rPr>
      </w:pPr>
      <w:r>
        <w:rPr>
          <w:rFonts w:hint="eastAsia" w:asciiTheme="minorEastAsia" w:hAnsiTheme="minorEastAsia" w:eastAsiaTheme="minorEastAsia" w:cstheme="minorEastAsia"/>
          <w:b/>
          <w:color w:val="auto"/>
          <w:sz w:val="24"/>
          <w:szCs w:val="24"/>
          <w:lang w:val="en-US" w:eastAsia="zh-CN"/>
        </w:rPr>
        <w:t>10.</w:t>
      </w:r>
      <w:r>
        <w:rPr>
          <w:rFonts w:hint="eastAsia" w:ascii="宋体" w:hAnsi="宋体" w:cs="宋体"/>
          <w:b/>
          <w:bCs/>
          <w:color w:val="auto"/>
          <w:kern w:val="0"/>
          <w:sz w:val="24"/>
          <w:szCs w:val="24"/>
          <w:highlight w:val="none"/>
          <w:lang w:val="en-US" w:eastAsia="zh-CN"/>
        </w:rPr>
        <w:t>付款方式：</w:t>
      </w:r>
    </w:p>
    <w:tbl>
      <w:tblPr>
        <w:tblStyle w:val="14"/>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299"/>
        <w:gridCol w:w="5700"/>
      </w:tblGrid>
      <w:tr w14:paraId="06D0E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26" w:type="dxa"/>
            <w:noWrap w:val="0"/>
            <w:vAlign w:val="center"/>
          </w:tcPr>
          <w:p w14:paraId="4A0CF316">
            <w:pPr>
              <w:jc w:val="center"/>
              <w:rPr>
                <w:rFonts w:ascii="Times New Roman" w:hAnsi="Times New Roman" w:eastAsia="宋体" w:cs="Times New Roman"/>
                <w:szCs w:val="24"/>
              </w:rPr>
            </w:pPr>
            <w:r>
              <w:rPr>
                <w:rFonts w:hint="eastAsia" w:ascii="Times New Roman" w:hAnsi="Times New Roman" w:eastAsia="宋体" w:cs="Times New Roman"/>
                <w:szCs w:val="24"/>
              </w:rPr>
              <w:t>期次序号</w:t>
            </w:r>
          </w:p>
        </w:tc>
        <w:tc>
          <w:tcPr>
            <w:tcW w:w="1299" w:type="dxa"/>
            <w:noWrap w:val="0"/>
            <w:vAlign w:val="center"/>
          </w:tcPr>
          <w:p w14:paraId="5016A805">
            <w:pPr>
              <w:jc w:val="center"/>
              <w:rPr>
                <w:rFonts w:ascii="Times New Roman" w:hAnsi="Times New Roman" w:eastAsia="宋体" w:cs="Times New Roman"/>
                <w:szCs w:val="24"/>
              </w:rPr>
            </w:pPr>
            <w:r>
              <w:rPr>
                <w:rFonts w:hint="eastAsia" w:ascii="Times New Roman" w:hAnsi="Times New Roman" w:eastAsia="宋体" w:cs="Times New Roman"/>
                <w:szCs w:val="24"/>
              </w:rPr>
              <w:t>支付比例</w:t>
            </w:r>
          </w:p>
        </w:tc>
        <w:tc>
          <w:tcPr>
            <w:tcW w:w="5700" w:type="dxa"/>
            <w:noWrap w:val="0"/>
            <w:vAlign w:val="center"/>
          </w:tcPr>
          <w:p w14:paraId="62EAFD91">
            <w:pPr>
              <w:jc w:val="center"/>
              <w:rPr>
                <w:rFonts w:ascii="Times New Roman" w:hAnsi="Times New Roman" w:eastAsia="宋体" w:cs="Times New Roman"/>
                <w:szCs w:val="24"/>
              </w:rPr>
            </w:pPr>
            <w:r>
              <w:rPr>
                <w:rFonts w:hint="eastAsia" w:ascii="Times New Roman" w:hAnsi="Times New Roman" w:eastAsia="宋体" w:cs="Times New Roman"/>
                <w:szCs w:val="24"/>
              </w:rPr>
              <w:t>支付说明</w:t>
            </w:r>
          </w:p>
        </w:tc>
      </w:tr>
      <w:tr w14:paraId="625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26" w:type="dxa"/>
            <w:noWrap w:val="0"/>
            <w:vAlign w:val="center"/>
          </w:tcPr>
          <w:p w14:paraId="70BA4EDA">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1</w:t>
            </w:r>
          </w:p>
        </w:tc>
        <w:tc>
          <w:tcPr>
            <w:tcW w:w="1299" w:type="dxa"/>
            <w:noWrap w:val="0"/>
            <w:vAlign w:val="center"/>
          </w:tcPr>
          <w:p w14:paraId="1A5A953A">
            <w:pPr>
              <w:jc w:val="center"/>
              <w:rPr>
                <w:rFonts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val="en-US" w:eastAsia="zh-CN"/>
              </w:rPr>
              <w:t>95</w:t>
            </w:r>
            <w:r>
              <w:rPr>
                <w:rFonts w:hint="eastAsia" w:ascii="Times New Roman" w:hAnsi="Times New Roman" w:eastAsia="宋体" w:cs="Times New Roman"/>
                <w:sz w:val="24"/>
                <w:szCs w:val="24"/>
                <w:highlight w:val="none"/>
              </w:rPr>
              <w:t>%</w:t>
            </w:r>
          </w:p>
        </w:tc>
        <w:tc>
          <w:tcPr>
            <w:tcW w:w="5700" w:type="dxa"/>
            <w:noWrap w:val="0"/>
            <w:vAlign w:val="center"/>
          </w:tcPr>
          <w:p w14:paraId="1A318BA6">
            <w:pPr>
              <w:jc w:val="both"/>
              <w:rPr>
                <w:rFonts w:ascii="Times New Roman" w:hAnsi="Times New Roman" w:eastAsia="宋体" w:cs="Times New Roman"/>
                <w:szCs w:val="24"/>
              </w:rPr>
            </w:pPr>
            <w:r>
              <w:rPr>
                <w:rFonts w:hint="eastAsia" w:ascii="Times New Roman" w:hAnsi="Times New Roman" w:eastAsia="宋体" w:cs="Times New Roman"/>
                <w:szCs w:val="24"/>
                <w:lang w:val="en-US" w:eastAsia="zh-CN"/>
              </w:rPr>
              <w:t>按照</w:t>
            </w:r>
            <w:r>
              <w:rPr>
                <w:rFonts w:hint="eastAsia" w:ascii="Times New Roman" w:hAnsi="Times New Roman" w:eastAsia="宋体" w:cs="Times New Roman"/>
                <w:szCs w:val="24"/>
              </w:rPr>
              <w:t>交付条件完成</w:t>
            </w:r>
            <w:r>
              <w:rPr>
                <w:rFonts w:hint="eastAsia" w:ascii="Times New Roman" w:hAnsi="Times New Roman" w:eastAsia="宋体" w:cs="Times New Roman"/>
                <w:szCs w:val="24"/>
                <w:lang w:val="en-US" w:eastAsia="zh-CN"/>
              </w:rPr>
              <w:t>交付并提供等额增值税发票</w:t>
            </w:r>
            <w:r>
              <w:rPr>
                <w:rFonts w:hint="eastAsia" w:ascii="Times New Roman" w:hAnsi="Times New Roman" w:eastAsia="宋体" w:cs="Times New Roman"/>
                <w:szCs w:val="24"/>
              </w:rPr>
              <w:t>后支付</w:t>
            </w:r>
          </w:p>
        </w:tc>
      </w:tr>
      <w:tr w14:paraId="487A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14:paraId="078B2891">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2</w:t>
            </w:r>
          </w:p>
        </w:tc>
        <w:tc>
          <w:tcPr>
            <w:tcW w:w="1299" w:type="dxa"/>
            <w:noWrap w:val="0"/>
            <w:vAlign w:val="center"/>
          </w:tcPr>
          <w:p w14:paraId="22AD0B65">
            <w:pPr>
              <w:jc w:val="center"/>
              <w:rPr>
                <w:rFonts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val="en-US" w:eastAsia="zh-CN"/>
              </w:rPr>
              <w:t>5</w:t>
            </w:r>
            <w:r>
              <w:rPr>
                <w:rFonts w:hint="eastAsia" w:ascii="Times New Roman" w:hAnsi="Times New Roman" w:eastAsia="宋体" w:cs="Times New Roman"/>
                <w:sz w:val="24"/>
                <w:szCs w:val="24"/>
                <w:highlight w:val="none"/>
              </w:rPr>
              <w:t>%</w:t>
            </w:r>
          </w:p>
        </w:tc>
        <w:tc>
          <w:tcPr>
            <w:tcW w:w="5700" w:type="dxa"/>
            <w:noWrap w:val="0"/>
            <w:vAlign w:val="top"/>
          </w:tcPr>
          <w:p w14:paraId="2DBF0A59">
            <w:pPr>
              <w:widowControl/>
              <w:jc w:val="left"/>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rPr>
              <w:t>质保</w:t>
            </w:r>
            <w:r>
              <w:rPr>
                <w:rFonts w:hint="eastAsia" w:ascii="Times New Roman" w:hAnsi="Times New Roman" w:eastAsia="宋体" w:cs="Times New Roman"/>
                <w:szCs w:val="24"/>
                <w:lang w:val="en-US" w:eastAsia="zh-CN"/>
              </w:rPr>
              <w:t>期限届满并没有违约情形以及提供等额增值税发票</w:t>
            </w:r>
            <w:r>
              <w:rPr>
                <w:rFonts w:hint="eastAsia" w:ascii="Times New Roman" w:hAnsi="Times New Roman" w:eastAsia="宋体" w:cs="Times New Roman"/>
                <w:szCs w:val="24"/>
              </w:rPr>
              <w:t>后支付</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如果乙方未能按约定履行售后服务而使甲方自行组织返修或者请第三方进行维修的，则发生费用应以此款扣除，不足部分继续由乙方赔偿损失，剩余款项由甲方支付乙方。</w:t>
            </w:r>
          </w:p>
        </w:tc>
      </w:tr>
    </w:tbl>
    <w:p w14:paraId="70979075">
      <w:pPr>
        <w:keepNext w:val="0"/>
        <w:keepLines w:val="0"/>
        <w:pageBreakBefore w:val="0"/>
        <w:widowControl/>
        <w:kinsoku/>
        <w:wordWrap/>
        <w:topLinePunct w:val="0"/>
        <w:bidi w:val="0"/>
        <w:spacing w:line="360" w:lineRule="auto"/>
        <w:ind w:left="0" w:firstLine="480"/>
        <w:jc w:val="left"/>
        <w:rPr>
          <w:rFonts w:hint="default"/>
          <w:color w:val="auto"/>
          <w:lang w:val="en-US" w:eastAsia="zh-CN"/>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2C8BB8C9">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1、凡有能力提供本竞价所述货物及服务的境内供应商均可能成为合格的采购供应商。</w:t>
      </w:r>
    </w:p>
    <w:p w14:paraId="38888302">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2、采购供应商应遵守中国的有关法律、法规和规章的规定。</w:t>
      </w:r>
    </w:p>
    <w:p w14:paraId="642225B5">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3、采购供应商之间存在下列互为关联关系的情形之一的，不得同时参加本项目采购：</w:t>
      </w:r>
    </w:p>
    <w:p w14:paraId="4ADE8425">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(1)法定代表人为同一人的两个及两个以上法人；</w:t>
      </w:r>
    </w:p>
    <w:p w14:paraId="4EEAE5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(2)母公司、直接或间接持股50％及以上的被投资公司;</w:t>
      </w:r>
    </w:p>
    <w:p w14:paraId="55C562E2">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(3)均为同一家母公司直接或间接持股50％及以上的被投资公司。</w:t>
      </w:r>
    </w:p>
    <w:p w14:paraId="6DDBF9CF">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采购供应商如具备上述情形之一的，互为关联关系的采购供应商的采购响应将均被视为无效响应。</w:t>
      </w:r>
    </w:p>
    <w:p w14:paraId="5D16A643">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4、采购供应商不得与本次采购项下设计、编制技术规格和其它文件的公司或提供咨询服务的公司包括其附属机构有任何关联。</w:t>
      </w:r>
    </w:p>
    <w:p w14:paraId="120383EF">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5、本项目不接受联合体。</w:t>
      </w:r>
    </w:p>
    <w:p w14:paraId="570B6AAF">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shd w:val="clear"/>
        </w:rPr>
        <w:t>6、已认真阅读并同意“网上竞价承诺书”、“本公告附件-网络竞价须知。</w:t>
      </w:r>
      <w:r>
        <w:rPr>
          <w:rFonts w:hint="default" w:asciiTheme="minorEastAsia" w:hAnsiTheme="minorEastAsia" w:eastAsiaTheme="minorEastAsia" w:cstheme="minorEastAsia"/>
          <w:b w:val="0"/>
          <w:bCs w:val="0"/>
          <w:color w:val="auto"/>
          <w:sz w:val="24"/>
          <w:szCs w:val="24"/>
          <w:highlight w:val="none"/>
          <w:shd w:val="clear"/>
          <w:lang w:val="en-US" w:eastAsia="zh-CN"/>
        </w:rPr>
        <w:t>。</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120</w:t>
      </w:r>
      <w:bookmarkStart w:id="6" w:name="_GoBack"/>
      <w:bookmarkEnd w:id="6"/>
      <w:r>
        <w:rPr>
          <w:rFonts w:hint="eastAsia" w:asciiTheme="minorEastAsia" w:hAnsiTheme="minorEastAsia" w:eastAsiaTheme="minorEastAsia" w:cstheme="minorEastAsia"/>
          <w:color w:val="auto"/>
          <w:sz w:val="24"/>
          <w:szCs w:val="24"/>
          <w:shd w:val="clear"/>
          <w:lang w:val="en-US" w:eastAsia="zh-CN"/>
        </w:rPr>
        <w:t>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2025年10月23日</w:t>
      </w:r>
      <w:r>
        <w:rPr>
          <w:rFonts w:hint="eastAsia" w:asciiTheme="minorEastAsia" w:hAnsiTheme="minorEastAsia" w:eastAsiaTheme="minorEastAsia" w:cstheme="minorEastAsia"/>
          <w:color w:val="auto"/>
          <w:sz w:val="24"/>
          <w:szCs w:val="24"/>
          <w:shd w:val="clear"/>
          <w:lang w:val="en-US" w:eastAsia="zh-CN"/>
        </w:rPr>
        <w:t>17时</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采购</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66EB66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2634E5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（1）营业执照副本复印件、法定代表人或单位负责人身份证复印件；</w:t>
      </w:r>
    </w:p>
    <w:p w14:paraId="0F787C2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（2）签订完整的承诺书；</w:t>
      </w:r>
    </w:p>
    <w:p w14:paraId="5DC82C96">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lang w:eastAsia="zh-CN"/>
        </w:rPr>
        <w:t>）分项报价表（详见附件2）。</w:t>
      </w:r>
    </w:p>
    <w:p w14:paraId="0CD2A3C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备注：竞价系统填报的总价应与分项报价表的投报总价相同；《分项报价表》须上传至交易平台。</w:t>
      </w:r>
    </w:p>
    <w:p w14:paraId="779C29B4">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color w:val="auto"/>
          <w:kern w:val="2"/>
          <w:sz w:val="24"/>
          <w:szCs w:val="24"/>
          <w:shd w:val="clear"/>
          <w:lang w:eastAsia="zh-CN"/>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4</w:t>
      </w:r>
      <w:r>
        <w:rPr>
          <w:rFonts w:hint="eastAsia" w:asciiTheme="minorEastAsia" w:hAnsiTheme="minorEastAsia" w:eastAsiaTheme="minorEastAsia" w:cstheme="minorEastAsia"/>
          <w:color w:val="auto"/>
          <w:kern w:val="2"/>
          <w:sz w:val="24"/>
          <w:szCs w:val="24"/>
          <w:shd w:val="clear"/>
          <w:lang w:eastAsia="zh-CN"/>
        </w:rPr>
        <w:t>）竞价保证金支付凭证</w:t>
      </w:r>
    </w:p>
    <w:p w14:paraId="36E63AC7">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如法定代表人无法亲自到现场办理竞价手续的，应提供《授权委托书》原件和委托代理人身份证复印件。</w:t>
      </w:r>
    </w:p>
    <w:p w14:paraId="02B8C59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26021881">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6A686FA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195636元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eastAsia="宋体" w:cs="宋体"/>
          <w:b/>
          <w:bCs/>
          <w:sz w:val="24"/>
          <w:szCs w:val="28"/>
          <w:highlight w:val="none"/>
          <w:lang w:val="en-US" w:eastAsia="zh-CN"/>
        </w:rPr>
        <w:t>195636</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195636元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182F024D">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rPr>
        <w:t>服务费按成交价×1.5%计费向成交</w:t>
      </w:r>
      <w:r>
        <w:rPr>
          <w:rFonts w:hint="eastAsia" w:asciiTheme="minorEastAsia" w:hAnsiTheme="minorEastAsia" w:eastAsiaTheme="minorEastAsia" w:cstheme="minorEastAsia"/>
          <w:b/>
          <w:bCs/>
          <w:color w:val="auto"/>
          <w:sz w:val="24"/>
          <w:szCs w:val="24"/>
          <w:lang w:val="en-US" w:eastAsia="zh-CN"/>
        </w:rPr>
        <w:t>人</w:t>
      </w:r>
      <w:r>
        <w:rPr>
          <w:rFonts w:hint="eastAsia" w:asciiTheme="minorEastAsia" w:hAnsiTheme="minorEastAsia" w:eastAsiaTheme="minorEastAsia" w:cstheme="minorEastAsia"/>
          <w:b/>
          <w:bCs/>
          <w:color w:val="auto"/>
          <w:sz w:val="24"/>
          <w:szCs w:val="24"/>
        </w:rPr>
        <w:t>收取，不足3000元的，按3000元计费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546A7D2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采购合同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》，并严格履行，双方的权利、义务以《采购</w:t>
      </w:r>
      <w:r>
        <w:rPr>
          <w:rFonts w:hint="eastAsia" w:asciiTheme="minorEastAsia" w:hAnsiTheme="minorEastAsia" w:eastAsiaTheme="minorEastAsia" w:cstheme="minorEastAsia"/>
          <w:b/>
          <w:bCs/>
          <w:color w:val="auto"/>
          <w:kern w:val="28"/>
          <w:sz w:val="24"/>
          <w:szCs w:val="24"/>
          <w:lang w:val="en-US" w:eastAsia="zh-CN" w:bidi="ar-SA"/>
        </w:rPr>
        <w:t>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3"/>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2025年10月20 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10月24日</w:t>
      </w:r>
      <w:r>
        <w:rPr>
          <w:rFonts w:hint="eastAsia" w:asciiTheme="minorEastAsia" w:hAnsiTheme="minorEastAsia" w:eastAsiaTheme="minorEastAsia" w:cstheme="minorEastAsia"/>
          <w:color w:val="auto"/>
          <w:sz w:val="24"/>
          <w:szCs w:val="24"/>
        </w:rPr>
        <w:t>上午举行的 “连城县招标投标交易平台反向一次报价”</w:t>
      </w:r>
      <w:r>
        <w:rPr>
          <w:rFonts w:hint="eastAsia" w:asciiTheme="minorEastAsia" w:hAnsiTheme="minorEastAsia" w:eastAsiaTheme="minorEastAsia" w:cstheme="minorEastAsia"/>
          <w:color w:val="auto"/>
          <w:sz w:val="24"/>
          <w:szCs w:val="24"/>
          <w:u w:val="single"/>
          <w:lang w:val="en-US" w:eastAsia="zh-CN"/>
        </w:rPr>
        <w:t>福建连城豸龙旅游集团有限公司办公用房智能化网络设备安装采购</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w:t>
      </w:r>
      <w:r>
        <w:rPr>
          <w:rFonts w:hint="eastAsia" w:asciiTheme="minorEastAsia" w:hAnsiTheme="minorEastAsia" w:eastAsiaTheme="minorEastAsia" w:cstheme="minorEastAsia"/>
          <w:color w:val="auto"/>
          <w:sz w:val="24"/>
          <w:szCs w:val="24"/>
          <w:u w:val="single"/>
          <w:lang w:val="en-US" w:eastAsia="zh-CN"/>
        </w:rPr>
        <w:t>51024-2</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150C87DE">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p>
    <w:p w14:paraId="6DC180EB">
      <w:pPr>
        <w:rPr>
          <w:color w:val="auto"/>
        </w:rPr>
      </w:pPr>
    </w:p>
    <w:p w14:paraId="44FCCFA3">
      <w:pPr>
        <w:pStyle w:val="4"/>
        <w:rPr>
          <w:color w:val="auto"/>
        </w:rPr>
      </w:pPr>
    </w:p>
    <w:p w14:paraId="4DF9B7D6">
      <w:pPr>
        <w:rPr>
          <w:color w:val="auto"/>
        </w:rPr>
      </w:pPr>
    </w:p>
    <w:p w14:paraId="6A56E320">
      <w:pPr>
        <w:pStyle w:val="4"/>
        <w:rPr>
          <w:color w:val="auto"/>
        </w:rPr>
      </w:pPr>
    </w:p>
    <w:p w14:paraId="15A6269E">
      <w:pPr>
        <w:rPr>
          <w:color w:val="auto"/>
        </w:rPr>
      </w:pPr>
    </w:p>
    <w:p w14:paraId="2E1318E6">
      <w:pPr>
        <w:pStyle w:val="4"/>
        <w:rPr>
          <w:color w:val="auto"/>
        </w:rPr>
      </w:pPr>
    </w:p>
    <w:p w14:paraId="27E5E3D0">
      <w:pPr>
        <w:rPr>
          <w:color w:val="auto"/>
        </w:rPr>
      </w:pPr>
    </w:p>
    <w:p w14:paraId="27E595AB">
      <w:pPr>
        <w:pStyle w:val="4"/>
        <w:rPr>
          <w:color w:val="auto"/>
        </w:rPr>
      </w:pPr>
    </w:p>
    <w:p w14:paraId="03F009DA">
      <w:pPr>
        <w:rPr>
          <w:color w:val="auto"/>
        </w:rPr>
      </w:pPr>
    </w:p>
    <w:p w14:paraId="472A160F">
      <w:pPr>
        <w:rPr>
          <w:color w:val="auto"/>
        </w:rPr>
      </w:pPr>
    </w:p>
    <w:p w14:paraId="52D3A900">
      <w:pPr>
        <w:pStyle w:val="4"/>
        <w:rPr>
          <w:color w:val="auto"/>
        </w:rPr>
      </w:pPr>
    </w:p>
    <w:p w14:paraId="4CCEE6B3">
      <w:pPr>
        <w:rPr>
          <w:color w:val="auto"/>
        </w:rPr>
      </w:pPr>
    </w:p>
    <w:p w14:paraId="7A4B9AAC">
      <w:pPr>
        <w:pStyle w:val="4"/>
        <w:rPr>
          <w:color w:val="auto"/>
        </w:rPr>
      </w:pPr>
    </w:p>
    <w:p w14:paraId="08B4AC6A">
      <w:pPr>
        <w:rPr>
          <w:color w:val="auto"/>
        </w:rPr>
      </w:pPr>
    </w:p>
    <w:p w14:paraId="03A14A4F">
      <w:pPr>
        <w:adjustRightInd w:val="0"/>
        <w:snapToGrid w:val="0"/>
        <w:jc w:val="center"/>
        <w:rPr>
          <w:rFonts w:hint="eastAsia" w:ascii="宋体" w:hAnsi="宋体" w:eastAsia="宋体" w:cs="Times New Roman"/>
          <w:b/>
          <w:sz w:val="32"/>
          <w:szCs w:val="32"/>
        </w:rPr>
      </w:pPr>
      <w:r>
        <w:rPr>
          <w:rFonts w:hint="eastAsia" w:ascii="宋体" w:hAnsi="宋体" w:eastAsia="宋体" w:cs="Times New Roman"/>
          <w:b/>
          <w:sz w:val="32"/>
          <w:szCs w:val="32"/>
        </w:rPr>
        <w:t>采购合同</w:t>
      </w:r>
    </w:p>
    <w:p w14:paraId="512FBE8E">
      <w:pPr>
        <w:adjustRightInd w:val="0"/>
        <w:snapToGrid w:val="0"/>
        <w:rPr>
          <w:rFonts w:ascii="宋体" w:hAnsi="宋体" w:eastAsia="宋体" w:cs="Times New Roman"/>
          <w:sz w:val="24"/>
          <w:szCs w:val="24"/>
        </w:rPr>
      </w:pPr>
    </w:p>
    <w:p w14:paraId="5CADD5EE">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1、签订合同应遵守《中华人民共和国民法典》和《中华人民共和国政府采购法》等法律法规规定</w:t>
      </w:r>
      <w:r>
        <w:rPr>
          <w:rFonts w:hint="eastAsia" w:ascii="宋体" w:hAnsi="宋体" w:eastAsia="宋体" w:cs="Times New Roman"/>
          <w:sz w:val="24"/>
          <w:szCs w:val="24"/>
        </w:rPr>
        <w:t>。</w:t>
      </w:r>
    </w:p>
    <w:p w14:paraId="4C379836">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2、签订合同时，采购人与中标人或者成交人应结合采购文件规定填列相应内容。采购文件已有规定的，双方均不得对约定进行变更或调整；采购文件未作规定的，双方可通过友好协商进行约定</w:t>
      </w:r>
      <w:r>
        <w:rPr>
          <w:rFonts w:hint="eastAsia" w:ascii="宋体" w:hAnsi="宋体" w:eastAsia="宋体" w:cs="Times New Roman"/>
          <w:sz w:val="24"/>
          <w:szCs w:val="24"/>
        </w:rPr>
        <w:t>。</w:t>
      </w:r>
    </w:p>
    <w:p w14:paraId="6BF3019B">
      <w:pPr>
        <w:adjustRightInd w:val="0"/>
        <w:snapToGrid w:val="0"/>
        <w:rPr>
          <w:rFonts w:hint="eastAsia" w:ascii="宋体" w:hAnsi="宋体" w:eastAsia="宋体" w:cs="Times New Roman"/>
          <w:sz w:val="24"/>
          <w:szCs w:val="24"/>
        </w:rPr>
      </w:pPr>
      <w:r>
        <w:rPr>
          <w:rFonts w:hint="eastAsia" w:ascii="宋体" w:hAnsi="宋体" w:eastAsia="宋体" w:cs="Times New Roman"/>
          <w:b/>
          <w:sz w:val="24"/>
          <w:szCs w:val="24"/>
        </w:rPr>
        <w:t>3、本合同范本仅供参考，采购人应当根据采购项目的实际需求对合同条款进行修改、补充</w:t>
      </w:r>
      <w:r>
        <w:rPr>
          <w:rFonts w:hint="eastAsia" w:ascii="宋体" w:hAnsi="宋体" w:eastAsia="宋体" w:cs="Times New Roman"/>
          <w:sz w:val="24"/>
          <w:szCs w:val="24"/>
        </w:rPr>
        <w:t>。</w:t>
      </w:r>
    </w:p>
    <w:p w14:paraId="78C2469A">
      <w:pPr>
        <w:adjustRightInd w:val="0"/>
        <w:snapToGrid w:val="0"/>
        <w:rPr>
          <w:rFonts w:ascii="宋体" w:hAnsi="宋体" w:eastAsia="宋体" w:cs="Times New Roman"/>
          <w:sz w:val="24"/>
          <w:szCs w:val="24"/>
        </w:rPr>
      </w:pPr>
    </w:p>
    <w:p w14:paraId="689A1E1C">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 xml:space="preserve">甲方(采购人)： </w:t>
      </w:r>
    </w:p>
    <w:p w14:paraId="05D0AFCC">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乙方(中标人或者成交人)：</w:t>
      </w:r>
    </w:p>
    <w:p w14:paraId="744DC079">
      <w:pPr>
        <w:adjustRightInd w:val="0"/>
        <w:snapToGrid w:val="0"/>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根据招标编号为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的</w:t>
      </w:r>
      <w:r>
        <w:rPr>
          <w:rFonts w:hint="eastAsia" w:ascii="宋体" w:hAnsi="宋体" w:eastAsia="宋体" w:cs="Times New Roman"/>
          <w:sz w:val="24"/>
          <w:szCs w:val="24"/>
          <w:u w:val="single"/>
        </w:rPr>
        <w:t>连城县豸龙集团办公用房智能化网络设备安装采购项目</w:t>
      </w:r>
      <w:r>
        <w:rPr>
          <w:rFonts w:hint="eastAsia" w:ascii="宋体" w:hAnsi="宋体" w:eastAsia="宋体" w:cs="Times New Roman"/>
          <w:sz w:val="24"/>
          <w:szCs w:val="24"/>
        </w:rPr>
        <w:t>（以下简称“本项目”）的招标结果，乙方为本项目的中标人或者成交人。甲乙双方遵循平等、自愿、公平和诚实信用的原则，经充分协商一致签署本合同。</w:t>
      </w:r>
    </w:p>
    <w:p w14:paraId="0B107BFC">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一、下列合同文件是构成本合同不可分割的部分</w:t>
      </w:r>
    </w:p>
    <w:p w14:paraId="4EA8C481">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1.1本合同条款及附件；</w:t>
      </w:r>
    </w:p>
    <w:p w14:paraId="28A27C79">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1.2甲方的采购文件及其附件、补充文件；</w:t>
      </w:r>
    </w:p>
    <w:p w14:paraId="3C75995F">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1.3乙方的响应文件及其附件、补充文件；</w:t>
      </w:r>
    </w:p>
    <w:p w14:paraId="4195CB46">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1.4其他文件或者材料：□无。</w:t>
      </w:r>
    </w:p>
    <w:p w14:paraId="503F1FBD">
      <w:pPr>
        <w:adjustRightInd w:val="0"/>
        <w:snapToGrid w:val="0"/>
        <w:rPr>
          <w:rFonts w:hint="eastAsia" w:ascii="宋体" w:hAnsi="宋体" w:eastAsia="宋体" w:cs="Times New Roman"/>
          <w:sz w:val="24"/>
          <w:szCs w:val="24"/>
        </w:rPr>
      </w:pPr>
      <w:r>
        <w:rPr>
          <w:rFonts w:hint="eastAsia" w:ascii="宋体" w:hAnsi="宋体" w:eastAsia="宋体" w:cs="Times New Roman"/>
          <w:b/>
          <w:sz w:val="24"/>
          <w:szCs w:val="24"/>
        </w:rPr>
        <w:t>二、合同标的</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详见采购文件</w:t>
      </w:r>
      <w:r>
        <w:rPr>
          <w:rFonts w:hint="eastAsia" w:ascii="宋体" w:hAnsi="宋体" w:eastAsia="宋体" w:cs="Times New Roman"/>
          <w:sz w:val="24"/>
          <w:szCs w:val="24"/>
          <w:lang w:eastAsia="zh-CN"/>
        </w:rPr>
        <w:t>）</w:t>
      </w:r>
    </w:p>
    <w:p w14:paraId="7FC7042E">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 办公区域内外网网络覆盖系统</w:t>
      </w:r>
    </w:p>
    <w:p w14:paraId="3D3CDD99">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2. 楼内监控网络及相应录像存储系统</w:t>
      </w:r>
    </w:p>
    <w:p w14:paraId="5B6F62A2">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3. 会议室音像视频会议系统</w:t>
      </w:r>
    </w:p>
    <w:p w14:paraId="53D68668">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4. 宣传走字屏系统</w:t>
      </w:r>
    </w:p>
    <w:p w14:paraId="7EF69AC0">
      <w:pPr>
        <w:adjustRightInd w:val="0"/>
        <w:snapToGrid w:val="0"/>
        <w:rPr>
          <w:rFonts w:hint="eastAsia" w:ascii="宋体" w:hAnsi="宋体" w:eastAsia="宋体" w:cs="Times New Roman"/>
          <w:b/>
          <w:sz w:val="24"/>
          <w:szCs w:val="24"/>
        </w:rPr>
      </w:pPr>
      <w:r>
        <w:rPr>
          <w:rFonts w:hint="eastAsia" w:ascii="宋体" w:hAnsi="宋体" w:eastAsia="宋体" w:cs="Times New Roman"/>
          <w:b/>
          <w:sz w:val="24"/>
          <w:szCs w:val="24"/>
        </w:rPr>
        <w:t>三、合同总金额</w:t>
      </w:r>
    </w:p>
    <w:p w14:paraId="36BB9881">
      <w:pPr>
        <w:adjustRightInd w:val="0"/>
        <w:snapToGrid w:val="0"/>
        <w:rPr>
          <w:rFonts w:hint="eastAsia" w:ascii="宋体" w:hAnsi="宋体" w:eastAsia="宋体" w:cs="Times New Roman"/>
          <w:sz w:val="24"/>
          <w:szCs w:val="24"/>
          <w:u w:val="none"/>
        </w:rPr>
      </w:pPr>
      <w:bookmarkStart w:id="0" w:name="OLE_LINK2"/>
      <w:bookmarkStart w:id="1" w:name="OLE_LINK1"/>
      <w:r>
        <w:rPr>
          <w:rFonts w:hint="eastAsia" w:ascii="宋体" w:hAnsi="宋体" w:eastAsia="宋体" w:cs="Times New Roman"/>
          <w:sz w:val="24"/>
          <w:szCs w:val="24"/>
        </w:rPr>
        <w:t xml:space="preserve">3.1 </w:t>
      </w:r>
      <w:bookmarkEnd w:id="0"/>
      <w:bookmarkEnd w:id="1"/>
      <w:bookmarkStart w:id="2" w:name="OLE_LINK5"/>
      <w:bookmarkStart w:id="3" w:name="OLE_LINK6"/>
      <w:bookmarkStart w:id="4" w:name="OLE_LINK4"/>
      <w:bookmarkStart w:id="5" w:name="OLE_LINK3"/>
      <w:r>
        <w:rPr>
          <w:rFonts w:hint="eastAsia" w:ascii="宋体" w:hAnsi="宋体" w:eastAsia="宋体" w:cs="Times New Roman"/>
          <w:sz w:val="24"/>
          <w:szCs w:val="24"/>
        </w:rPr>
        <w:t>合同总金额</w:t>
      </w:r>
      <w:bookmarkEnd w:id="2"/>
      <w:bookmarkEnd w:id="3"/>
      <w:r>
        <w:rPr>
          <w:rFonts w:hint="eastAsia" w:ascii="宋体" w:hAnsi="宋体" w:eastAsia="宋体" w:cs="Times New Roman"/>
          <w:sz w:val="24"/>
          <w:szCs w:val="24"/>
        </w:rPr>
        <w:t>为</w:t>
      </w:r>
      <w:bookmarkEnd w:id="4"/>
      <w:bookmarkEnd w:id="5"/>
      <w:r>
        <w:rPr>
          <w:rFonts w:hint="eastAsia" w:ascii="宋体" w:hAnsi="宋体" w:eastAsia="宋体" w:cs="Times New Roman"/>
          <w:sz w:val="24"/>
          <w:szCs w:val="24"/>
        </w:rPr>
        <w:t>人民币大写：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hint="eastAsia" w:ascii="宋体" w:hAnsi="宋体" w:eastAsia="宋体" w:cs="Times New Roman"/>
          <w:sz w:val="24"/>
          <w:szCs w:val="24"/>
          <w:u w:val="none"/>
          <w:lang w:eastAsia="zh-CN"/>
        </w:rPr>
        <w:t>（</w:t>
      </w:r>
      <w:r>
        <w:rPr>
          <w:rFonts w:hint="eastAsia" w:ascii="宋体" w:hAnsi="宋体" w:eastAsia="宋体" w:cs="Times New Roman"/>
          <w:sz w:val="24"/>
          <w:szCs w:val="24"/>
          <w:u w:val="none"/>
        </w:rPr>
        <w:t>具体金额以乙方中标或者成交</w:t>
      </w:r>
      <w:r>
        <w:rPr>
          <w:rFonts w:hint="eastAsia" w:ascii="宋体" w:hAnsi="宋体" w:eastAsia="宋体" w:cs="Times New Roman"/>
          <w:sz w:val="24"/>
          <w:szCs w:val="24"/>
          <w:u w:val="none"/>
          <w:lang w:val="en-US" w:eastAsia="zh-CN"/>
        </w:rPr>
        <w:t>的金额</w:t>
      </w:r>
      <w:r>
        <w:rPr>
          <w:rFonts w:hint="eastAsia" w:ascii="宋体" w:hAnsi="宋体" w:eastAsia="宋体" w:cs="Times New Roman"/>
          <w:sz w:val="24"/>
          <w:szCs w:val="24"/>
          <w:u w:val="none"/>
        </w:rPr>
        <w:t>为准</w:t>
      </w:r>
      <w:r>
        <w:rPr>
          <w:rFonts w:hint="eastAsia" w:ascii="宋体" w:hAnsi="宋体" w:eastAsia="宋体" w:cs="Times New Roman"/>
          <w:sz w:val="24"/>
          <w:szCs w:val="24"/>
          <w:u w:val="none"/>
          <w:lang w:eastAsia="zh-CN"/>
        </w:rPr>
        <w:t>）</w:t>
      </w:r>
    </w:p>
    <w:p w14:paraId="5F57E290">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3.2合同总金额为经验收合格并交付使用所有可能发生的全部费用，包括货物（含货物主体、辅助材料、配件）的供应、运输、保管、安装、调试、检验检测、以及操作人员培训、人工费、保修费、售后服务</w:t>
      </w:r>
      <w:r>
        <w:rPr>
          <w:rFonts w:hint="eastAsia" w:ascii="宋体" w:hAnsi="宋体" w:eastAsia="宋体" w:cs="Times New Roman"/>
          <w:sz w:val="24"/>
          <w:szCs w:val="24"/>
          <w:lang w:eastAsia="zh-CN"/>
        </w:rPr>
        <w:t>、可能漏项漏报</w:t>
      </w:r>
      <w:r>
        <w:rPr>
          <w:rFonts w:hint="eastAsia" w:ascii="宋体" w:hAnsi="宋体" w:eastAsia="宋体" w:cs="Times New Roman"/>
          <w:sz w:val="24"/>
          <w:szCs w:val="24"/>
          <w:lang w:val="en-US" w:eastAsia="zh-CN"/>
        </w:rPr>
        <w:t>费用</w:t>
      </w:r>
      <w:r>
        <w:rPr>
          <w:rFonts w:hint="eastAsia" w:ascii="宋体" w:hAnsi="宋体" w:eastAsia="宋体" w:cs="Times New Roman"/>
          <w:sz w:val="24"/>
          <w:szCs w:val="24"/>
        </w:rPr>
        <w:t>和税收等一切费用，甲方不再支付其他任何费用。乙方应向甲方按合同总金额（成交金额）开具等额增值税发票。</w:t>
      </w:r>
    </w:p>
    <w:p w14:paraId="786B0E87">
      <w:pPr>
        <w:adjustRightInd w:val="0"/>
        <w:snapToGrid w:val="0"/>
        <w:rPr>
          <w:rFonts w:hint="eastAsia" w:ascii="宋体" w:hAnsi="宋体" w:eastAsia="宋体" w:cs="Times New Roman"/>
          <w:b/>
          <w:bCs/>
          <w:sz w:val="24"/>
          <w:szCs w:val="24"/>
        </w:rPr>
      </w:pPr>
      <w:r>
        <w:rPr>
          <w:rFonts w:hint="eastAsia" w:ascii="宋体" w:hAnsi="宋体" w:eastAsia="宋体" w:cs="Times New Roman"/>
          <w:b/>
          <w:bCs/>
          <w:sz w:val="24"/>
          <w:szCs w:val="24"/>
        </w:rPr>
        <w:t>四、合同标的交付时间、地点和条件</w:t>
      </w:r>
    </w:p>
    <w:p w14:paraId="66BB76B1">
      <w:pPr>
        <w:adjustRightInd w:val="0"/>
        <w:snapToGrid w:val="0"/>
        <w:rPr>
          <w:rFonts w:hint="eastAsia" w:ascii="宋体" w:hAnsi="宋体" w:eastAsia="宋体" w:cs="宋体"/>
          <w:color w:val="333333"/>
          <w:kern w:val="0"/>
          <w:sz w:val="24"/>
          <w:szCs w:val="24"/>
          <w:u w:val="single"/>
          <w:lang w:eastAsia="zh-CN"/>
        </w:rPr>
      </w:pPr>
      <w:r>
        <w:rPr>
          <w:rFonts w:hint="eastAsia" w:ascii="宋体" w:hAnsi="宋体" w:eastAsia="宋体" w:cs="Times New Roman"/>
          <w:sz w:val="24"/>
          <w:szCs w:val="24"/>
        </w:rPr>
        <w:t>4.1 交付时间：</w:t>
      </w:r>
      <w:r>
        <w:rPr>
          <w:rFonts w:hint="eastAsia" w:ascii="宋体" w:hAnsi="宋体" w:eastAsia="宋体" w:cs="宋体"/>
          <w:color w:val="333333"/>
          <w:kern w:val="0"/>
          <w:sz w:val="24"/>
          <w:szCs w:val="24"/>
          <w:u w:val="single"/>
        </w:rPr>
        <w:t>合同签订后</w:t>
      </w:r>
      <w:r>
        <w:rPr>
          <w:rFonts w:hint="eastAsia" w:ascii="宋体" w:hAnsi="宋体" w:eastAsia="宋体" w:cs="宋体"/>
          <w:color w:val="333333"/>
          <w:kern w:val="0"/>
          <w:sz w:val="24"/>
          <w:szCs w:val="24"/>
          <w:u w:val="single"/>
          <w:lang w:val="en-US" w:eastAsia="zh-CN"/>
        </w:rPr>
        <w:t>30</w:t>
      </w:r>
      <w:r>
        <w:rPr>
          <w:rFonts w:hint="eastAsia" w:ascii="宋体" w:hAnsi="宋体" w:eastAsia="宋体" w:cs="宋体"/>
          <w:color w:val="333333"/>
          <w:kern w:val="0"/>
          <w:sz w:val="24"/>
          <w:szCs w:val="24"/>
          <w:u w:val="single"/>
        </w:rPr>
        <w:t>日内</w:t>
      </w:r>
      <w:r>
        <w:rPr>
          <w:rFonts w:hint="eastAsia" w:ascii="宋体" w:hAnsi="宋体" w:eastAsia="宋体" w:cs="宋体"/>
          <w:color w:val="333333"/>
          <w:kern w:val="0"/>
          <w:sz w:val="24"/>
          <w:szCs w:val="24"/>
          <w:u w:val="none"/>
          <w:lang w:eastAsia="zh-CN"/>
        </w:rPr>
        <w:t>。</w:t>
      </w:r>
    </w:p>
    <w:p w14:paraId="147DA396">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4.2 交付地点：</w:t>
      </w:r>
      <w:r>
        <w:rPr>
          <w:rFonts w:hint="eastAsia" w:ascii="宋体" w:hAnsi="宋体" w:eastAsia="宋体" w:cs="Times New Roman"/>
          <w:sz w:val="24"/>
          <w:szCs w:val="24"/>
          <w:u w:val="single"/>
        </w:rPr>
        <w:t>甲方指定的地点</w:t>
      </w:r>
      <w:r>
        <w:rPr>
          <w:rFonts w:hint="eastAsia" w:ascii="宋体" w:hAnsi="宋体" w:eastAsia="宋体" w:cs="Times New Roman"/>
          <w:sz w:val="24"/>
          <w:szCs w:val="24"/>
          <w:lang w:eastAsia="zh-CN"/>
        </w:rPr>
        <w:t>。</w:t>
      </w:r>
    </w:p>
    <w:p w14:paraId="1320686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4.3 交付条件：</w:t>
      </w:r>
      <w:r>
        <w:rPr>
          <w:rFonts w:hint="eastAsia" w:ascii="宋体" w:hAnsi="宋体" w:eastAsia="宋体" w:cs="宋体"/>
          <w:color w:val="333333"/>
          <w:kern w:val="0"/>
          <w:sz w:val="24"/>
          <w:szCs w:val="24"/>
          <w:u w:val="single"/>
        </w:rPr>
        <w:t>完成供货</w:t>
      </w:r>
      <w:r>
        <w:rPr>
          <w:rFonts w:hint="eastAsia" w:ascii="宋体" w:hAnsi="宋体" w:eastAsia="宋体" w:cs="宋体"/>
          <w:color w:val="333333"/>
          <w:kern w:val="0"/>
          <w:sz w:val="24"/>
          <w:szCs w:val="24"/>
          <w:u w:val="single"/>
          <w:lang w:eastAsia="zh-CN"/>
        </w:rPr>
        <w:t>、</w:t>
      </w:r>
      <w:r>
        <w:rPr>
          <w:rFonts w:hint="eastAsia" w:ascii="宋体" w:hAnsi="宋体" w:eastAsia="宋体" w:cs="宋体"/>
          <w:color w:val="333333"/>
          <w:kern w:val="0"/>
          <w:sz w:val="24"/>
          <w:szCs w:val="24"/>
          <w:u w:val="single"/>
        </w:rPr>
        <w:t>安装、调试、测试</w:t>
      </w:r>
      <w:r>
        <w:rPr>
          <w:rFonts w:hint="eastAsia" w:ascii="宋体" w:hAnsi="宋体" w:eastAsia="宋体" w:cs="宋体"/>
          <w:color w:val="333333"/>
          <w:kern w:val="0"/>
          <w:sz w:val="24"/>
          <w:szCs w:val="24"/>
          <w:u w:val="single"/>
          <w:lang w:val="en-US" w:eastAsia="zh-CN"/>
        </w:rPr>
        <w:t>且试运行正常并经验收合格，以及提供3套竣工图纸（包含电子文档）</w:t>
      </w:r>
      <w:r>
        <w:rPr>
          <w:rFonts w:hint="eastAsia" w:ascii="宋体" w:hAnsi="宋体" w:eastAsia="宋体" w:cs="宋体"/>
          <w:color w:val="333333"/>
          <w:kern w:val="0"/>
          <w:sz w:val="24"/>
          <w:szCs w:val="24"/>
          <w:u w:val="none"/>
          <w:lang w:eastAsia="zh-CN"/>
        </w:rPr>
        <w:t>。</w:t>
      </w:r>
    </w:p>
    <w:p w14:paraId="23BAB526">
      <w:pPr>
        <w:adjustRightInd w:val="0"/>
        <w:snapToGrid w:val="0"/>
        <w:rPr>
          <w:rFonts w:hint="eastAsia"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五</w:t>
      </w:r>
      <w:r>
        <w:rPr>
          <w:rFonts w:hint="eastAsia" w:ascii="宋体" w:hAnsi="宋体" w:eastAsia="宋体" w:cs="Times New Roman"/>
          <w:b/>
          <w:bCs/>
          <w:sz w:val="24"/>
          <w:szCs w:val="24"/>
        </w:rPr>
        <w:t>、合同标的</w:t>
      </w:r>
      <w:r>
        <w:rPr>
          <w:rFonts w:hint="eastAsia" w:ascii="宋体" w:hAnsi="宋体" w:eastAsia="宋体" w:cs="Times New Roman"/>
          <w:b/>
          <w:bCs/>
          <w:sz w:val="24"/>
          <w:szCs w:val="24"/>
          <w:lang w:val="en-US" w:eastAsia="zh-CN"/>
        </w:rPr>
        <w:t>质量与要求</w:t>
      </w:r>
    </w:p>
    <w:p w14:paraId="2FC43CFF">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.1 合同标的应符合</w:t>
      </w:r>
      <w:r>
        <w:rPr>
          <w:rFonts w:hint="eastAsia" w:ascii="宋体" w:hAnsi="宋体" w:eastAsia="宋体" w:cs="Times New Roman"/>
          <w:sz w:val="24"/>
          <w:szCs w:val="24"/>
          <w:lang w:val="en-US" w:eastAsia="zh-CN"/>
        </w:rPr>
        <w:t>国家标准、行业标准以及</w:t>
      </w:r>
      <w:r>
        <w:rPr>
          <w:rFonts w:hint="eastAsia" w:ascii="宋体" w:hAnsi="宋体" w:eastAsia="宋体" w:cs="Times New Roman"/>
          <w:sz w:val="24"/>
          <w:szCs w:val="24"/>
        </w:rPr>
        <w:t>招标文件、乙方响应文件的规定或约定，具体如下：</w:t>
      </w:r>
      <w:r>
        <w:rPr>
          <w:rFonts w:hint="eastAsia" w:ascii="宋体" w:hAnsi="宋体" w:eastAsia="宋体" w:cs="Times New Roman"/>
          <w:sz w:val="24"/>
          <w:szCs w:val="24"/>
          <w:u w:val="single"/>
        </w:rPr>
        <w:t>采购的具体设备名称、款式、规格、技术参数、数量等内容以采购</w:t>
      </w:r>
      <w:r>
        <w:rPr>
          <w:rFonts w:hint="eastAsia" w:ascii="宋体" w:hAnsi="宋体" w:eastAsia="宋体" w:cs="Times New Roman"/>
          <w:sz w:val="24"/>
          <w:szCs w:val="24"/>
          <w:u w:val="single"/>
          <w:lang w:val="en-US" w:eastAsia="zh-CN"/>
        </w:rPr>
        <w:t>文件</w:t>
      </w:r>
      <w:r>
        <w:rPr>
          <w:rFonts w:hint="eastAsia" w:ascii="宋体" w:hAnsi="宋体" w:eastAsia="宋体" w:cs="Times New Roman"/>
          <w:sz w:val="24"/>
          <w:szCs w:val="24"/>
          <w:u w:val="single"/>
        </w:rPr>
        <w:t>的技术参数及要求为准</w:t>
      </w:r>
      <w:r>
        <w:rPr>
          <w:rFonts w:hint="eastAsia" w:ascii="宋体" w:hAnsi="宋体" w:eastAsia="宋体" w:cs="Times New Roman"/>
          <w:sz w:val="24"/>
          <w:szCs w:val="24"/>
        </w:rPr>
        <w:t>。</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详见采购文件</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14:paraId="482D179E">
      <w:pPr>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Times New Roman"/>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w:t>
      </w:r>
      <w:r>
        <w:rPr>
          <w:rFonts w:hint="eastAsia" w:ascii="Times New Roman" w:hAnsi="Times New Roman" w:eastAsia="宋体" w:cs="Times New Roman"/>
          <w:szCs w:val="24"/>
        </w:rPr>
        <w:t>质量保修期3年，自验收合格之日起计算。</w:t>
      </w:r>
    </w:p>
    <w:p w14:paraId="1987BFA9">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乙方遵守</w:t>
      </w:r>
      <w:r>
        <w:rPr>
          <w:rFonts w:hint="eastAsia" w:ascii="宋体" w:hAnsi="宋体" w:eastAsia="宋体" w:cs="宋体"/>
          <w:b w:val="0"/>
          <w:bCs w:val="0"/>
          <w:sz w:val="24"/>
          <w:szCs w:val="24"/>
          <w:lang w:val="en-US" w:eastAsia="zh-CN"/>
        </w:rPr>
        <w:t>关于</w:t>
      </w:r>
      <w:r>
        <w:rPr>
          <w:rFonts w:hint="eastAsia" w:ascii="宋体" w:hAnsi="宋体" w:eastAsia="宋体" w:cs="宋体"/>
          <w:b w:val="0"/>
          <w:bCs w:val="0"/>
          <w:sz w:val="24"/>
          <w:szCs w:val="24"/>
        </w:rPr>
        <w:t>安全生产等法律</w:t>
      </w:r>
      <w:r>
        <w:rPr>
          <w:rFonts w:hint="eastAsia" w:ascii="宋体" w:hAnsi="宋体" w:eastAsia="宋体" w:cs="宋体"/>
          <w:b w:val="0"/>
          <w:bCs w:val="0"/>
          <w:sz w:val="24"/>
          <w:szCs w:val="24"/>
          <w:lang w:val="en-US" w:eastAsia="zh-CN"/>
        </w:rPr>
        <w:t>法规</w:t>
      </w:r>
      <w:r>
        <w:rPr>
          <w:rFonts w:hint="eastAsia" w:ascii="宋体" w:hAnsi="宋体" w:eastAsia="宋体" w:cs="宋体"/>
          <w:b w:val="0"/>
          <w:bCs w:val="0"/>
          <w:sz w:val="24"/>
          <w:szCs w:val="24"/>
        </w:rPr>
        <w:t>规定，履行安全生产管理</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职责，对履行合同过程中的安全</w:t>
      </w:r>
      <w:r>
        <w:rPr>
          <w:rFonts w:hint="eastAsia" w:ascii="宋体" w:hAnsi="宋体" w:eastAsia="宋体" w:cs="宋体"/>
          <w:b w:val="0"/>
          <w:bCs w:val="0"/>
          <w:sz w:val="24"/>
          <w:szCs w:val="24"/>
          <w:lang w:val="en-US" w:eastAsia="zh-CN"/>
        </w:rPr>
        <w:t>等方面</w:t>
      </w:r>
      <w:r>
        <w:rPr>
          <w:rFonts w:hint="eastAsia" w:ascii="宋体" w:hAnsi="宋体" w:eastAsia="宋体" w:cs="宋体"/>
          <w:b w:val="0"/>
          <w:bCs w:val="0"/>
          <w:sz w:val="24"/>
          <w:szCs w:val="24"/>
        </w:rPr>
        <w:t>承担全部</w:t>
      </w:r>
      <w:r>
        <w:rPr>
          <w:rFonts w:hint="eastAsia" w:ascii="宋体" w:hAnsi="宋体" w:eastAsia="宋体" w:cs="宋体"/>
          <w:b w:val="0"/>
          <w:bCs w:val="0"/>
          <w:sz w:val="24"/>
          <w:szCs w:val="24"/>
          <w:lang w:val="en-US" w:eastAsia="zh-CN"/>
        </w:rPr>
        <w:t>法律</w:t>
      </w:r>
      <w:r>
        <w:rPr>
          <w:rFonts w:hint="eastAsia" w:ascii="宋体" w:hAnsi="宋体" w:eastAsia="宋体" w:cs="宋体"/>
          <w:b w:val="0"/>
          <w:bCs w:val="0"/>
          <w:sz w:val="24"/>
          <w:szCs w:val="24"/>
        </w:rPr>
        <w:t>责任。</w:t>
      </w:r>
    </w:p>
    <w:p w14:paraId="4F646F9E">
      <w:pPr>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lang w:val="en-US" w:eastAsia="zh-CN"/>
        </w:rPr>
        <w:t>六</w:t>
      </w:r>
      <w:r>
        <w:rPr>
          <w:rFonts w:hint="eastAsia" w:ascii="宋体" w:hAnsi="宋体" w:eastAsia="宋体" w:cs="Times New Roman"/>
          <w:b/>
          <w:bCs/>
          <w:sz w:val="24"/>
          <w:szCs w:val="24"/>
        </w:rPr>
        <w:t>、验收</w:t>
      </w:r>
      <w:r>
        <w:rPr>
          <w:rFonts w:hint="eastAsia" w:ascii="宋体" w:hAnsi="宋体" w:eastAsia="宋体" w:cs="Times New Roman"/>
          <w:b/>
          <w:bCs/>
          <w:sz w:val="24"/>
          <w:szCs w:val="24"/>
          <w:lang w:val="en-US" w:eastAsia="zh-CN"/>
        </w:rPr>
        <w:t>与售后服务</w:t>
      </w:r>
    </w:p>
    <w:p w14:paraId="043957B1">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6.1 验收应按照招标文件、乙方响应文件的规定或约定进行，具体如下：</w:t>
      </w:r>
    </w:p>
    <w:p w14:paraId="0B74BDC2">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1）验收标准：根据本招标文件、乙方的响应文件、承诺及有关国家、行业规定进行验收。</w:t>
      </w:r>
    </w:p>
    <w:p w14:paraId="0C6B945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2）乙方根据招标要求进行产品安装、调试、测试、试运行正常后，由甲方或甲方请技术专家检测作为验收标准依据并组织进行使用性能方面的验收，所需检测费用包含在报价中。</w:t>
      </w:r>
    </w:p>
    <w:p w14:paraId="46FC5EA7">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3）货物到货验收时乙方代表必须在场，并提供产品合格证、质量保证文件等相关证明材料。</w:t>
      </w:r>
    </w:p>
    <w:p w14:paraId="093952F8">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4）原厂原包装供货，不得自行拆封或加装配件。</w:t>
      </w:r>
    </w:p>
    <w:p w14:paraId="3EEB3B2D">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rPr>
        <w:t>5）甲方有权对所供产品进行破坏性测试，所有费用包含在报价内，甲方不再另行支付其他费用</w:t>
      </w:r>
    </w:p>
    <w:p w14:paraId="60927C0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6.2 本项目是否邀请其他供应商参与验收：</w:t>
      </w:r>
    </w:p>
    <w:p w14:paraId="28C73CFC">
      <w:pPr>
        <w:adjustRightInd w:val="0"/>
        <w:snapToGrid w:val="0"/>
        <w:rPr>
          <w:rFonts w:hint="eastAsia" w:ascii="宋体" w:hAnsi="宋体" w:eastAsia="宋体" w:cs="Times New Roman"/>
          <w:sz w:val="24"/>
          <w:szCs w:val="24"/>
        </w:rPr>
      </w:pPr>
      <w:r>
        <w:rPr>
          <w:rFonts w:hint="eastAsia" w:ascii="宋体" w:hAnsi="MS Mincho" w:eastAsia="MS Mincho" w:cs="MS Mincho"/>
          <w:sz w:val="24"/>
          <w:szCs w:val="24"/>
        </w:rPr>
        <w:t>☑</w:t>
      </w:r>
      <w:r>
        <w:rPr>
          <w:rFonts w:hint="eastAsia" w:ascii="宋体" w:hAnsi="宋体" w:eastAsia="宋体" w:cs="Times New Roman"/>
          <w:sz w:val="24"/>
          <w:szCs w:val="24"/>
        </w:rPr>
        <w:t>不邀请。□邀请，具体如下：（按照招标文件规定填写）。</w:t>
      </w:r>
    </w:p>
    <w:p w14:paraId="67E75B22">
      <w:pPr>
        <w:adjustRightInd w:val="0"/>
        <w:snapToGrid w:val="0"/>
        <w:rPr>
          <w:rFonts w:hint="eastAsia" w:ascii="宋体" w:hAnsi="宋体" w:eastAsia="宋体" w:cs="Times New Roman"/>
          <w:sz w:val="24"/>
          <w:szCs w:val="24"/>
          <w:lang w:val="en-US" w:eastAsia="zh-CN"/>
        </w:rPr>
      </w:pPr>
      <w:r>
        <w:rPr>
          <w:rFonts w:hint="eastAsia" w:ascii="宋体" w:hAnsi="宋体" w:eastAsia="宋体" w:cs="Times New Roman"/>
          <w:sz w:val="24"/>
          <w:szCs w:val="24"/>
        </w:rPr>
        <w:t>6.</w:t>
      </w:r>
      <w:r>
        <w:rPr>
          <w:rFonts w:hint="eastAsia" w:ascii="宋体" w:hAnsi="宋体" w:eastAsia="宋体" w:cs="Times New Roman"/>
          <w:sz w:val="24"/>
          <w:szCs w:val="24"/>
          <w:lang w:val="en-US" w:eastAsia="zh-CN"/>
        </w:rPr>
        <w:t>3</w:t>
      </w:r>
      <w:r>
        <w:rPr>
          <w:rFonts w:hint="eastAsia" w:ascii="宋体" w:hAnsi="宋体" w:eastAsia="宋体" w:cs="宋体"/>
          <w:szCs w:val="24"/>
          <w:lang w:val="en-US" w:eastAsia="zh-CN"/>
        </w:rPr>
        <w:t>甲方</w:t>
      </w:r>
      <w:r>
        <w:rPr>
          <w:rFonts w:hint="eastAsia" w:ascii="宋体" w:hAnsi="宋体" w:eastAsia="宋体" w:cs="宋体"/>
          <w:szCs w:val="24"/>
        </w:rPr>
        <w:t>验收合格仅表示产品的品种、品牌、规格、型号、数量符合合同约定，产品没有外观质量瑕疵</w:t>
      </w:r>
      <w:r>
        <w:rPr>
          <w:rFonts w:hint="eastAsia" w:ascii="宋体" w:hAnsi="宋体" w:eastAsia="宋体" w:cs="宋体"/>
          <w:szCs w:val="24"/>
          <w:lang w:val="en-US" w:eastAsia="zh-CN"/>
        </w:rPr>
        <w:t>问题</w:t>
      </w:r>
      <w:r>
        <w:rPr>
          <w:rFonts w:hint="eastAsia" w:ascii="宋体" w:hAnsi="宋体" w:eastAsia="宋体" w:cs="宋体"/>
          <w:szCs w:val="24"/>
        </w:rPr>
        <w:t>，并不能免除</w:t>
      </w:r>
      <w:r>
        <w:rPr>
          <w:rFonts w:hint="eastAsia" w:ascii="宋体" w:hAnsi="宋体" w:eastAsia="宋体" w:cs="宋体"/>
          <w:szCs w:val="24"/>
          <w:lang w:val="en-US" w:eastAsia="zh-CN"/>
        </w:rPr>
        <w:t>乙方</w:t>
      </w:r>
      <w:r>
        <w:rPr>
          <w:rFonts w:hint="eastAsia" w:ascii="宋体" w:hAnsi="宋体" w:eastAsia="宋体" w:cs="宋体"/>
          <w:szCs w:val="24"/>
        </w:rPr>
        <w:t>承担产品内在质量问题。</w:t>
      </w:r>
    </w:p>
    <w:p w14:paraId="10D06A9A">
      <w:pPr>
        <w:adjustRightInd w:val="0"/>
        <w:snapToGrid w:val="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6.4</w:t>
      </w:r>
      <w:r>
        <w:rPr>
          <w:rFonts w:hint="eastAsia" w:ascii="宋体" w:hAnsi="宋体" w:eastAsia="宋体" w:cs="Times New Roman"/>
          <w:sz w:val="24"/>
          <w:szCs w:val="24"/>
        </w:rPr>
        <w:t>售后服务</w:t>
      </w:r>
      <w:r>
        <w:rPr>
          <w:rFonts w:hint="eastAsia" w:ascii="宋体" w:hAnsi="宋体" w:eastAsia="宋体" w:cs="Times New Roman"/>
          <w:sz w:val="24"/>
          <w:szCs w:val="24"/>
          <w:lang w:val="en-US" w:eastAsia="zh-CN"/>
        </w:rPr>
        <w:t>由乙方按采购文件规定执行。例如：</w:t>
      </w:r>
      <w:r>
        <w:rPr>
          <w:rFonts w:hint="eastAsia" w:ascii="宋体" w:hAnsi="宋体" w:eastAsia="宋体" w:cs="Times New Roman"/>
          <w:sz w:val="24"/>
          <w:szCs w:val="24"/>
        </w:rPr>
        <w:t>在质保期间出现故障，乙方应在接到甲方通知后3小时以内响应，12小时内维修人员到场进行免费维修</w:t>
      </w:r>
      <w:r>
        <w:rPr>
          <w:rFonts w:hint="eastAsia" w:ascii="宋体" w:hAnsi="宋体" w:eastAsia="宋体" w:cs="Times New Roman"/>
          <w:sz w:val="24"/>
          <w:szCs w:val="24"/>
          <w:lang w:eastAsia="zh-CN"/>
        </w:rPr>
        <w:t>；</w:t>
      </w:r>
      <w:r>
        <w:rPr>
          <w:rFonts w:hint="eastAsia" w:ascii="宋体" w:hAnsi="宋体" w:eastAsia="宋体" w:cs="Times New Roman"/>
          <w:sz w:val="24"/>
          <w:szCs w:val="24"/>
        </w:rPr>
        <w:t>若24小时内无法排除故障的，应在1个日历日内提供代用设备</w:t>
      </w:r>
      <w:r>
        <w:rPr>
          <w:rFonts w:hint="eastAsia" w:ascii="宋体" w:hAnsi="宋体" w:eastAsia="宋体" w:cs="Times New Roman"/>
          <w:sz w:val="24"/>
          <w:szCs w:val="24"/>
          <w:lang w:val="en-US" w:eastAsia="zh-CN"/>
        </w:rPr>
        <w:t>或者</w:t>
      </w:r>
      <w:r>
        <w:rPr>
          <w:rFonts w:hint="eastAsia" w:ascii="宋体" w:hAnsi="宋体" w:eastAsia="宋体" w:cs="Times New Roman"/>
          <w:sz w:val="24"/>
          <w:szCs w:val="24"/>
        </w:rPr>
        <w:t>提出经甲方同意的解决方案</w:t>
      </w:r>
      <w:r>
        <w:rPr>
          <w:rFonts w:hint="eastAsia" w:ascii="宋体" w:hAnsi="宋体" w:eastAsia="宋体" w:cs="Times New Roman"/>
          <w:sz w:val="24"/>
          <w:szCs w:val="24"/>
          <w:lang w:eastAsia="zh-CN"/>
        </w:rPr>
        <w:t>。</w:t>
      </w:r>
    </w:p>
    <w:p w14:paraId="0BFD82E5">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七</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结算与</w:t>
      </w:r>
      <w:r>
        <w:rPr>
          <w:rFonts w:hint="eastAsia" w:ascii="宋体" w:hAnsi="宋体" w:eastAsia="宋体" w:cs="Times New Roman"/>
          <w:b/>
          <w:bCs/>
          <w:sz w:val="24"/>
          <w:szCs w:val="24"/>
        </w:rPr>
        <w:t>支付</w:t>
      </w:r>
    </w:p>
    <w:tbl>
      <w:tblPr>
        <w:tblStyle w:val="14"/>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1299"/>
        <w:gridCol w:w="5700"/>
      </w:tblGrid>
      <w:tr w14:paraId="5F32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26" w:type="dxa"/>
            <w:noWrap w:val="0"/>
            <w:vAlign w:val="center"/>
          </w:tcPr>
          <w:p w14:paraId="4E043F49">
            <w:pPr>
              <w:jc w:val="center"/>
              <w:rPr>
                <w:rFonts w:ascii="Times New Roman" w:hAnsi="Times New Roman" w:eastAsia="宋体" w:cs="Times New Roman"/>
                <w:szCs w:val="24"/>
              </w:rPr>
            </w:pPr>
            <w:r>
              <w:rPr>
                <w:rFonts w:hint="eastAsia" w:ascii="Times New Roman" w:hAnsi="Times New Roman" w:eastAsia="宋体" w:cs="Times New Roman"/>
                <w:szCs w:val="24"/>
              </w:rPr>
              <w:t>期次序号</w:t>
            </w:r>
          </w:p>
        </w:tc>
        <w:tc>
          <w:tcPr>
            <w:tcW w:w="1299" w:type="dxa"/>
            <w:noWrap w:val="0"/>
            <w:vAlign w:val="center"/>
          </w:tcPr>
          <w:p w14:paraId="4C2C8F65">
            <w:pPr>
              <w:jc w:val="center"/>
              <w:rPr>
                <w:rFonts w:ascii="Times New Roman" w:hAnsi="Times New Roman" w:eastAsia="宋体" w:cs="Times New Roman"/>
                <w:szCs w:val="24"/>
              </w:rPr>
            </w:pPr>
            <w:r>
              <w:rPr>
                <w:rFonts w:hint="eastAsia" w:ascii="Times New Roman" w:hAnsi="Times New Roman" w:eastAsia="宋体" w:cs="Times New Roman"/>
                <w:szCs w:val="24"/>
              </w:rPr>
              <w:t>支付比例</w:t>
            </w:r>
          </w:p>
        </w:tc>
        <w:tc>
          <w:tcPr>
            <w:tcW w:w="5700" w:type="dxa"/>
            <w:noWrap w:val="0"/>
            <w:vAlign w:val="center"/>
          </w:tcPr>
          <w:p w14:paraId="7ED9F4E3">
            <w:pPr>
              <w:jc w:val="center"/>
              <w:rPr>
                <w:rFonts w:ascii="Times New Roman" w:hAnsi="Times New Roman" w:eastAsia="宋体" w:cs="Times New Roman"/>
                <w:szCs w:val="24"/>
              </w:rPr>
            </w:pPr>
            <w:r>
              <w:rPr>
                <w:rFonts w:hint="eastAsia" w:ascii="Times New Roman" w:hAnsi="Times New Roman" w:eastAsia="宋体" w:cs="Times New Roman"/>
                <w:szCs w:val="24"/>
              </w:rPr>
              <w:t>支付说明</w:t>
            </w:r>
          </w:p>
        </w:tc>
      </w:tr>
      <w:tr w14:paraId="1D95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26" w:type="dxa"/>
            <w:noWrap w:val="0"/>
            <w:vAlign w:val="center"/>
          </w:tcPr>
          <w:p w14:paraId="1C372561">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1</w:t>
            </w:r>
          </w:p>
        </w:tc>
        <w:tc>
          <w:tcPr>
            <w:tcW w:w="1299" w:type="dxa"/>
            <w:noWrap w:val="0"/>
            <w:vAlign w:val="center"/>
          </w:tcPr>
          <w:p w14:paraId="2FC2CE22">
            <w:pPr>
              <w:jc w:val="center"/>
              <w:rPr>
                <w:rFonts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val="en-US" w:eastAsia="zh-CN"/>
              </w:rPr>
              <w:t>95</w:t>
            </w:r>
            <w:r>
              <w:rPr>
                <w:rFonts w:hint="eastAsia" w:ascii="Times New Roman" w:hAnsi="Times New Roman" w:eastAsia="宋体" w:cs="Times New Roman"/>
                <w:sz w:val="24"/>
                <w:szCs w:val="24"/>
                <w:highlight w:val="none"/>
              </w:rPr>
              <w:t>%</w:t>
            </w:r>
          </w:p>
        </w:tc>
        <w:tc>
          <w:tcPr>
            <w:tcW w:w="5700" w:type="dxa"/>
            <w:noWrap w:val="0"/>
            <w:vAlign w:val="center"/>
          </w:tcPr>
          <w:p w14:paraId="56B9FF80">
            <w:pPr>
              <w:jc w:val="both"/>
              <w:rPr>
                <w:rFonts w:ascii="Times New Roman" w:hAnsi="Times New Roman" w:eastAsia="宋体" w:cs="Times New Roman"/>
                <w:szCs w:val="24"/>
              </w:rPr>
            </w:pPr>
            <w:r>
              <w:rPr>
                <w:rFonts w:hint="eastAsia" w:ascii="Times New Roman" w:hAnsi="Times New Roman" w:eastAsia="宋体" w:cs="Times New Roman"/>
                <w:szCs w:val="24"/>
                <w:lang w:val="en-US" w:eastAsia="zh-CN"/>
              </w:rPr>
              <w:t>按照</w:t>
            </w:r>
            <w:r>
              <w:rPr>
                <w:rFonts w:hint="eastAsia" w:ascii="Times New Roman" w:hAnsi="Times New Roman" w:eastAsia="宋体" w:cs="Times New Roman"/>
                <w:szCs w:val="24"/>
              </w:rPr>
              <w:t>交付条件完成</w:t>
            </w:r>
            <w:r>
              <w:rPr>
                <w:rFonts w:hint="eastAsia" w:ascii="Times New Roman" w:hAnsi="Times New Roman" w:eastAsia="宋体" w:cs="Times New Roman"/>
                <w:szCs w:val="24"/>
                <w:lang w:val="en-US" w:eastAsia="zh-CN"/>
              </w:rPr>
              <w:t>交付并提供等额增值税发票</w:t>
            </w:r>
            <w:r>
              <w:rPr>
                <w:rFonts w:hint="eastAsia" w:ascii="Times New Roman" w:hAnsi="Times New Roman" w:eastAsia="宋体" w:cs="Times New Roman"/>
                <w:szCs w:val="24"/>
              </w:rPr>
              <w:t>后支付</w:t>
            </w:r>
          </w:p>
        </w:tc>
      </w:tr>
      <w:tr w14:paraId="0177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noWrap w:val="0"/>
            <w:vAlign w:val="center"/>
          </w:tcPr>
          <w:p w14:paraId="6AC786D7">
            <w:pPr>
              <w:jc w:val="center"/>
              <w:rPr>
                <w:rFonts w:hint="eastAsia" w:ascii="Times New Roman" w:hAnsi="Times New Roman" w:eastAsia="宋体" w:cs="Times New Roman"/>
                <w:szCs w:val="24"/>
                <w:lang w:eastAsia="zh-CN"/>
              </w:rPr>
            </w:pPr>
            <w:r>
              <w:rPr>
                <w:rFonts w:hint="eastAsia" w:ascii="Times New Roman" w:hAnsi="Times New Roman" w:eastAsia="宋体" w:cs="Times New Roman"/>
                <w:szCs w:val="24"/>
                <w:lang w:val="en-US" w:eastAsia="zh-CN"/>
              </w:rPr>
              <w:t>2</w:t>
            </w:r>
          </w:p>
        </w:tc>
        <w:tc>
          <w:tcPr>
            <w:tcW w:w="1299" w:type="dxa"/>
            <w:noWrap w:val="0"/>
            <w:vAlign w:val="center"/>
          </w:tcPr>
          <w:p w14:paraId="6A24DF73">
            <w:pPr>
              <w:jc w:val="center"/>
              <w:rPr>
                <w:rFonts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lang w:val="en-US" w:eastAsia="zh-CN"/>
              </w:rPr>
              <w:t>5</w:t>
            </w:r>
            <w:r>
              <w:rPr>
                <w:rFonts w:hint="eastAsia" w:ascii="Times New Roman" w:hAnsi="Times New Roman" w:eastAsia="宋体" w:cs="Times New Roman"/>
                <w:sz w:val="24"/>
                <w:szCs w:val="24"/>
                <w:highlight w:val="none"/>
              </w:rPr>
              <w:t>%</w:t>
            </w:r>
          </w:p>
        </w:tc>
        <w:tc>
          <w:tcPr>
            <w:tcW w:w="5700" w:type="dxa"/>
            <w:noWrap w:val="0"/>
            <w:vAlign w:val="top"/>
          </w:tcPr>
          <w:p w14:paraId="08A7F936">
            <w:pPr>
              <w:widowControl/>
              <w:jc w:val="left"/>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rPr>
              <w:t>质保</w:t>
            </w:r>
            <w:r>
              <w:rPr>
                <w:rFonts w:hint="eastAsia" w:ascii="Times New Roman" w:hAnsi="Times New Roman" w:eastAsia="宋体" w:cs="Times New Roman"/>
                <w:szCs w:val="24"/>
                <w:lang w:val="en-US" w:eastAsia="zh-CN"/>
              </w:rPr>
              <w:t>期限届满并没有违约情形以及提供等额增值税发票</w:t>
            </w:r>
            <w:r>
              <w:rPr>
                <w:rFonts w:hint="eastAsia" w:ascii="Times New Roman" w:hAnsi="Times New Roman" w:eastAsia="宋体" w:cs="Times New Roman"/>
                <w:szCs w:val="24"/>
              </w:rPr>
              <w:t>后支付</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如果乙方未能按约定履行售后服务而使甲方自行组织返修或者请第三方进行维修的，则发生费用应以此款扣除，不足部分继续由乙方赔偿损失，剩余款项由甲方支付乙方。</w:t>
            </w:r>
          </w:p>
        </w:tc>
      </w:tr>
    </w:tbl>
    <w:p w14:paraId="6F029E9A">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八</w:t>
      </w:r>
      <w:r>
        <w:rPr>
          <w:rFonts w:hint="eastAsia" w:ascii="宋体" w:hAnsi="宋体" w:eastAsia="宋体" w:cs="Times New Roman"/>
          <w:b/>
          <w:bCs/>
          <w:sz w:val="24"/>
          <w:szCs w:val="24"/>
        </w:rPr>
        <w:t>、履约保证金</w:t>
      </w:r>
      <w:r>
        <w:rPr>
          <w:rFonts w:hint="eastAsia" w:ascii="宋体" w:hAnsi="宋体" w:eastAsia="宋体" w:cs="Times New Roman"/>
          <w:sz w:val="24"/>
          <w:szCs w:val="24"/>
        </w:rPr>
        <w:t xml:space="preserve"> </w:t>
      </w:r>
    </w:p>
    <w:p w14:paraId="6B39041D">
      <w:pPr>
        <w:adjustRightInd w:val="0"/>
        <w:snapToGrid w:val="0"/>
        <w:rPr>
          <w:rFonts w:ascii="宋体" w:hAnsi="宋体" w:eastAsia="宋体" w:cs="Times New Roman"/>
          <w:sz w:val="24"/>
          <w:szCs w:val="24"/>
        </w:rPr>
      </w:pPr>
      <w:r>
        <w:rPr>
          <w:rFonts w:hint="eastAsia" w:ascii="宋体" w:hAnsi="宋体" w:eastAsia="宋体" w:cs="Times New Roman"/>
          <w:sz w:val="24"/>
          <w:szCs w:val="24"/>
        </w:rPr>
        <w:t>履约保证金</w:t>
      </w:r>
      <w:r>
        <w:rPr>
          <w:rFonts w:hint="eastAsia" w:ascii="宋体" w:hAnsi="宋体" w:eastAsia="宋体" w:cs="Times New Roman"/>
          <w:sz w:val="24"/>
          <w:szCs w:val="24"/>
          <w:lang w:eastAsia="zh-CN"/>
        </w:rPr>
        <w:t>：</w:t>
      </w:r>
      <w:r>
        <w:rPr>
          <w:rFonts w:hint="eastAsia" w:ascii="宋体" w:hAnsi="宋体" w:eastAsia="宋体" w:cs="Times New Roman"/>
          <w:sz w:val="24"/>
          <w:szCs w:val="24"/>
        </w:rPr>
        <w:t>□无</w:t>
      </w:r>
      <w:r>
        <w:rPr>
          <w:rFonts w:hint="eastAsia" w:ascii="宋体" w:hAnsi="宋体" w:eastAsia="宋体" w:cs="Times New Roman"/>
          <w:sz w:val="24"/>
          <w:szCs w:val="24"/>
          <w:lang w:val="en-US" w:eastAsia="zh-CN"/>
        </w:rPr>
        <w:t xml:space="preserve"> </w:t>
      </w:r>
      <w:r>
        <w:rPr>
          <w:rFonts w:hint="eastAsia" w:ascii="宋体" w:hAnsi="MS Mincho" w:eastAsia="MS Mincho" w:cs="MS Mincho"/>
          <w:sz w:val="24"/>
          <w:szCs w:val="24"/>
        </w:rPr>
        <w:t>☑</w:t>
      </w:r>
      <w:r>
        <w:rPr>
          <w:rFonts w:hint="eastAsia" w:ascii="宋体" w:hAnsi="宋体" w:eastAsia="宋体" w:cs="Times New Roman"/>
          <w:sz w:val="24"/>
          <w:szCs w:val="24"/>
        </w:rPr>
        <w:t>有，具体如下：履约保证金</w:t>
      </w:r>
      <w:r>
        <w:rPr>
          <w:rFonts w:hint="eastAsia" w:ascii="宋体" w:hAnsi="宋体" w:eastAsia="宋体" w:cs="Times New Roman"/>
          <w:b/>
          <w:bCs/>
          <w:sz w:val="24"/>
          <w:szCs w:val="24"/>
          <w:u w:val="single"/>
          <w:lang w:val="en-US" w:eastAsia="zh-CN"/>
        </w:rPr>
        <w:t>12000</w:t>
      </w:r>
      <w:r>
        <w:rPr>
          <w:rFonts w:hint="eastAsia" w:ascii="宋体" w:hAnsi="宋体" w:eastAsia="宋体" w:cs="Times New Roman"/>
          <w:sz w:val="24"/>
          <w:szCs w:val="24"/>
          <w:lang w:val="en-US" w:eastAsia="zh-CN"/>
        </w:rPr>
        <w:t>元</w:t>
      </w:r>
      <w:r>
        <w:rPr>
          <w:rFonts w:hint="eastAsia" w:ascii="宋体" w:hAnsi="宋体" w:eastAsia="宋体" w:cs="Times New Roman"/>
          <w:sz w:val="24"/>
          <w:szCs w:val="24"/>
        </w:rPr>
        <w:t>。乙方在合同签订之前以现金（银行转帐或电汇）、有效的银行保函和保险保函（保函有效期须不低于</w:t>
      </w:r>
      <w:r>
        <w:rPr>
          <w:rFonts w:ascii="宋体" w:hAnsi="宋体" w:eastAsia="宋体" w:cs="Times New Roman"/>
          <w:sz w:val="24"/>
          <w:szCs w:val="24"/>
        </w:rPr>
        <w:t>90</w:t>
      </w:r>
      <w:r>
        <w:rPr>
          <w:rFonts w:hint="eastAsia" w:ascii="宋体" w:hAnsi="宋体" w:eastAsia="宋体" w:cs="Times New Roman"/>
          <w:sz w:val="24"/>
          <w:szCs w:val="24"/>
        </w:rPr>
        <w:t>日历天）形式之一向甲方缴交履约保证金。履约保证金在整个合同周期结束后凭转账凭证、合同等证明材料</w:t>
      </w:r>
      <w:r>
        <w:rPr>
          <w:rFonts w:ascii="宋体" w:hAnsi="宋体" w:eastAsia="宋体" w:cs="Times New Roman"/>
          <w:sz w:val="24"/>
          <w:szCs w:val="24"/>
        </w:rPr>
        <w:t>30</w:t>
      </w:r>
      <w:r>
        <w:rPr>
          <w:rFonts w:hint="eastAsia" w:ascii="宋体" w:hAnsi="宋体" w:eastAsia="宋体" w:cs="Times New Roman"/>
          <w:sz w:val="24"/>
          <w:szCs w:val="24"/>
        </w:rPr>
        <w:t>天内一次性无息退回（</w:t>
      </w:r>
      <w:r>
        <w:rPr>
          <w:rFonts w:hint="eastAsia" w:ascii="宋体" w:hAnsi="宋体" w:eastAsia="宋体" w:cs="Times New Roman"/>
          <w:sz w:val="24"/>
          <w:szCs w:val="24"/>
          <w:lang w:val="en-US" w:eastAsia="zh-CN"/>
        </w:rPr>
        <w:t>但存在违约情形而</w:t>
      </w:r>
      <w:r>
        <w:rPr>
          <w:rFonts w:hint="eastAsia" w:ascii="宋体" w:hAnsi="宋体" w:eastAsia="宋体" w:cs="Times New Roman"/>
          <w:sz w:val="24"/>
          <w:szCs w:val="24"/>
        </w:rPr>
        <w:t>有扣除的除外）。</w:t>
      </w:r>
      <w:r>
        <w:rPr>
          <w:rFonts w:ascii="宋体" w:hAnsi="宋体" w:eastAsia="宋体" w:cs="Times New Roman"/>
          <w:sz w:val="24"/>
          <w:szCs w:val="24"/>
        </w:rPr>
        <w:t xml:space="preserve"> </w:t>
      </w:r>
    </w:p>
    <w:p w14:paraId="552E9633">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九</w:t>
      </w:r>
      <w:r>
        <w:rPr>
          <w:rFonts w:hint="eastAsia" w:ascii="宋体" w:hAnsi="宋体" w:eastAsia="宋体" w:cs="Times New Roman"/>
          <w:b/>
          <w:bCs/>
          <w:sz w:val="24"/>
          <w:szCs w:val="24"/>
        </w:rPr>
        <w:t>、知识产权</w:t>
      </w:r>
      <w:r>
        <w:rPr>
          <w:rFonts w:hint="eastAsia" w:ascii="宋体" w:hAnsi="宋体" w:eastAsia="宋体" w:cs="Times New Roman"/>
          <w:sz w:val="24"/>
          <w:szCs w:val="24"/>
        </w:rPr>
        <w:t xml:space="preserve"> </w:t>
      </w:r>
    </w:p>
    <w:p w14:paraId="248850CE">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 xml:space="preserve">.1 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 </w:t>
      </w:r>
    </w:p>
    <w:p w14:paraId="1B2A7CCB">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lang w:val="en-US" w:eastAsia="zh-CN"/>
        </w:rPr>
        <w:t>9</w:t>
      </w:r>
      <w:r>
        <w:rPr>
          <w:rFonts w:hint="eastAsia" w:ascii="宋体" w:hAnsi="宋体" w:eastAsia="宋体" w:cs="Times New Roman"/>
          <w:sz w:val="24"/>
          <w:szCs w:val="24"/>
        </w:rPr>
        <w:t>.2 若乙方提供的采购标的不符合国家知识产权法律、法规的规定或被有关主管机关认定为假冒伪劣品，则乙方中标资格将被取消；甲方还将按照有关法律、法规和规章的规定进行处理，具体如下：（按照实际情况编制填写）。</w:t>
      </w:r>
    </w:p>
    <w:p w14:paraId="51E04BB4">
      <w:pPr>
        <w:adjustRightInd w:val="0"/>
        <w:snapToGrid w:val="0"/>
        <w:rPr>
          <w:rFonts w:hint="eastAsia" w:ascii="宋体" w:hAnsi="宋体" w:eastAsia="宋体" w:cs="宋体"/>
          <w:color w:val="333333"/>
          <w:kern w:val="0"/>
          <w:sz w:val="24"/>
          <w:szCs w:val="24"/>
        </w:rPr>
      </w:pPr>
      <w:r>
        <w:rPr>
          <w:rFonts w:hint="eastAsia" w:ascii="宋体" w:hAnsi="宋体" w:eastAsia="宋体" w:cs="Times New Roman"/>
          <w:b/>
          <w:bCs/>
          <w:sz w:val="24"/>
          <w:szCs w:val="24"/>
          <w:lang w:val="en-US" w:eastAsia="zh-CN"/>
        </w:rPr>
        <w:t>十</w:t>
      </w:r>
      <w:r>
        <w:rPr>
          <w:rFonts w:hint="eastAsia" w:ascii="宋体" w:hAnsi="宋体" w:eastAsia="宋体" w:cs="Times New Roman"/>
          <w:b/>
          <w:bCs/>
          <w:sz w:val="24"/>
          <w:szCs w:val="24"/>
        </w:rPr>
        <w:t>、保密条款</w:t>
      </w:r>
    </w:p>
    <w:p w14:paraId="31DFED04">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1甲方与乙方对因履行本合同而知悉的对方商业秘密互负保密的责任，未经对方书面同意不得向第三方泄露。双方保证为对方的利益仅在项目推广的确必要的情况下，并且经过对方书面同意之后，将这些秘密透露给为实施本合同而必须了解相关秘密的本方人员或第三方及依法有权强制得到该秘密的机关</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同时</w:t>
      </w:r>
      <w:r>
        <w:rPr>
          <w:rFonts w:hint="eastAsia" w:ascii="宋体" w:hAnsi="宋体" w:eastAsia="宋体" w:cs="宋体"/>
          <w:color w:val="333333"/>
          <w:kern w:val="0"/>
          <w:sz w:val="24"/>
          <w:szCs w:val="24"/>
        </w:rPr>
        <w:t>保证其职员或第三方与其一样履行本合同规定的保密义务。</w:t>
      </w:r>
    </w:p>
    <w:p w14:paraId="7D661297">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.2商业秘密指双方有关项目设计信息、作品创意构思及其它技术信息。</w:t>
      </w:r>
    </w:p>
    <w:p w14:paraId="1C372F41">
      <w:pPr>
        <w:widowControl/>
        <w:shd w:val="clear" w:color="auto" w:fill="FFFFFF"/>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lang w:val="en-US" w:eastAsia="zh-CN"/>
        </w:rPr>
        <w:t>10</w:t>
      </w:r>
      <w:r>
        <w:rPr>
          <w:rFonts w:hint="eastAsia" w:ascii="宋体" w:hAnsi="宋体" w:eastAsia="宋体" w:cs="宋体"/>
          <w:color w:val="333333"/>
          <w:kern w:val="0"/>
          <w:sz w:val="24"/>
          <w:szCs w:val="24"/>
        </w:rPr>
        <w:t>.3此保密条款在本合同期内及本合同终止后叁年内有效。任何一方违反保密条款，给另一方造成损失，应当承担赔偿责任。</w:t>
      </w:r>
    </w:p>
    <w:p w14:paraId="6E8CA0EF">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十一</w:t>
      </w:r>
      <w:r>
        <w:rPr>
          <w:rFonts w:hint="eastAsia" w:ascii="宋体" w:hAnsi="宋体" w:eastAsia="宋体" w:cs="Times New Roman"/>
          <w:b/>
          <w:bCs/>
          <w:sz w:val="24"/>
          <w:szCs w:val="24"/>
        </w:rPr>
        <w:t>、不可抗力</w:t>
      </w:r>
      <w:r>
        <w:rPr>
          <w:rFonts w:hint="eastAsia" w:ascii="宋体" w:hAnsi="宋体" w:eastAsia="宋体" w:cs="Times New Roman"/>
          <w:sz w:val="24"/>
          <w:szCs w:val="24"/>
        </w:rPr>
        <w:t xml:space="preserve"> </w:t>
      </w:r>
    </w:p>
    <w:p w14:paraId="1457FDCB">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 xml:space="preserve">.1 因不可抗力造成违约的，遭受不可抗力一方应及时向对方通报不能履行或不能完全履行的理由，并在随后取得有关主管机关证明后的 15 日内向另一方提供不可抗力发生及持续期间的充分证据。基于以上行为，允许遭受不可抗力一方延期履行、部分履行或不履行合同，并根据情况可部分或全部免于承担违约责任。 </w:t>
      </w:r>
    </w:p>
    <w:p w14:paraId="2D5A0E44">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1</w:t>
      </w:r>
      <w:r>
        <w:rPr>
          <w:rFonts w:hint="eastAsia" w:ascii="宋体" w:hAnsi="宋体" w:eastAsia="宋体" w:cs="Times New Roman"/>
          <w:sz w:val="24"/>
          <w:szCs w:val="24"/>
        </w:rPr>
        <w:t>.2 本合同中的不可抗力指不能预见、不能避免、不能克服的客观情况，包括但不限于：自然灾害</w:t>
      </w:r>
      <w:r>
        <w:rPr>
          <w:rFonts w:hint="eastAsia" w:ascii="宋体" w:hAnsi="宋体" w:eastAsia="宋体" w:cs="Times New Roman"/>
          <w:sz w:val="24"/>
          <w:szCs w:val="24"/>
          <w:lang w:val="en-US" w:eastAsia="zh-CN"/>
        </w:rPr>
        <w:t>例</w:t>
      </w:r>
      <w:r>
        <w:rPr>
          <w:rFonts w:hint="eastAsia" w:ascii="宋体" w:hAnsi="宋体" w:eastAsia="宋体" w:cs="Times New Roman"/>
          <w:sz w:val="24"/>
          <w:szCs w:val="24"/>
        </w:rPr>
        <w:t>如地震、台风、洪水、火灾</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疫情等</w:t>
      </w:r>
      <w:r>
        <w:rPr>
          <w:rFonts w:hint="eastAsia" w:ascii="宋体" w:hAnsi="宋体" w:eastAsia="宋体" w:cs="Times New Roman"/>
          <w:sz w:val="24"/>
          <w:szCs w:val="24"/>
          <w:lang w:eastAsia="zh-CN"/>
        </w:rPr>
        <w:t>，</w:t>
      </w:r>
      <w:r>
        <w:rPr>
          <w:rFonts w:hint="eastAsia" w:ascii="宋体" w:hAnsi="宋体" w:eastAsia="宋体" w:cs="Times New Roman"/>
          <w:sz w:val="24"/>
          <w:szCs w:val="24"/>
        </w:rPr>
        <w:t>政府行为</w:t>
      </w:r>
      <w:r>
        <w:rPr>
          <w:rFonts w:hint="eastAsia" w:ascii="宋体" w:hAnsi="宋体" w:eastAsia="宋体" w:cs="Times New Roman"/>
          <w:sz w:val="24"/>
          <w:szCs w:val="24"/>
          <w:lang w:val="en-US" w:eastAsia="zh-CN"/>
        </w:rPr>
        <w:t>或者甲方主管单位的指令</w:t>
      </w:r>
      <w:r>
        <w:rPr>
          <w:rFonts w:hint="eastAsia" w:ascii="宋体" w:hAnsi="宋体" w:eastAsia="宋体" w:cs="Times New Roman"/>
          <w:sz w:val="24"/>
          <w:szCs w:val="24"/>
          <w:lang w:eastAsia="zh-CN"/>
        </w:rPr>
        <w:t>，</w:t>
      </w:r>
      <w:r>
        <w:rPr>
          <w:rFonts w:hint="eastAsia" w:ascii="宋体" w:hAnsi="宋体" w:eastAsia="宋体" w:cs="Times New Roman"/>
          <w:sz w:val="24"/>
          <w:szCs w:val="24"/>
        </w:rPr>
        <w:t>法律</w:t>
      </w:r>
      <w:r>
        <w:rPr>
          <w:rFonts w:hint="eastAsia" w:ascii="宋体" w:hAnsi="宋体" w:eastAsia="宋体" w:cs="Times New Roman"/>
          <w:sz w:val="24"/>
          <w:szCs w:val="24"/>
          <w:lang w:val="en-US" w:eastAsia="zh-CN"/>
        </w:rPr>
        <w:t>法规</w:t>
      </w:r>
      <w:r>
        <w:rPr>
          <w:rFonts w:hint="eastAsia" w:ascii="宋体" w:hAnsi="宋体" w:eastAsia="宋体" w:cs="Times New Roman"/>
          <w:sz w:val="24"/>
          <w:szCs w:val="24"/>
        </w:rPr>
        <w:t>规定</w:t>
      </w:r>
      <w:r>
        <w:rPr>
          <w:rFonts w:hint="eastAsia" w:ascii="宋体" w:hAnsi="宋体" w:eastAsia="宋体" w:cs="Times New Roman"/>
          <w:sz w:val="24"/>
          <w:szCs w:val="24"/>
          <w:lang w:val="en-US" w:eastAsia="zh-CN"/>
        </w:rPr>
        <w:t>以及</w:t>
      </w:r>
      <w:r>
        <w:rPr>
          <w:rFonts w:hint="eastAsia" w:ascii="宋体" w:hAnsi="宋体" w:eastAsia="宋体" w:cs="Times New Roman"/>
          <w:sz w:val="24"/>
          <w:szCs w:val="24"/>
        </w:rPr>
        <w:t>其他任何无法预见、避免</w:t>
      </w:r>
      <w:r>
        <w:rPr>
          <w:rFonts w:hint="eastAsia" w:ascii="宋体" w:hAnsi="宋体" w:eastAsia="宋体" w:cs="Times New Roman"/>
          <w:sz w:val="24"/>
          <w:szCs w:val="24"/>
          <w:lang w:val="en-US" w:eastAsia="zh-CN"/>
        </w:rPr>
        <w:t>或者</w:t>
      </w:r>
      <w:r>
        <w:rPr>
          <w:rFonts w:hint="eastAsia" w:ascii="宋体" w:hAnsi="宋体" w:eastAsia="宋体" w:cs="Times New Roman"/>
          <w:sz w:val="24"/>
          <w:szCs w:val="24"/>
        </w:rPr>
        <w:t xml:space="preserve">控制的事件。 </w:t>
      </w:r>
    </w:p>
    <w:p w14:paraId="2D8E09CF">
      <w:pPr>
        <w:adjustRightInd w:val="0"/>
        <w:snapToGrid w:val="0"/>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十二</w:t>
      </w:r>
      <w:r>
        <w:rPr>
          <w:rFonts w:hint="eastAsia" w:ascii="宋体" w:hAnsi="宋体" w:eastAsia="宋体" w:cs="Times New Roman"/>
          <w:b/>
          <w:bCs/>
          <w:sz w:val="24"/>
          <w:szCs w:val="24"/>
        </w:rPr>
        <w:t>、甲方的权利义务</w:t>
      </w:r>
      <w:r>
        <w:rPr>
          <w:rFonts w:hint="eastAsia" w:ascii="宋体" w:hAnsi="宋体" w:eastAsia="宋体" w:cs="Times New Roman"/>
          <w:sz w:val="24"/>
          <w:szCs w:val="24"/>
        </w:rPr>
        <w:t xml:space="preserve"> </w:t>
      </w:r>
    </w:p>
    <w:p w14:paraId="3B940FC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.1按时足额支付款项，以确保乙方按时按量完成任务。</w:t>
      </w:r>
    </w:p>
    <w:p w14:paraId="4FCA14C7">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.2甲方有权对乙方的生产经营活动进行监督，对甲方指出存在的问题，乙方应及时整改；甲方有权要求乙方撤换不能胜任本职工作员工或行为不端、玩忽职守的现场负责人，乙方应及时予以撤换。</w:t>
      </w:r>
    </w:p>
    <w:p w14:paraId="5304A7CE">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.3法律、法规规定的其他义务。</w:t>
      </w:r>
    </w:p>
    <w:p w14:paraId="15BA348D">
      <w:pPr>
        <w:adjustRightInd w:val="0"/>
        <w:snapToGrid w:val="0"/>
        <w:rPr>
          <w:rFonts w:hint="eastAsia" w:ascii="宋体" w:hAnsi="宋体" w:eastAsia="宋体" w:cs="Times New Roman"/>
          <w:b/>
          <w:bCs/>
          <w:sz w:val="24"/>
          <w:szCs w:val="24"/>
        </w:rPr>
      </w:pPr>
      <w:r>
        <w:rPr>
          <w:rFonts w:hint="eastAsia" w:ascii="宋体" w:hAnsi="宋体" w:eastAsia="宋体" w:cs="Times New Roman"/>
          <w:b/>
          <w:bCs/>
          <w:sz w:val="24"/>
          <w:szCs w:val="24"/>
          <w:lang w:val="en-US" w:eastAsia="zh-CN"/>
        </w:rPr>
        <w:t>十三</w:t>
      </w:r>
      <w:r>
        <w:rPr>
          <w:rFonts w:hint="eastAsia" w:ascii="宋体" w:hAnsi="宋体" w:eastAsia="宋体" w:cs="Times New Roman"/>
          <w:b/>
          <w:bCs/>
          <w:sz w:val="24"/>
          <w:szCs w:val="24"/>
        </w:rPr>
        <w:t>、乙方的权利义务</w:t>
      </w:r>
    </w:p>
    <w:p w14:paraId="0B2B7956">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.1依照本合同约定的内容和标准提供相应的货物，并承担相关售后服务，接受甲方的监督。</w:t>
      </w:r>
    </w:p>
    <w:p w14:paraId="0C50691D">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.2依照国家、有关规定和本合同约定，制订供货计划，并组织实施</w:t>
      </w:r>
      <w:r>
        <w:rPr>
          <w:rFonts w:hint="eastAsia" w:ascii="宋体" w:hAnsi="宋体" w:eastAsia="宋体" w:cs="Times New Roman"/>
          <w:sz w:val="24"/>
          <w:szCs w:val="24"/>
          <w:lang w:val="en-US" w:eastAsia="zh-CN"/>
        </w:rPr>
        <w:t>合同义务</w:t>
      </w:r>
      <w:r>
        <w:rPr>
          <w:rFonts w:hint="eastAsia" w:ascii="宋体" w:hAnsi="宋体" w:eastAsia="宋体" w:cs="Times New Roman"/>
          <w:sz w:val="24"/>
          <w:szCs w:val="24"/>
          <w:lang w:eastAsia="zh-CN"/>
        </w:rPr>
        <w:t>。</w:t>
      </w:r>
    </w:p>
    <w:p w14:paraId="298D22DE">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.3对甲方违反国家、有关法律法规的行为，进行劝阻、制止，劝阻、制止无效的应及时书面报告有关行政主管部门</w:t>
      </w:r>
      <w:r>
        <w:rPr>
          <w:rFonts w:hint="eastAsia" w:ascii="宋体" w:hAnsi="宋体" w:eastAsia="宋体" w:cs="Times New Roman"/>
          <w:sz w:val="24"/>
          <w:szCs w:val="24"/>
          <w:lang w:eastAsia="zh-CN"/>
        </w:rPr>
        <w:t>。</w:t>
      </w:r>
    </w:p>
    <w:p w14:paraId="715467ED">
      <w:pPr>
        <w:adjustRightInd w:val="0"/>
        <w:snapToGrid w:val="0"/>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.4负责所供货物交货验收前的保管工作</w:t>
      </w:r>
      <w:r>
        <w:rPr>
          <w:rFonts w:hint="eastAsia" w:ascii="宋体" w:hAnsi="宋体" w:eastAsia="宋体" w:cs="Times New Roman"/>
          <w:sz w:val="24"/>
          <w:szCs w:val="24"/>
          <w:lang w:eastAsia="zh-CN"/>
        </w:rPr>
        <w:t>。</w:t>
      </w:r>
    </w:p>
    <w:p w14:paraId="7EFE31FC">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.5法律、法规规定的其他义务。</w:t>
      </w:r>
    </w:p>
    <w:p w14:paraId="2D3D3749">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bCs/>
          <w:sz w:val="24"/>
          <w:lang w:val="en-US" w:eastAsia="zh-CN"/>
        </w:rPr>
      </w:pPr>
      <w:r>
        <w:rPr>
          <w:rFonts w:hint="eastAsia" w:ascii="宋体" w:hAnsi="宋体"/>
          <w:b/>
          <w:bCs/>
          <w:sz w:val="24"/>
          <w:lang w:val="en-US" w:eastAsia="zh-CN"/>
        </w:rPr>
        <w:t>十四、通知与送达</w:t>
      </w:r>
    </w:p>
    <w:p w14:paraId="4BE06E90">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14.1双方均因履行本合同而相互发出或者提供的所有通知、资料，均以合同所列明的联系人以及联系电话（微信）、短信、电子邮箱、地址送达，如果一方迁址或者变更联系人以及联系电话（微信）、短信、电子邮箱，应当及时书面通知对方。</w:t>
      </w:r>
    </w:p>
    <w:p w14:paraId="2C7C14FF">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14.2甲方指定联系人</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，电话（微信）</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电子邮箱</w:t>
      </w:r>
      <w:r>
        <w:rPr>
          <w:rFonts w:hint="eastAsia" w:ascii="宋体" w:hAnsi="宋体"/>
          <w:b w:val="0"/>
          <w:bCs w:val="0"/>
          <w:sz w:val="24"/>
          <w:u w:val="single"/>
          <w:lang w:val="en-US" w:eastAsia="zh-CN"/>
        </w:rPr>
        <w:t xml:space="preserve">         </w:t>
      </w:r>
    </w:p>
    <w:p w14:paraId="02F703C8">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地址</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w:t>
      </w:r>
    </w:p>
    <w:p w14:paraId="52FB009B">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14.3乙方指定联系人</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，电话（微信）</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电子邮箱</w:t>
      </w:r>
      <w:r>
        <w:rPr>
          <w:rFonts w:hint="eastAsia" w:ascii="宋体" w:hAnsi="宋体"/>
          <w:b w:val="0"/>
          <w:bCs w:val="0"/>
          <w:sz w:val="24"/>
          <w:u w:val="single"/>
          <w:lang w:val="en-US" w:eastAsia="zh-CN"/>
        </w:rPr>
        <w:t xml:space="preserve">         </w:t>
      </w:r>
    </w:p>
    <w:p w14:paraId="0A5CA42C">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b w:val="0"/>
          <w:bCs w:val="0"/>
          <w:sz w:val="24"/>
          <w:lang w:val="en-US" w:eastAsia="zh-CN"/>
        </w:rPr>
      </w:pPr>
      <w:r>
        <w:rPr>
          <w:rFonts w:hint="eastAsia" w:ascii="宋体" w:hAnsi="宋体"/>
          <w:b w:val="0"/>
          <w:bCs w:val="0"/>
          <w:sz w:val="24"/>
          <w:lang w:val="en-US" w:eastAsia="zh-CN"/>
        </w:rPr>
        <w:t>地址</w:t>
      </w:r>
      <w:r>
        <w:rPr>
          <w:rFonts w:hint="eastAsia" w:ascii="宋体" w:hAnsi="宋体"/>
          <w:b w:val="0"/>
          <w:bCs w:val="0"/>
          <w:sz w:val="24"/>
          <w:u w:val="single"/>
          <w:lang w:val="en-US" w:eastAsia="zh-CN"/>
        </w:rPr>
        <w:t xml:space="preserve">                     </w:t>
      </w:r>
      <w:r>
        <w:rPr>
          <w:rFonts w:hint="eastAsia" w:ascii="宋体" w:hAnsi="宋体"/>
          <w:b w:val="0"/>
          <w:bCs w:val="0"/>
          <w:sz w:val="24"/>
          <w:lang w:val="en-US" w:eastAsia="zh-CN"/>
        </w:rPr>
        <w:t>。</w:t>
      </w:r>
    </w:p>
    <w:p w14:paraId="3DDF8AA9">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default"/>
          <w:b w:val="0"/>
          <w:bCs w:val="0"/>
          <w:lang w:val="en-US"/>
        </w:rPr>
      </w:pPr>
      <w:r>
        <w:rPr>
          <w:rFonts w:hint="eastAsia" w:ascii="宋体" w:hAnsi="宋体"/>
          <w:b w:val="0"/>
          <w:bCs w:val="0"/>
          <w:sz w:val="24"/>
          <w:lang w:val="en-US" w:eastAsia="zh-CN"/>
        </w:rPr>
        <w:t>14.4本条通知及送达之约定适用履行合同、解决争议或者诉讼。</w:t>
      </w:r>
    </w:p>
    <w:p w14:paraId="43E5EA4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十五、</w:t>
      </w:r>
      <w:r>
        <w:rPr>
          <w:rFonts w:hint="eastAsia" w:ascii="宋体" w:hAnsi="宋体" w:eastAsia="宋体" w:cs="Times New Roman"/>
          <w:b/>
          <w:bCs/>
          <w:sz w:val="24"/>
          <w:szCs w:val="24"/>
        </w:rPr>
        <w:t>合同有效期</w:t>
      </w:r>
      <w:r>
        <w:rPr>
          <w:rFonts w:hint="eastAsia" w:ascii="宋体" w:hAnsi="宋体" w:eastAsia="宋体" w:cs="Times New Roman"/>
          <w:sz w:val="24"/>
          <w:szCs w:val="24"/>
        </w:rPr>
        <w:t xml:space="preserve"> </w:t>
      </w:r>
    </w:p>
    <w:p w14:paraId="1EBCF1CD">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从合同签订之日起至该项目结束为止。 </w:t>
      </w:r>
    </w:p>
    <w:p w14:paraId="518F570C">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sz w:val="24"/>
          <w:szCs w:val="24"/>
        </w:rPr>
      </w:pPr>
      <w:r>
        <w:rPr>
          <w:rFonts w:hint="eastAsia" w:ascii="宋体" w:hAnsi="宋体" w:eastAsia="宋体" w:cs="Times New Roman"/>
          <w:b/>
          <w:bCs/>
          <w:sz w:val="24"/>
          <w:szCs w:val="24"/>
          <w:lang w:val="en-US" w:eastAsia="zh-CN"/>
        </w:rPr>
        <w:t>十六、</w:t>
      </w:r>
      <w:r>
        <w:rPr>
          <w:rFonts w:hint="eastAsia" w:ascii="宋体" w:hAnsi="宋体" w:eastAsia="宋体" w:cs="Times New Roman"/>
          <w:b/>
          <w:bCs/>
          <w:sz w:val="24"/>
          <w:szCs w:val="24"/>
        </w:rPr>
        <w:t>违约责任</w:t>
      </w:r>
      <w:r>
        <w:rPr>
          <w:rFonts w:hint="eastAsia" w:ascii="宋体" w:hAnsi="宋体" w:eastAsia="宋体" w:cs="Times New Roman"/>
          <w:sz w:val="24"/>
          <w:szCs w:val="24"/>
        </w:rPr>
        <w:t xml:space="preserve"> </w:t>
      </w:r>
    </w:p>
    <w:p w14:paraId="6699E9D5">
      <w:pPr>
        <w:widowControl/>
        <w:shd w:val="clear" w:color="auto" w:fill="FFFFFF"/>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.1</w:t>
      </w:r>
      <w:r>
        <w:rPr>
          <w:rFonts w:hint="eastAsia" w:ascii="宋体" w:hAnsi="宋体" w:eastAsia="宋体" w:cs="宋体"/>
          <w:color w:val="333333"/>
          <w:kern w:val="0"/>
          <w:sz w:val="24"/>
          <w:szCs w:val="24"/>
          <w:lang w:val="en-US" w:eastAsia="zh-CN"/>
        </w:rPr>
        <w:t>如果</w:t>
      </w:r>
      <w:r>
        <w:rPr>
          <w:rFonts w:hint="eastAsia" w:ascii="宋体" w:hAnsi="宋体" w:eastAsia="宋体" w:cs="宋体"/>
          <w:color w:val="333333"/>
          <w:kern w:val="0"/>
          <w:sz w:val="24"/>
          <w:szCs w:val="24"/>
        </w:rPr>
        <w:t>甲方</w:t>
      </w:r>
      <w:r>
        <w:rPr>
          <w:rFonts w:hint="eastAsia" w:ascii="宋体" w:hAnsi="宋体" w:eastAsia="宋体" w:cs="宋体"/>
          <w:color w:val="333333"/>
          <w:kern w:val="0"/>
          <w:sz w:val="24"/>
          <w:szCs w:val="24"/>
          <w:lang w:val="en-US" w:eastAsia="zh-CN"/>
        </w:rPr>
        <w:t>未按合同约定付款，</w:t>
      </w:r>
      <w:r>
        <w:rPr>
          <w:rFonts w:hint="eastAsia" w:ascii="宋体" w:hAnsi="宋体" w:eastAsia="宋体" w:cs="宋体"/>
          <w:color w:val="333333"/>
          <w:kern w:val="0"/>
          <w:sz w:val="24"/>
          <w:szCs w:val="24"/>
        </w:rPr>
        <w:t>甲方</w:t>
      </w:r>
      <w:r>
        <w:rPr>
          <w:rFonts w:hint="eastAsia" w:ascii="宋体" w:hAnsi="宋体" w:eastAsia="宋体" w:cs="Times New Roman"/>
          <w:sz w:val="24"/>
          <w:szCs w:val="24"/>
        </w:rPr>
        <w:t>按合同价款总额</w:t>
      </w:r>
      <w:r>
        <w:rPr>
          <w:rFonts w:hint="eastAsia" w:ascii="宋体" w:hAnsi="宋体" w:eastAsia="宋体" w:cs="Times New Roman"/>
          <w:b/>
          <w:bCs/>
          <w:sz w:val="24"/>
          <w:szCs w:val="24"/>
        </w:rPr>
        <w:t>20</w:t>
      </w:r>
      <w:r>
        <w:rPr>
          <w:rFonts w:hint="eastAsia" w:ascii="宋体" w:hAnsi="宋体" w:eastAsia="宋体" w:cs="Times New Roman"/>
          <w:sz w:val="24"/>
          <w:szCs w:val="24"/>
        </w:rPr>
        <w:t>%计算支付</w:t>
      </w:r>
      <w:r>
        <w:rPr>
          <w:rFonts w:hint="eastAsia" w:ascii="宋体" w:hAnsi="宋体" w:eastAsia="宋体" w:cs="Times New Roman"/>
          <w:sz w:val="24"/>
          <w:szCs w:val="24"/>
          <w:lang w:val="en-US" w:eastAsia="zh-CN"/>
        </w:rPr>
        <w:t>乙方</w:t>
      </w:r>
      <w:r>
        <w:rPr>
          <w:rFonts w:hint="eastAsia" w:ascii="宋体" w:hAnsi="宋体" w:eastAsia="宋体" w:cs="Times New Roman"/>
          <w:sz w:val="24"/>
          <w:szCs w:val="24"/>
        </w:rPr>
        <w:t>违约金，</w:t>
      </w:r>
      <w:r>
        <w:rPr>
          <w:rFonts w:hint="eastAsia" w:ascii="宋体" w:hAnsi="宋体" w:eastAsia="宋体" w:cs="Times New Roman"/>
          <w:sz w:val="24"/>
          <w:szCs w:val="24"/>
          <w:lang w:val="en-US" w:eastAsia="zh-CN"/>
        </w:rPr>
        <w:t>乙方</w:t>
      </w:r>
      <w:r>
        <w:rPr>
          <w:rFonts w:hint="eastAsia" w:ascii="宋体" w:hAnsi="宋体" w:eastAsia="宋体" w:cs="Times New Roman"/>
          <w:sz w:val="24"/>
          <w:szCs w:val="24"/>
        </w:rPr>
        <w:t>有权解除合同</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乙方</w:t>
      </w:r>
      <w:r>
        <w:rPr>
          <w:rFonts w:hint="eastAsia" w:ascii="宋体" w:hAnsi="宋体" w:eastAsia="宋体" w:cs="Times New Roman"/>
          <w:sz w:val="24"/>
          <w:szCs w:val="24"/>
        </w:rPr>
        <w:t>以书面形式向甲方送达解除合同函件，并以送达之日为合同解除日。</w:t>
      </w:r>
    </w:p>
    <w:p w14:paraId="1D6BC1B5">
      <w:pPr>
        <w:adjustRightInd w:val="0"/>
        <w:snapToGrid w:val="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宋体"/>
          <w:color w:val="333333"/>
          <w:kern w:val="0"/>
          <w:sz w:val="24"/>
          <w:szCs w:val="24"/>
          <w:lang w:val="en-US" w:eastAsia="zh-CN"/>
        </w:rPr>
        <w:t>如果乙方未按合同约定完成交付义务，乙方</w:t>
      </w:r>
      <w:r>
        <w:rPr>
          <w:rFonts w:hint="eastAsia" w:ascii="宋体" w:hAnsi="宋体" w:eastAsia="宋体" w:cs="Times New Roman"/>
          <w:sz w:val="24"/>
          <w:szCs w:val="24"/>
        </w:rPr>
        <w:t>按合同价款总额</w:t>
      </w:r>
      <w:r>
        <w:rPr>
          <w:rFonts w:hint="eastAsia" w:ascii="宋体" w:hAnsi="宋体" w:eastAsia="宋体" w:cs="Times New Roman"/>
          <w:b/>
          <w:bCs/>
          <w:sz w:val="24"/>
          <w:szCs w:val="24"/>
        </w:rPr>
        <w:t>20</w:t>
      </w:r>
      <w:r>
        <w:rPr>
          <w:rFonts w:hint="eastAsia" w:ascii="宋体" w:hAnsi="宋体" w:eastAsia="宋体" w:cs="Times New Roman"/>
          <w:sz w:val="24"/>
          <w:szCs w:val="24"/>
        </w:rPr>
        <w:t>%计算支付</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违约金，</w:t>
      </w:r>
      <w:r>
        <w:rPr>
          <w:rFonts w:hint="eastAsia" w:ascii="宋体" w:hAnsi="宋体" w:eastAsia="宋体" w:cs="Times New Roman"/>
          <w:sz w:val="24"/>
          <w:szCs w:val="24"/>
          <w:lang w:val="en-US" w:eastAsia="zh-CN"/>
        </w:rPr>
        <w:t>甲方</w:t>
      </w:r>
      <w:r>
        <w:rPr>
          <w:rFonts w:hint="eastAsia" w:ascii="宋体" w:hAnsi="宋体" w:eastAsia="宋体" w:cs="Times New Roman"/>
          <w:sz w:val="24"/>
          <w:szCs w:val="24"/>
        </w:rPr>
        <w:t>有权解除合同</w:t>
      </w:r>
      <w:r>
        <w:rPr>
          <w:rFonts w:hint="eastAsia" w:ascii="宋体" w:hAnsi="宋体" w:eastAsia="宋体" w:cs="Times New Roman"/>
          <w:sz w:val="24"/>
          <w:szCs w:val="24"/>
          <w:lang w:eastAsia="zh-CN"/>
        </w:rPr>
        <w:t>。</w:t>
      </w:r>
      <w:r>
        <w:rPr>
          <w:rFonts w:hint="eastAsia" w:ascii="宋体" w:hAnsi="宋体" w:eastAsia="宋体" w:cs="Times New Roman"/>
          <w:sz w:val="24"/>
          <w:szCs w:val="24"/>
        </w:rPr>
        <w:t>甲方以书面形式向乙方送达解除合同函件，并以送达之日为合同解除日。</w:t>
      </w:r>
    </w:p>
    <w:p w14:paraId="412ABBBA">
      <w:pPr>
        <w:pageBreakBefore w:val="0"/>
        <w:widowControl w:val="0"/>
        <w:kinsoku/>
        <w:wordWrap/>
        <w:overflowPunct/>
        <w:topLinePunct w:val="0"/>
        <w:autoSpaceDE/>
        <w:autoSpaceDN/>
        <w:bidi w:val="0"/>
        <w:spacing w:line="24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color w:val="333333"/>
          <w:kern w:val="0"/>
          <w:sz w:val="24"/>
          <w:szCs w:val="24"/>
          <w:lang w:val="en-US" w:eastAsia="zh-CN"/>
        </w:rPr>
        <w:t>如果乙方擅自</w:t>
      </w:r>
      <w:r>
        <w:rPr>
          <w:rFonts w:hint="eastAsia" w:ascii="宋体" w:hAnsi="宋体" w:eastAsia="宋体" w:cs="宋体"/>
          <w:b w:val="0"/>
          <w:bCs w:val="0"/>
          <w:sz w:val="24"/>
          <w:szCs w:val="24"/>
        </w:rPr>
        <w:t>解除合同</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乙方</w:t>
      </w:r>
      <w:r>
        <w:rPr>
          <w:rFonts w:hint="eastAsia" w:ascii="宋体" w:hAnsi="宋体" w:eastAsia="宋体" w:cs="宋体"/>
          <w:b w:val="0"/>
          <w:bCs w:val="0"/>
          <w:sz w:val="24"/>
          <w:szCs w:val="24"/>
          <w:lang w:val="en-US" w:eastAsia="zh-CN"/>
        </w:rPr>
        <w:t>不得</w:t>
      </w:r>
      <w:r>
        <w:rPr>
          <w:rFonts w:hint="eastAsia" w:ascii="宋体" w:hAnsi="宋体" w:eastAsia="宋体" w:cs="宋体"/>
          <w:b w:val="0"/>
          <w:bCs w:val="0"/>
          <w:sz w:val="24"/>
          <w:szCs w:val="24"/>
        </w:rPr>
        <w:t>将</w:t>
      </w:r>
      <w:r>
        <w:rPr>
          <w:rFonts w:hint="eastAsia" w:ascii="宋体" w:hAnsi="宋体" w:eastAsia="宋体" w:cs="宋体"/>
          <w:b w:val="0"/>
          <w:bCs w:val="0"/>
          <w:sz w:val="24"/>
          <w:szCs w:val="24"/>
          <w:lang w:val="en-US" w:eastAsia="zh-CN"/>
        </w:rPr>
        <w:t>合同</w:t>
      </w:r>
      <w:r>
        <w:rPr>
          <w:rFonts w:hint="eastAsia" w:ascii="宋体" w:hAnsi="宋体" w:eastAsia="宋体" w:cs="宋体"/>
          <w:b w:val="0"/>
          <w:bCs w:val="0"/>
          <w:sz w:val="24"/>
          <w:szCs w:val="24"/>
        </w:rPr>
        <w:t>项下的</w:t>
      </w:r>
      <w:r>
        <w:rPr>
          <w:rFonts w:hint="eastAsia" w:ascii="宋体" w:hAnsi="宋体" w:eastAsia="宋体" w:cs="宋体"/>
          <w:b w:val="0"/>
          <w:bCs w:val="0"/>
          <w:sz w:val="24"/>
          <w:szCs w:val="24"/>
          <w:lang w:val="en-US" w:eastAsia="zh-CN"/>
        </w:rPr>
        <w:t>权利</w:t>
      </w:r>
      <w:r>
        <w:rPr>
          <w:rFonts w:hint="eastAsia" w:ascii="宋体" w:hAnsi="宋体" w:eastAsia="宋体" w:cs="宋体"/>
          <w:b w:val="0"/>
          <w:bCs w:val="0"/>
          <w:sz w:val="24"/>
          <w:szCs w:val="24"/>
        </w:rPr>
        <w:t>义务转</w:t>
      </w:r>
      <w:r>
        <w:rPr>
          <w:rFonts w:hint="eastAsia" w:ascii="宋体" w:hAnsi="宋体" w:eastAsia="宋体" w:cs="宋体"/>
          <w:b w:val="0"/>
          <w:bCs w:val="0"/>
          <w:sz w:val="24"/>
          <w:szCs w:val="24"/>
          <w:lang w:val="en-US" w:eastAsia="zh-CN"/>
        </w:rPr>
        <w:t>移</w:t>
      </w:r>
      <w:r>
        <w:rPr>
          <w:rFonts w:hint="eastAsia" w:ascii="宋体" w:hAnsi="宋体" w:eastAsia="宋体" w:cs="宋体"/>
          <w:b w:val="0"/>
          <w:bCs w:val="0"/>
          <w:sz w:val="24"/>
          <w:szCs w:val="24"/>
        </w:rPr>
        <w:t>给</w:t>
      </w:r>
      <w:r>
        <w:rPr>
          <w:rFonts w:hint="eastAsia" w:ascii="宋体" w:hAnsi="宋体" w:eastAsia="宋体" w:cs="宋体"/>
          <w:b w:val="0"/>
          <w:bCs w:val="0"/>
          <w:sz w:val="24"/>
          <w:szCs w:val="24"/>
          <w:lang w:val="en-US" w:eastAsia="zh-CN"/>
        </w:rPr>
        <w:t>第三</w:t>
      </w:r>
      <w:r>
        <w:rPr>
          <w:rFonts w:hint="eastAsia" w:ascii="宋体" w:hAnsi="宋体" w:eastAsia="宋体" w:cs="宋体"/>
          <w:b w:val="0"/>
          <w:bCs w:val="0"/>
          <w:color w:val="333333"/>
          <w:kern w:val="0"/>
          <w:sz w:val="24"/>
          <w:szCs w:val="24"/>
          <w:lang w:val="en-US" w:eastAsia="zh-CN"/>
        </w:rPr>
        <w:t>方</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否则视为</w:t>
      </w:r>
      <w:r>
        <w:rPr>
          <w:rFonts w:hint="eastAsia" w:ascii="宋体" w:hAnsi="宋体" w:eastAsia="宋体" w:cs="宋体"/>
          <w:b w:val="0"/>
          <w:bCs w:val="0"/>
          <w:color w:val="333333"/>
          <w:kern w:val="0"/>
          <w:sz w:val="24"/>
          <w:szCs w:val="24"/>
          <w:lang w:val="en-US" w:eastAsia="zh-CN"/>
        </w:rPr>
        <w:t>乙方擅自</w:t>
      </w:r>
      <w:r>
        <w:rPr>
          <w:rFonts w:hint="eastAsia" w:ascii="宋体" w:hAnsi="宋体" w:eastAsia="宋体" w:cs="宋体"/>
          <w:b w:val="0"/>
          <w:bCs w:val="0"/>
          <w:sz w:val="24"/>
          <w:szCs w:val="24"/>
        </w:rPr>
        <w:t>解除合同。</w:t>
      </w:r>
    </w:p>
    <w:p w14:paraId="70F12FDB">
      <w:pPr>
        <w:pStyle w:val="2"/>
        <w:pageBreakBefore w:val="0"/>
        <w:widowControl w:val="0"/>
        <w:kinsoku/>
        <w:wordWrap/>
        <w:overflowPunct/>
        <w:topLinePunct w:val="0"/>
        <w:autoSpaceDE/>
        <w:autoSpaceDN/>
        <w:bidi w:val="0"/>
        <w:spacing w:before="0" w:after="0"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color w:val="333333"/>
          <w:kern w:val="0"/>
          <w:sz w:val="24"/>
          <w:szCs w:val="24"/>
          <w:lang w:val="en-US" w:eastAsia="zh-CN"/>
        </w:rPr>
        <w:t>如果乙方违反</w:t>
      </w:r>
      <w:r>
        <w:rPr>
          <w:rFonts w:hint="eastAsia" w:ascii="宋体" w:hAnsi="宋体" w:eastAsia="宋体" w:cs="宋体"/>
          <w:b w:val="0"/>
          <w:bCs w:val="0"/>
          <w:sz w:val="24"/>
          <w:szCs w:val="24"/>
        </w:rPr>
        <w:t>售后服务</w:t>
      </w:r>
      <w:r>
        <w:rPr>
          <w:rFonts w:hint="eastAsia" w:ascii="宋体" w:hAnsi="宋体" w:eastAsia="宋体" w:cs="宋体"/>
          <w:b w:val="0"/>
          <w:bCs w:val="0"/>
          <w:sz w:val="24"/>
          <w:szCs w:val="24"/>
          <w:lang w:val="en-US" w:eastAsia="zh-CN"/>
        </w:rPr>
        <w:t>约定，</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rPr>
        <w:t>20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val="en-US" w:eastAsia="zh-CN"/>
        </w:rPr>
        <w:t>并赔偿损失。</w:t>
      </w:r>
    </w:p>
    <w:p w14:paraId="18A406E8">
      <w:pPr>
        <w:pStyle w:val="2"/>
        <w:pageBreakBefore w:val="0"/>
        <w:widowControl w:val="0"/>
        <w:kinsoku/>
        <w:wordWrap/>
        <w:overflowPunct/>
        <w:topLinePunct w:val="0"/>
        <w:autoSpaceDE/>
        <w:autoSpaceDN/>
        <w:bidi w:val="0"/>
        <w:spacing w:before="0" w:after="0" w:line="240" w:lineRule="auto"/>
        <w:textAlignment w:val="auto"/>
        <w:rPr>
          <w:rFonts w:hint="eastAsia"/>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color w:val="333333"/>
          <w:kern w:val="0"/>
          <w:sz w:val="24"/>
          <w:szCs w:val="24"/>
          <w:lang w:val="en-US" w:eastAsia="zh-CN"/>
        </w:rPr>
        <w:t>如果乙方违反其他合同</w:t>
      </w:r>
      <w:r>
        <w:rPr>
          <w:rFonts w:hint="eastAsia" w:ascii="宋体" w:hAnsi="宋体" w:eastAsia="宋体" w:cs="宋体"/>
          <w:b w:val="0"/>
          <w:bCs w:val="0"/>
          <w:sz w:val="24"/>
          <w:szCs w:val="24"/>
          <w:lang w:val="en-US" w:eastAsia="zh-CN"/>
        </w:rPr>
        <w:t>约定，</w:t>
      </w:r>
      <w:r>
        <w:rPr>
          <w:rFonts w:hint="eastAsia" w:ascii="宋体" w:hAnsi="宋体" w:eastAsia="宋体" w:cs="宋体"/>
          <w:b w:val="0"/>
          <w:bCs w:val="0"/>
          <w:color w:val="333333"/>
          <w:kern w:val="0"/>
          <w:sz w:val="24"/>
          <w:szCs w:val="24"/>
          <w:lang w:val="en-US" w:eastAsia="zh-CN"/>
        </w:rPr>
        <w:t>乙方</w:t>
      </w:r>
      <w:r>
        <w:rPr>
          <w:rFonts w:hint="eastAsia" w:ascii="宋体" w:hAnsi="宋体" w:eastAsia="宋体" w:cs="宋体"/>
          <w:b w:val="0"/>
          <w:bCs w:val="0"/>
          <w:sz w:val="24"/>
          <w:szCs w:val="24"/>
        </w:rPr>
        <w:t>按合同价款总额</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0</w:t>
      </w:r>
      <w:r>
        <w:rPr>
          <w:rFonts w:hint="eastAsia" w:ascii="宋体" w:hAnsi="宋体" w:eastAsia="宋体" w:cs="宋体"/>
          <w:b w:val="0"/>
          <w:bCs w:val="0"/>
          <w:sz w:val="24"/>
          <w:szCs w:val="24"/>
        </w:rPr>
        <w:t>%计算支付</w:t>
      </w:r>
      <w:r>
        <w:rPr>
          <w:rFonts w:hint="eastAsia" w:ascii="宋体" w:hAnsi="宋体" w:eastAsia="宋体" w:cs="宋体"/>
          <w:b w:val="0"/>
          <w:bCs w:val="0"/>
          <w:sz w:val="24"/>
          <w:szCs w:val="24"/>
          <w:lang w:val="en-US" w:eastAsia="zh-CN"/>
        </w:rPr>
        <w:t>甲方</w:t>
      </w:r>
      <w:r>
        <w:rPr>
          <w:rFonts w:hint="eastAsia" w:ascii="宋体" w:hAnsi="宋体" w:eastAsia="宋体" w:cs="宋体"/>
          <w:b w:val="0"/>
          <w:bCs w:val="0"/>
          <w:sz w:val="24"/>
          <w:szCs w:val="24"/>
        </w:rPr>
        <w:t>违约金，</w:t>
      </w:r>
      <w:r>
        <w:rPr>
          <w:rFonts w:hint="eastAsia" w:ascii="宋体" w:hAnsi="宋体" w:eastAsia="宋体" w:cs="宋体"/>
          <w:b w:val="0"/>
          <w:bCs w:val="0"/>
          <w:sz w:val="24"/>
          <w:szCs w:val="24"/>
          <w:lang w:val="en-US" w:eastAsia="zh-CN"/>
        </w:rPr>
        <w:t>并赔偿损失。</w:t>
      </w:r>
    </w:p>
    <w:p w14:paraId="76A66B2E">
      <w:pPr>
        <w:rPr>
          <w:rFonts w:hint="default" w:ascii="Times New Roman" w:hAnsi="Times New Roman" w:eastAsia="宋体" w:cs="Times New Roman"/>
          <w:szCs w:val="24"/>
          <w:lang w:val="en-US" w:eastAsia="zh-CN"/>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6甲方有权以乙方的</w:t>
      </w:r>
      <w:r>
        <w:rPr>
          <w:rFonts w:hint="eastAsia" w:ascii="宋体" w:hAnsi="宋体" w:eastAsia="宋体" w:cs="Times New Roman"/>
          <w:sz w:val="24"/>
          <w:szCs w:val="24"/>
        </w:rPr>
        <w:t>履约保证金</w:t>
      </w:r>
      <w:r>
        <w:rPr>
          <w:rFonts w:hint="eastAsia" w:ascii="宋体" w:hAnsi="宋体" w:eastAsia="宋体" w:cs="Times New Roman"/>
          <w:sz w:val="24"/>
          <w:szCs w:val="24"/>
          <w:lang w:val="en-US" w:eastAsia="zh-CN"/>
        </w:rPr>
        <w:t>优先抵</w:t>
      </w:r>
      <w:r>
        <w:rPr>
          <w:rFonts w:hint="eastAsia" w:ascii="宋体" w:hAnsi="宋体" w:eastAsia="宋体" w:cs="Times New Roman"/>
          <w:sz w:val="24"/>
          <w:szCs w:val="24"/>
        </w:rPr>
        <w:t>扣</w:t>
      </w:r>
      <w:r>
        <w:rPr>
          <w:rFonts w:hint="eastAsia" w:ascii="宋体" w:hAnsi="宋体" w:eastAsia="宋体" w:cs="Times New Roman"/>
          <w:sz w:val="24"/>
          <w:szCs w:val="24"/>
          <w:lang w:val="en-US" w:eastAsia="zh-CN"/>
        </w:rPr>
        <w:t>违约金、赔偿损失，合同终止后</w:t>
      </w:r>
      <w:r>
        <w:rPr>
          <w:rFonts w:hint="eastAsia" w:ascii="宋体" w:hAnsi="宋体" w:eastAsia="宋体" w:cs="Times New Roman"/>
          <w:sz w:val="24"/>
          <w:szCs w:val="24"/>
        </w:rPr>
        <w:t>无息退回</w:t>
      </w:r>
      <w:r>
        <w:rPr>
          <w:rFonts w:hint="eastAsia" w:ascii="宋体" w:hAnsi="宋体" w:eastAsia="宋体" w:cs="Times New Roman"/>
          <w:sz w:val="24"/>
          <w:szCs w:val="24"/>
          <w:lang w:val="en-US" w:eastAsia="zh-CN"/>
        </w:rPr>
        <w:t>乙方剩余</w:t>
      </w:r>
      <w:r>
        <w:rPr>
          <w:rFonts w:hint="eastAsia" w:ascii="宋体" w:hAnsi="宋体" w:eastAsia="宋体" w:cs="Times New Roman"/>
          <w:sz w:val="24"/>
          <w:szCs w:val="24"/>
        </w:rPr>
        <w:t>履约保证金</w:t>
      </w:r>
      <w:r>
        <w:rPr>
          <w:rFonts w:hint="eastAsia" w:ascii="宋体" w:hAnsi="宋体" w:eastAsia="宋体" w:cs="Times New Roman"/>
          <w:sz w:val="24"/>
          <w:szCs w:val="24"/>
          <w:lang w:val="en-US" w:eastAsia="zh-CN"/>
        </w:rPr>
        <w:t>。</w:t>
      </w:r>
    </w:p>
    <w:p w14:paraId="482A0E7A">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十七、</w:t>
      </w:r>
      <w:r>
        <w:rPr>
          <w:rFonts w:hint="eastAsia" w:ascii="宋体" w:hAnsi="宋体" w:eastAsia="宋体" w:cs="宋体"/>
          <w:b/>
          <w:bCs/>
          <w:sz w:val="24"/>
          <w:szCs w:val="24"/>
        </w:rPr>
        <w:t>解决争议的方法</w:t>
      </w:r>
      <w:r>
        <w:rPr>
          <w:rFonts w:hint="eastAsia" w:ascii="宋体" w:hAnsi="宋体" w:eastAsia="宋体" w:cs="宋体"/>
          <w:b w:val="0"/>
          <w:bCs w:val="0"/>
          <w:sz w:val="24"/>
          <w:szCs w:val="24"/>
        </w:rPr>
        <w:t xml:space="preserve"> </w:t>
      </w:r>
    </w:p>
    <w:p w14:paraId="7C4B4495">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.1 甲、乙双方协商解决。 </w:t>
      </w:r>
    </w:p>
    <w:p w14:paraId="10980845">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.2 若协商解决不成，则通过下列途径之一解决： </w:t>
      </w:r>
    </w:p>
    <w:p w14:paraId="694DF55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□提交仲裁委员会仲裁，具体如下：（按照实际情况编制填写）。 </w:t>
      </w:r>
    </w:p>
    <w:p w14:paraId="10493279">
      <w:pPr>
        <w:pStyle w:val="2"/>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rPr>
      </w:pPr>
      <w:r>
        <w:rPr>
          <w:rFonts w:hint="eastAsia" w:ascii="宋体" w:hAnsi="宋体" w:eastAsia="宋体" w:cs="宋体"/>
          <w:sz w:val="24"/>
        </w:rPr>
        <w:t>☑</w:t>
      </w:r>
      <w:r>
        <w:rPr>
          <w:rFonts w:hint="eastAsia" w:ascii="宋体" w:hAnsi="宋体" w:eastAsia="宋体" w:cs="宋体"/>
          <w:b w:val="0"/>
          <w:bCs w:val="0"/>
          <w:sz w:val="24"/>
        </w:rPr>
        <w:t>向连城县人民法院提起诉讼，具体如下：因违约而引起的费用（包括但不限于诉讼费用、财产保全</w:t>
      </w:r>
      <w:r>
        <w:rPr>
          <w:rFonts w:hint="eastAsia" w:ascii="宋体" w:hAnsi="宋体" w:eastAsia="宋体" w:cs="宋体"/>
          <w:b w:val="0"/>
          <w:bCs w:val="0"/>
          <w:sz w:val="24"/>
          <w:lang w:val="en-US" w:eastAsia="zh-CN"/>
        </w:rPr>
        <w:t>担</w:t>
      </w:r>
      <w:r>
        <w:rPr>
          <w:rFonts w:hint="eastAsia" w:ascii="宋体" w:hAnsi="宋体" w:eastAsia="宋体" w:cs="宋体"/>
          <w:b w:val="0"/>
          <w:bCs w:val="0"/>
          <w:sz w:val="24"/>
        </w:rPr>
        <w:t>保费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、交通费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、差旅费、鉴定费、公证费、律师费</w:t>
      </w:r>
      <w:r>
        <w:rPr>
          <w:rFonts w:hint="eastAsia" w:ascii="宋体" w:hAnsi="宋体" w:eastAsia="宋体" w:cs="宋体"/>
          <w:b w:val="0"/>
          <w:bCs w:val="0"/>
          <w:sz w:val="24"/>
          <w:lang w:val="en-US" w:eastAsia="zh-CN"/>
        </w:rPr>
        <w:t>用</w:t>
      </w:r>
      <w:r>
        <w:rPr>
          <w:rFonts w:hint="eastAsia" w:ascii="宋体" w:hAnsi="宋体" w:eastAsia="宋体" w:cs="宋体"/>
          <w:b w:val="0"/>
          <w:bCs w:val="0"/>
          <w:sz w:val="24"/>
        </w:rPr>
        <w:t>等相关费用），由违约方承担。</w:t>
      </w:r>
    </w:p>
    <w:p w14:paraId="6B6D390C">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十八、</w:t>
      </w:r>
      <w:r>
        <w:rPr>
          <w:rFonts w:hint="eastAsia" w:ascii="宋体" w:hAnsi="宋体" w:eastAsia="宋体" w:cs="宋体"/>
          <w:b/>
          <w:bCs/>
          <w:sz w:val="24"/>
          <w:szCs w:val="24"/>
        </w:rPr>
        <w:t>其他约定</w:t>
      </w:r>
      <w:r>
        <w:rPr>
          <w:rFonts w:hint="eastAsia" w:ascii="宋体" w:hAnsi="宋体" w:eastAsia="宋体" w:cs="宋体"/>
          <w:sz w:val="24"/>
          <w:szCs w:val="24"/>
        </w:rPr>
        <w:t xml:space="preserve"> </w:t>
      </w:r>
    </w:p>
    <w:p w14:paraId="037134B4">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.1 合同</w:t>
      </w:r>
      <w:r>
        <w:rPr>
          <w:rFonts w:hint="eastAsia" w:ascii="宋体" w:hAnsi="宋体" w:eastAsia="宋体" w:cs="宋体"/>
          <w:sz w:val="24"/>
          <w:szCs w:val="24"/>
          <w:lang w:val="en-US" w:eastAsia="zh-CN"/>
        </w:rPr>
        <w:t>附</w:t>
      </w:r>
      <w:r>
        <w:rPr>
          <w:rFonts w:hint="eastAsia" w:ascii="宋体" w:hAnsi="宋体" w:eastAsia="宋体" w:cs="宋体"/>
          <w:sz w:val="24"/>
          <w:szCs w:val="24"/>
        </w:rPr>
        <w:t xml:space="preserve">件与本合同具有同等法律效力。 </w:t>
      </w:r>
    </w:p>
    <w:p w14:paraId="396A41AF">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.2 本合同未尽事宜，双方可另行补充。 </w:t>
      </w:r>
    </w:p>
    <w:p w14:paraId="4C9B4193">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.3 本合同</w:t>
      </w:r>
      <w:r>
        <w:rPr>
          <w:rFonts w:hint="eastAsia" w:ascii="宋体" w:hAnsi="宋体" w:eastAsia="宋体" w:cs="宋体"/>
          <w:snapToGrid w:val="0"/>
          <w:color w:val="000000"/>
          <w:spacing w:val="-10"/>
          <w:kern w:val="0"/>
          <w:sz w:val="24"/>
          <w:szCs w:val="24"/>
          <w:lang w:eastAsia="en-US"/>
        </w:rPr>
        <w:t>自甲乙双方签</w:t>
      </w:r>
      <w:r>
        <w:rPr>
          <w:rFonts w:hint="eastAsia" w:ascii="宋体" w:hAnsi="宋体" w:eastAsia="宋体" w:cs="宋体"/>
          <w:snapToGrid w:val="0"/>
          <w:color w:val="000000"/>
          <w:spacing w:val="-10"/>
          <w:kern w:val="0"/>
          <w:sz w:val="24"/>
          <w:szCs w:val="24"/>
          <w:lang w:val="en-US" w:eastAsia="zh-CN"/>
        </w:rPr>
        <w:t>字并盖</w:t>
      </w:r>
      <w:r>
        <w:rPr>
          <w:rFonts w:hint="eastAsia" w:ascii="宋体" w:hAnsi="宋体" w:eastAsia="宋体" w:cs="宋体"/>
          <w:snapToGrid w:val="0"/>
          <w:color w:val="000000"/>
          <w:spacing w:val="-10"/>
          <w:kern w:val="0"/>
          <w:sz w:val="24"/>
          <w:szCs w:val="24"/>
          <w:lang w:eastAsia="en-US"/>
        </w:rPr>
        <w:t>章后生效</w:t>
      </w:r>
      <w:r>
        <w:rPr>
          <w:rFonts w:hint="eastAsia" w:ascii="宋体" w:hAnsi="宋体" w:eastAsia="宋体" w:cs="宋体"/>
          <w:sz w:val="24"/>
          <w:szCs w:val="24"/>
        </w:rPr>
        <w:t xml:space="preserve">。 </w:t>
      </w:r>
    </w:p>
    <w:p w14:paraId="1B61FAAF">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.4 本合同一式</w:t>
      </w:r>
      <w:r>
        <w:rPr>
          <w:rFonts w:hint="eastAsia" w:ascii="宋体" w:hAnsi="宋体" w:eastAsia="宋体" w:cs="宋体"/>
          <w:sz w:val="24"/>
          <w:szCs w:val="24"/>
          <w:u w:val="none"/>
          <w:lang w:val="en-US" w:eastAsia="zh-CN"/>
        </w:rPr>
        <w:t>二</w:t>
      </w:r>
      <w:r>
        <w:rPr>
          <w:rFonts w:hint="eastAsia" w:ascii="宋体" w:hAnsi="宋体" w:eastAsia="宋体" w:cs="宋体"/>
          <w:sz w:val="24"/>
          <w:szCs w:val="24"/>
        </w:rPr>
        <w:t>份，甲方、乙方各执一份，具有同等</w:t>
      </w:r>
      <w:r>
        <w:rPr>
          <w:rFonts w:hint="eastAsia" w:ascii="宋体" w:hAnsi="宋体" w:eastAsia="宋体" w:cs="宋体"/>
          <w:sz w:val="24"/>
          <w:szCs w:val="24"/>
          <w:lang w:val="en-US" w:eastAsia="zh-CN"/>
        </w:rPr>
        <w:t>法律</w:t>
      </w:r>
      <w:r>
        <w:rPr>
          <w:rFonts w:hint="eastAsia" w:ascii="宋体" w:hAnsi="宋体" w:eastAsia="宋体" w:cs="宋体"/>
          <w:sz w:val="24"/>
          <w:szCs w:val="24"/>
        </w:rPr>
        <w:t xml:space="preserve">效力。 </w:t>
      </w:r>
    </w:p>
    <w:p w14:paraId="3948B554">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.5 其他：□无。□（按照实际情况编制填写需要增加的内容）。 </w:t>
      </w:r>
    </w:p>
    <w:p w14:paraId="64085FF7">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（以下无正文） </w:t>
      </w:r>
    </w:p>
    <w:p w14:paraId="6D51CDC9">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p>
    <w:p w14:paraId="009F9862">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甲方：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 </w:t>
      </w:r>
    </w:p>
    <w:p w14:paraId="0D5FD80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单位负责人：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单位负责人： </w:t>
      </w:r>
    </w:p>
    <w:p w14:paraId="0B914C5B">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委托代理人： </w:t>
      </w:r>
    </w:p>
    <w:p w14:paraId="7ACB6720">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p>
    <w:p w14:paraId="47955241">
      <w:pPr>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签订日期：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签订日期：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4419CD69">
      <w:pPr>
        <w:pStyle w:val="11"/>
        <w:spacing w:before="75" w:beforeAutospacing="0" w:after="75" w:afterAutospacing="0" w:line="360" w:lineRule="auto"/>
        <w:rPr>
          <w:rFonts w:asciiTheme="minorEastAsia" w:hAnsiTheme="minorEastAsia" w:eastAsiaTheme="minorEastAsia" w:cstheme="minorEastAsia"/>
          <w:color w:val="auto"/>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MS Mincho">
    <w:altName w:val="MS UI Gothic"/>
    <w:panose1 w:val="02020609040205080304"/>
    <w:charset w:val="8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3"/>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92509"/>
    <w:rsid w:val="0114696D"/>
    <w:rsid w:val="01A0095C"/>
    <w:rsid w:val="02083A0E"/>
    <w:rsid w:val="025874A5"/>
    <w:rsid w:val="02AE00E7"/>
    <w:rsid w:val="02BA3F8E"/>
    <w:rsid w:val="034677B9"/>
    <w:rsid w:val="039B541A"/>
    <w:rsid w:val="05DA79C7"/>
    <w:rsid w:val="07100621"/>
    <w:rsid w:val="07D50D0A"/>
    <w:rsid w:val="080E1768"/>
    <w:rsid w:val="08174AFA"/>
    <w:rsid w:val="08512C9F"/>
    <w:rsid w:val="08F12A2E"/>
    <w:rsid w:val="091F4B4B"/>
    <w:rsid w:val="0992356F"/>
    <w:rsid w:val="0A2F0DBE"/>
    <w:rsid w:val="0C71390F"/>
    <w:rsid w:val="0D7511DD"/>
    <w:rsid w:val="0DDA54E4"/>
    <w:rsid w:val="0E2C1A05"/>
    <w:rsid w:val="0E97237F"/>
    <w:rsid w:val="0FE577B4"/>
    <w:rsid w:val="1001144E"/>
    <w:rsid w:val="125C471A"/>
    <w:rsid w:val="13761663"/>
    <w:rsid w:val="166C0A45"/>
    <w:rsid w:val="168B3880"/>
    <w:rsid w:val="16B214E4"/>
    <w:rsid w:val="17BB7C54"/>
    <w:rsid w:val="1AF37BE5"/>
    <w:rsid w:val="1BFD0480"/>
    <w:rsid w:val="1CB762EC"/>
    <w:rsid w:val="1E997F5A"/>
    <w:rsid w:val="1F986481"/>
    <w:rsid w:val="20803CC9"/>
    <w:rsid w:val="21E169EA"/>
    <w:rsid w:val="226507F4"/>
    <w:rsid w:val="227C4BFC"/>
    <w:rsid w:val="22CB7D75"/>
    <w:rsid w:val="22E35DC7"/>
    <w:rsid w:val="246357E2"/>
    <w:rsid w:val="25B14925"/>
    <w:rsid w:val="264F248B"/>
    <w:rsid w:val="26913018"/>
    <w:rsid w:val="27BD3A55"/>
    <w:rsid w:val="28A83746"/>
    <w:rsid w:val="28DA4193"/>
    <w:rsid w:val="290520D8"/>
    <w:rsid w:val="29722475"/>
    <w:rsid w:val="299B7DC6"/>
    <w:rsid w:val="2AEB24EE"/>
    <w:rsid w:val="2B92177E"/>
    <w:rsid w:val="2BDB5197"/>
    <w:rsid w:val="2D39592C"/>
    <w:rsid w:val="2EDD56DA"/>
    <w:rsid w:val="2F3F2FA2"/>
    <w:rsid w:val="303411DC"/>
    <w:rsid w:val="31D67EB0"/>
    <w:rsid w:val="322C5A5F"/>
    <w:rsid w:val="339E0BDF"/>
    <w:rsid w:val="34192013"/>
    <w:rsid w:val="34D66156"/>
    <w:rsid w:val="35E37C66"/>
    <w:rsid w:val="36323860"/>
    <w:rsid w:val="37797999"/>
    <w:rsid w:val="3802063D"/>
    <w:rsid w:val="38543F62"/>
    <w:rsid w:val="393F251C"/>
    <w:rsid w:val="3A1C285D"/>
    <w:rsid w:val="3AF410E4"/>
    <w:rsid w:val="3B710987"/>
    <w:rsid w:val="3C4D7662"/>
    <w:rsid w:val="3CB7061B"/>
    <w:rsid w:val="3CC179FF"/>
    <w:rsid w:val="3E467EA9"/>
    <w:rsid w:val="3F8C5D8F"/>
    <w:rsid w:val="40CF4CC3"/>
    <w:rsid w:val="411B561D"/>
    <w:rsid w:val="41E81277"/>
    <w:rsid w:val="43EA7528"/>
    <w:rsid w:val="446E1F07"/>
    <w:rsid w:val="44A21BB1"/>
    <w:rsid w:val="47393714"/>
    <w:rsid w:val="47543636"/>
    <w:rsid w:val="475A5FE3"/>
    <w:rsid w:val="478972AF"/>
    <w:rsid w:val="48995FEF"/>
    <w:rsid w:val="493C25D4"/>
    <w:rsid w:val="4A174A8F"/>
    <w:rsid w:val="4AB443EC"/>
    <w:rsid w:val="4B72052F"/>
    <w:rsid w:val="4C0D3FFB"/>
    <w:rsid w:val="4C800A2A"/>
    <w:rsid w:val="50794549"/>
    <w:rsid w:val="516A3A56"/>
    <w:rsid w:val="51BD6537"/>
    <w:rsid w:val="52623FB6"/>
    <w:rsid w:val="52896FF7"/>
    <w:rsid w:val="542B3EEF"/>
    <w:rsid w:val="54F95460"/>
    <w:rsid w:val="558C043F"/>
    <w:rsid w:val="58393655"/>
    <w:rsid w:val="5898534D"/>
    <w:rsid w:val="591E1CF6"/>
    <w:rsid w:val="59376F02"/>
    <w:rsid w:val="5A3B0686"/>
    <w:rsid w:val="5C732614"/>
    <w:rsid w:val="5D081E82"/>
    <w:rsid w:val="5D1C319C"/>
    <w:rsid w:val="5D211DB5"/>
    <w:rsid w:val="5DFD637E"/>
    <w:rsid w:val="5FCD1D80"/>
    <w:rsid w:val="61137C66"/>
    <w:rsid w:val="61AF4C4A"/>
    <w:rsid w:val="626F35C2"/>
    <w:rsid w:val="63690012"/>
    <w:rsid w:val="63BA6ABF"/>
    <w:rsid w:val="64C179D9"/>
    <w:rsid w:val="660C7EBD"/>
    <w:rsid w:val="66154481"/>
    <w:rsid w:val="67393D61"/>
    <w:rsid w:val="68525518"/>
    <w:rsid w:val="699D27C3"/>
    <w:rsid w:val="6B0D0D45"/>
    <w:rsid w:val="6B4A616F"/>
    <w:rsid w:val="6C327132"/>
    <w:rsid w:val="6C6972D4"/>
    <w:rsid w:val="6F3B6D06"/>
    <w:rsid w:val="6FA523D2"/>
    <w:rsid w:val="6FA63AB6"/>
    <w:rsid w:val="70002AE5"/>
    <w:rsid w:val="70E9661A"/>
    <w:rsid w:val="710B2708"/>
    <w:rsid w:val="71E371E1"/>
    <w:rsid w:val="73625832"/>
    <w:rsid w:val="741C69DA"/>
    <w:rsid w:val="75B01893"/>
    <w:rsid w:val="76B40C43"/>
    <w:rsid w:val="77E65C7D"/>
    <w:rsid w:val="7873672C"/>
    <w:rsid w:val="78BE1C2F"/>
    <w:rsid w:val="79A61220"/>
    <w:rsid w:val="79B3393D"/>
    <w:rsid w:val="7AB83901"/>
    <w:rsid w:val="7B194C9A"/>
    <w:rsid w:val="7C2A25D8"/>
    <w:rsid w:val="7C6B04FF"/>
    <w:rsid w:val="7CC06A9D"/>
    <w:rsid w:val="7E483361"/>
    <w:rsid w:val="7F0361DD"/>
    <w:rsid w:val="7F323556"/>
    <w:rsid w:val="7F9C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2">
    <w:name w:val="heading 4"/>
    <w:next w:val="1"/>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39"/>
    <w:pPr>
      <w:spacing w:before="120" w:after="120"/>
      <w:jc w:val="left"/>
    </w:pPr>
    <w:rPr>
      <w:rFonts w:ascii="Calibri" w:hAnsi="Calibri"/>
      <w:b/>
      <w:bCs/>
      <w:caps/>
      <w:sz w:val="20"/>
    </w:rPr>
  </w:style>
  <w:style w:type="paragraph" w:styleId="10">
    <w:name w:val="Body Text Indent 3"/>
    <w:basedOn w:val="1"/>
    <w:unhideWhenUsed/>
    <w:qFormat/>
    <w:uiPriority w:val="99"/>
    <w:pPr>
      <w:spacing w:after="120"/>
      <w:ind w:left="420" w:leftChars="200"/>
    </w:pPr>
    <w:rPr>
      <w:kern w:val="2"/>
      <w:sz w:val="16"/>
      <w:szCs w:val="16"/>
    </w:rPr>
  </w:style>
  <w:style w:type="paragraph" w:styleId="11">
    <w:name w:val="Normal (Web)"/>
    <w:basedOn w:val="1"/>
    <w:next w:val="12"/>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9">
    <w:name w:val="样式3"/>
    <w:basedOn w:val="6"/>
    <w:qFormat/>
    <w:uiPriority w:val="0"/>
    <w:pPr>
      <w:spacing w:line="0" w:lineRule="atLeast"/>
      <w:outlineLvl w:val="0"/>
    </w:pPr>
    <w:rPr>
      <w:sz w:val="2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character" w:customStyle="1" w:styleId="21">
    <w:name w:val="font71"/>
    <w:qFormat/>
    <w:uiPriority w:val="0"/>
    <w:rPr>
      <w:rFonts w:hint="eastAsia" w:ascii="宋体" w:hAnsi="宋体" w:eastAsia="宋体" w:cs="宋体"/>
      <w:b/>
      <w:bCs/>
      <w:color w:val="000000"/>
      <w:sz w:val="28"/>
      <w:szCs w:val="28"/>
      <w:u w:val="none"/>
    </w:rPr>
  </w:style>
  <w:style w:type="character" w:customStyle="1" w:styleId="22">
    <w:name w:val="font11"/>
    <w:qFormat/>
    <w:uiPriority w:val="0"/>
    <w:rPr>
      <w:rFonts w:hint="eastAsia" w:ascii="宋体" w:hAnsi="宋体" w:eastAsia="宋体" w:cs="宋体"/>
      <w:color w:val="000000"/>
      <w:sz w:val="28"/>
      <w:szCs w:val="28"/>
      <w:u w:val="none"/>
    </w:rPr>
  </w:style>
  <w:style w:type="character" w:customStyle="1" w:styleId="23">
    <w:name w:val="font141"/>
    <w:qFormat/>
    <w:uiPriority w:val="0"/>
    <w:rPr>
      <w:rFonts w:hint="eastAsia" w:ascii="宋体" w:hAnsi="宋体" w:eastAsia="宋体" w:cs="宋体"/>
      <w:b/>
      <w:bCs/>
      <w:color w:val="000000"/>
      <w:sz w:val="28"/>
      <w:szCs w:val="28"/>
      <w:u w:val="none"/>
    </w:rPr>
  </w:style>
  <w:style w:type="character" w:customStyle="1" w:styleId="24">
    <w:name w:val="font8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8198</Words>
  <Characters>8698</Characters>
  <Lines>0</Lines>
  <Paragraphs>0</Paragraphs>
  <TotalTime>0</TotalTime>
  <ScaleCrop>false</ScaleCrop>
  <LinksUpToDate>false</LinksUpToDate>
  <CharactersWithSpaces>9034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2025-10-21T08:26:13Z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