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705F8">
      <w:pPr>
        <w:widowControl/>
        <w:spacing w:line="520" w:lineRule="exact"/>
        <w:ind w:firstLine="482" w:firstLineChars="20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网络竞价须知</w:t>
      </w:r>
    </w:p>
    <w:p w14:paraId="25ACBFBB">
      <w:pPr>
        <w:widowControl/>
        <w:spacing w:line="520" w:lineRule="exact"/>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color w:val="0000FF"/>
          <w:sz w:val="24"/>
          <w:szCs w:val="24"/>
        </w:rPr>
        <w:t>LCCQJJ202510</w:t>
      </w:r>
      <w:r>
        <w:rPr>
          <w:rFonts w:hint="eastAsia" w:asciiTheme="minorEastAsia" w:hAnsiTheme="minorEastAsia" w:eastAsiaTheme="minorEastAsia" w:cstheme="minorEastAsia"/>
          <w:color w:val="0000FF"/>
          <w:sz w:val="24"/>
          <w:szCs w:val="24"/>
          <w:lang w:val="en-US" w:eastAsia="zh-CN"/>
        </w:rPr>
        <w:t>31</w:t>
      </w:r>
      <w:r>
        <w:rPr>
          <w:rFonts w:hint="eastAsia" w:asciiTheme="minorEastAsia" w:hAnsiTheme="minorEastAsia" w:eastAsiaTheme="minorEastAsia" w:cstheme="minorEastAsia"/>
          <w:sz w:val="24"/>
          <w:szCs w:val="24"/>
        </w:rPr>
        <w:t>）</w:t>
      </w:r>
    </w:p>
    <w:p w14:paraId="6F442B18">
      <w:pPr>
        <w:widowControl/>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连城县国有资产产权交易服务有限公司（以下简称本公司）遵循“公开、公平、公正、诚实信用”的原则，依照国家法律、法规、政策为本次竞价活动提供服务。现将有关竞价事项告知如下：</w:t>
      </w:r>
    </w:p>
    <w:p w14:paraId="25362078">
      <w:pPr>
        <w:widowControl/>
        <w:spacing w:line="52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一、公开竞价、报名时间、地点</w:t>
      </w:r>
    </w:p>
    <w:p w14:paraId="28887309">
      <w:pPr>
        <w:widowControl/>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竞价截止时间：2025年10月</w:t>
      </w: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日 上午10:00。</w:t>
      </w:r>
    </w:p>
    <w:p w14:paraId="15B1F923">
      <w:pPr>
        <w:widowControl/>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竞价地点：连城县招标投标交易平台（https://lcyjy.enjoy5191.com/home）</w:t>
      </w:r>
    </w:p>
    <w:p w14:paraId="67AF7786">
      <w:pPr>
        <w:widowControl/>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报名截止时间：2025年10月</w:t>
      </w:r>
      <w:r>
        <w:rPr>
          <w:rFonts w:hint="eastAsia" w:asciiTheme="minorEastAsia" w:hAnsiTheme="minorEastAsia" w:eastAsiaTheme="minorEastAsia" w:cstheme="minorEastAsia"/>
          <w:sz w:val="24"/>
          <w:szCs w:val="24"/>
          <w:lang w:val="en-US" w:eastAsia="zh-CN"/>
        </w:rPr>
        <w:t>31</w:t>
      </w:r>
      <w:r>
        <w:rPr>
          <w:rFonts w:hint="eastAsia" w:asciiTheme="minorEastAsia" w:hAnsiTheme="minorEastAsia" w:eastAsiaTheme="minorEastAsia" w:cstheme="minorEastAsia"/>
          <w:sz w:val="24"/>
          <w:szCs w:val="24"/>
        </w:rPr>
        <w:t>日 上午10:00</w:t>
      </w:r>
    </w:p>
    <w:p w14:paraId="51893847">
      <w:pPr>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报名地点：连城县招标投标交易平台（https://lcyjy.enjoy5191.com/home）</w:t>
      </w:r>
    </w:p>
    <w:p w14:paraId="1840EB84">
      <w:pPr>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连城产权联系电话：李先生 0597-8911670</w:t>
      </w:r>
    </w:p>
    <w:p w14:paraId="0D97D3C3">
      <w:pPr>
        <w:widowControl/>
        <w:spacing w:line="52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二、项目概况及合同要求</w:t>
      </w:r>
    </w:p>
    <w:p w14:paraId="14A3AB25">
      <w:pPr>
        <w:widowControl/>
        <w:spacing w:line="360" w:lineRule="auto"/>
        <w:ind w:firstLine="480" w:firstLineChars="200"/>
        <w:rPr>
          <w:rFonts w:hint="eastAsia" w:eastAsia="宋体" w:asciiTheme="minorEastAsia" w:hAnsiTheme="minorEastAsia" w:cstheme="minorEastAsia"/>
          <w:sz w:val="24"/>
          <w:szCs w:val="24"/>
          <w:lang w:eastAsia="zh-CN"/>
        </w:rPr>
      </w:pPr>
      <w:r>
        <w:rPr>
          <w:rFonts w:hint="eastAsia" w:asciiTheme="minorEastAsia" w:hAnsiTheme="minorEastAsia" w:eastAsiaTheme="minorEastAsia" w:cstheme="minorEastAsia"/>
          <w:sz w:val="24"/>
          <w:szCs w:val="24"/>
        </w:rPr>
        <w:t>1.项目名称：</w:t>
      </w:r>
      <w:r>
        <w:rPr>
          <w:rFonts w:hint="eastAsia" w:ascii="宋体" w:hAnsi="宋体" w:cs="宋体"/>
          <w:color w:val="0000FF"/>
          <w:sz w:val="24"/>
          <w:szCs w:val="24"/>
        </w:rPr>
        <w:t>福建连城豸龙旅游集团有限公司办公用房空调和移机安装采购</w:t>
      </w:r>
      <w:r>
        <w:rPr>
          <w:rFonts w:hint="eastAsia" w:ascii="宋体" w:hAnsi="宋体" w:cs="宋体"/>
          <w:color w:val="0000FF"/>
          <w:sz w:val="24"/>
          <w:szCs w:val="24"/>
          <w:lang w:eastAsia="zh-CN"/>
        </w:rPr>
        <w:t>（</w:t>
      </w:r>
      <w:r>
        <w:rPr>
          <w:rFonts w:hint="eastAsia" w:ascii="宋体" w:hAnsi="宋体" w:cs="宋体"/>
          <w:color w:val="0000FF"/>
          <w:sz w:val="24"/>
          <w:szCs w:val="24"/>
          <w:lang w:val="en-US" w:eastAsia="zh-CN"/>
        </w:rPr>
        <w:t>二次</w:t>
      </w:r>
      <w:r>
        <w:rPr>
          <w:rFonts w:hint="eastAsia" w:ascii="宋体" w:hAnsi="宋体" w:cs="宋体"/>
          <w:color w:val="0000FF"/>
          <w:sz w:val="24"/>
          <w:szCs w:val="24"/>
          <w:lang w:eastAsia="zh-CN"/>
        </w:rPr>
        <w:t>）</w:t>
      </w:r>
    </w:p>
    <w:p w14:paraId="65E972F8">
      <w:pPr>
        <w:pStyle w:val="12"/>
        <w:widowControl/>
        <w:shd w:val="clear" w:color="auto" w:fill="FFFFFF"/>
        <w:spacing w:line="360" w:lineRule="auto"/>
        <w:ind w:firstLine="480"/>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rPr>
        <w:t>2.供货地点：</w:t>
      </w:r>
      <w:r>
        <w:rPr>
          <w:rFonts w:hint="eastAsia" w:ascii="宋体" w:hAnsi="宋体" w:eastAsia="宋体" w:cs="宋体"/>
          <w:color w:val="0000FF"/>
          <w:kern w:val="2"/>
          <w:szCs w:val="24"/>
        </w:rPr>
        <w:t>委托人指定地方</w:t>
      </w:r>
    </w:p>
    <w:p w14:paraId="47EC8DB4">
      <w:pPr>
        <w:pStyle w:val="12"/>
        <w:widowControl/>
        <w:shd w:val="clear" w:color="auto" w:fill="FFFFFF"/>
        <w:spacing w:line="360" w:lineRule="auto"/>
        <w:ind w:firstLine="480"/>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rPr>
        <w:t>3.采购内容及清单</w:t>
      </w:r>
    </w:p>
    <w:p w14:paraId="590504A9">
      <w:pPr>
        <w:adjustRightInd w:val="0"/>
        <w:snapToGrid w:val="0"/>
        <w:ind w:firstLine="480" w:firstLineChars="200"/>
        <w:rPr>
          <w:rFonts w:hint="eastAsia" w:ascii="宋体" w:hAnsi="宋体" w:cs="宋体"/>
          <w:color w:val="333333"/>
          <w:kern w:val="0"/>
          <w:sz w:val="24"/>
          <w:szCs w:val="24"/>
          <w:shd w:val="clear" w:color="auto" w:fill="FFFFFF"/>
          <w:lang w:bidi="ar"/>
        </w:rPr>
      </w:pPr>
      <w:r>
        <w:rPr>
          <w:rFonts w:hint="eastAsia" w:asciiTheme="minorEastAsia" w:hAnsiTheme="minorEastAsia" w:eastAsiaTheme="minorEastAsia" w:cstheme="minorEastAsia"/>
          <w:color w:val="000000"/>
          <w:kern w:val="0"/>
          <w:sz w:val="24"/>
          <w:szCs w:val="24"/>
        </w:rPr>
        <w:t>1</w:t>
      </w:r>
      <w:r>
        <w:rPr>
          <w:rFonts w:hint="eastAsia" w:asciiTheme="minorEastAsia" w:hAnsiTheme="minorEastAsia" w:eastAsiaTheme="minorEastAsia" w:cstheme="minorEastAsia"/>
          <w:bCs/>
          <w:color w:val="000000"/>
          <w:kern w:val="0"/>
          <w:sz w:val="24"/>
          <w:szCs w:val="24"/>
        </w:rPr>
        <w:t>）</w:t>
      </w:r>
      <w:r>
        <w:rPr>
          <w:rFonts w:hint="eastAsia" w:ascii="宋体" w:hAnsi="宋体" w:cs="宋体"/>
          <w:color w:val="333333"/>
          <w:kern w:val="0"/>
          <w:sz w:val="24"/>
          <w:szCs w:val="24"/>
          <w:shd w:val="clear" w:color="auto" w:fill="FFFFFF"/>
          <w:lang w:bidi="ar"/>
        </w:rPr>
        <w:t>采购内容：新购16台3匹冷暖变频立柜式空调、16台旧空调（3台立柜式、13台壁挂式）的移机安装（拆机与装机距离约1公里、15台旧空调的内机清洁、40米空调加长管（直径7mm铜管）</w:t>
      </w:r>
    </w:p>
    <w:p w14:paraId="3090B22B">
      <w:pPr>
        <w:pStyle w:val="13"/>
        <w:numPr>
          <w:ilvl w:val="2"/>
          <w:numId w:val="0"/>
        </w:numPr>
        <w:ind w:firstLine="480" w:firstLineChars="200"/>
        <w:rPr>
          <w:rFonts w:hint="eastAsia" w:asciiTheme="minorEastAsia" w:hAnsiTheme="minorEastAsia" w:eastAsiaTheme="minorEastAsia" w:cstheme="minorEastAsia"/>
          <w:bCs/>
          <w:color w:val="000000"/>
          <w:kern w:val="0"/>
          <w:szCs w:val="24"/>
        </w:rPr>
      </w:pPr>
      <w:r>
        <w:rPr>
          <w:rFonts w:hint="eastAsia" w:asciiTheme="minorEastAsia" w:hAnsiTheme="minorEastAsia" w:eastAsiaTheme="minorEastAsia" w:cstheme="minorEastAsia"/>
          <w:bCs/>
          <w:color w:val="000000"/>
          <w:kern w:val="0"/>
          <w:szCs w:val="24"/>
        </w:rPr>
        <w:t>2）采购清单</w:t>
      </w:r>
    </w:p>
    <w:tbl>
      <w:tblPr>
        <w:tblStyle w:val="14"/>
        <w:tblW w:w="9831" w:type="dxa"/>
        <w:jc w:val="center"/>
        <w:tblLayout w:type="fixed"/>
        <w:tblCellMar>
          <w:top w:w="0" w:type="dxa"/>
          <w:left w:w="108" w:type="dxa"/>
          <w:bottom w:w="0" w:type="dxa"/>
          <w:right w:w="108" w:type="dxa"/>
        </w:tblCellMar>
      </w:tblPr>
      <w:tblGrid>
        <w:gridCol w:w="617"/>
        <w:gridCol w:w="1814"/>
        <w:gridCol w:w="4611"/>
        <w:gridCol w:w="901"/>
        <w:gridCol w:w="901"/>
        <w:gridCol w:w="987"/>
      </w:tblGrid>
      <w:tr w14:paraId="50F48DC5">
        <w:tblPrEx>
          <w:tblCellMar>
            <w:top w:w="0" w:type="dxa"/>
            <w:left w:w="108" w:type="dxa"/>
            <w:bottom w:w="0" w:type="dxa"/>
            <w:right w:w="108" w:type="dxa"/>
          </w:tblCellMar>
        </w:tblPrEx>
        <w:trPr>
          <w:trHeight w:val="496" w:hRule="atLeast"/>
          <w:tblHeader/>
          <w:jc w:val="center"/>
        </w:trPr>
        <w:tc>
          <w:tcPr>
            <w:tcW w:w="617" w:type="dxa"/>
            <w:tcBorders>
              <w:top w:val="single" w:color="000000" w:sz="4" w:space="0"/>
              <w:left w:val="single" w:color="000000" w:sz="4" w:space="0"/>
              <w:bottom w:val="single" w:color="000000" w:sz="4" w:space="0"/>
              <w:right w:val="single" w:color="000000" w:sz="4" w:space="0"/>
            </w:tcBorders>
            <w:noWrap/>
          </w:tcPr>
          <w:p w14:paraId="4E871C11">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1814" w:type="dxa"/>
            <w:tcBorders>
              <w:top w:val="single" w:color="000000" w:sz="4" w:space="0"/>
              <w:left w:val="single" w:color="000000" w:sz="4" w:space="0"/>
              <w:bottom w:val="single" w:color="000000" w:sz="4" w:space="0"/>
              <w:right w:val="single" w:color="000000" w:sz="4" w:space="0"/>
            </w:tcBorders>
          </w:tcPr>
          <w:p w14:paraId="413EC176">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名称</w:t>
            </w:r>
          </w:p>
        </w:tc>
        <w:tc>
          <w:tcPr>
            <w:tcW w:w="4611" w:type="dxa"/>
            <w:tcBorders>
              <w:top w:val="single" w:color="000000" w:sz="4" w:space="0"/>
              <w:left w:val="single" w:color="000000" w:sz="4" w:space="0"/>
              <w:bottom w:val="single" w:color="000000" w:sz="4" w:space="0"/>
              <w:right w:val="single" w:color="000000" w:sz="4" w:space="0"/>
            </w:tcBorders>
            <w:noWrap/>
          </w:tcPr>
          <w:p w14:paraId="7DD2CFBE">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主要参数</w:t>
            </w:r>
          </w:p>
        </w:tc>
        <w:tc>
          <w:tcPr>
            <w:tcW w:w="901" w:type="dxa"/>
            <w:tcBorders>
              <w:top w:val="single" w:color="000000" w:sz="4" w:space="0"/>
              <w:left w:val="single" w:color="000000" w:sz="4" w:space="0"/>
              <w:bottom w:val="single" w:color="000000" w:sz="4" w:space="0"/>
              <w:right w:val="single" w:color="000000" w:sz="4" w:space="0"/>
            </w:tcBorders>
            <w:noWrap/>
          </w:tcPr>
          <w:p w14:paraId="3A3B79AC">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901" w:type="dxa"/>
            <w:tcBorders>
              <w:top w:val="single" w:color="000000" w:sz="4" w:space="0"/>
              <w:left w:val="single" w:color="000000" w:sz="4" w:space="0"/>
              <w:bottom w:val="single" w:color="000000" w:sz="4" w:space="0"/>
              <w:right w:val="single" w:color="000000" w:sz="4" w:space="0"/>
            </w:tcBorders>
            <w:noWrap/>
          </w:tcPr>
          <w:p w14:paraId="769C1A30">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最高单价</w:t>
            </w:r>
          </w:p>
        </w:tc>
        <w:tc>
          <w:tcPr>
            <w:tcW w:w="987" w:type="dxa"/>
            <w:tcBorders>
              <w:top w:val="single" w:color="000000" w:sz="4" w:space="0"/>
              <w:left w:val="single" w:color="000000" w:sz="4" w:space="0"/>
              <w:bottom w:val="single" w:color="000000" w:sz="4" w:space="0"/>
              <w:right w:val="single" w:color="000000" w:sz="4" w:space="0"/>
            </w:tcBorders>
            <w:noWrap/>
          </w:tcPr>
          <w:p w14:paraId="7ECC5D06">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最高金额</w:t>
            </w:r>
          </w:p>
        </w:tc>
      </w:tr>
      <w:tr w14:paraId="209F23BD">
        <w:tblPrEx>
          <w:tblCellMar>
            <w:top w:w="0" w:type="dxa"/>
            <w:left w:w="108" w:type="dxa"/>
            <w:bottom w:w="0" w:type="dxa"/>
            <w:right w:w="108" w:type="dxa"/>
          </w:tblCellMar>
        </w:tblPrEx>
        <w:trPr>
          <w:trHeight w:val="1400" w:hRule="atLeast"/>
          <w:jc w:val="center"/>
        </w:trPr>
        <w:tc>
          <w:tcPr>
            <w:tcW w:w="617" w:type="dxa"/>
            <w:tcBorders>
              <w:top w:val="single" w:color="000000" w:sz="4" w:space="0"/>
              <w:left w:val="single" w:color="000000" w:sz="4" w:space="0"/>
              <w:bottom w:val="single" w:color="000000" w:sz="4" w:space="0"/>
              <w:right w:val="single" w:color="000000" w:sz="4" w:space="0"/>
            </w:tcBorders>
            <w:noWrap/>
          </w:tcPr>
          <w:p w14:paraId="302F4515">
            <w:pPr>
              <w:widowControl/>
              <w:jc w:val="center"/>
              <w:textAlignment w:val="top"/>
              <w:rPr>
                <w:rFonts w:hint="eastAsia" w:ascii="宋体" w:hAnsi="宋体" w:eastAsia="宋体" w:cs="宋体"/>
                <w:color w:val="000000"/>
                <w:kern w:val="0"/>
                <w:sz w:val="24"/>
                <w:szCs w:val="24"/>
                <w:lang w:bidi="ar"/>
              </w:rPr>
            </w:pPr>
          </w:p>
          <w:p w14:paraId="7CF3667E">
            <w:pPr>
              <w:widowControl/>
              <w:jc w:val="center"/>
              <w:textAlignment w:val="top"/>
              <w:rPr>
                <w:rFonts w:hint="eastAsia" w:ascii="宋体" w:hAnsi="宋体" w:eastAsia="宋体" w:cs="宋体"/>
                <w:color w:val="000000"/>
                <w:kern w:val="0"/>
                <w:sz w:val="24"/>
                <w:szCs w:val="24"/>
                <w:lang w:bidi="ar"/>
              </w:rPr>
            </w:pPr>
          </w:p>
          <w:p w14:paraId="2C1F9F48">
            <w:pPr>
              <w:widowControl/>
              <w:jc w:val="center"/>
              <w:textAlignment w:val="top"/>
              <w:rPr>
                <w:rFonts w:hint="eastAsia" w:ascii="宋体" w:hAnsi="宋体" w:eastAsia="宋体" w:cs="宋体"/>
                <w:color w:val="000000"/>
                <w:kern w:val="0"/>
                <w:sz w:val="24"/>
                <w:szCs w:val="24"/>
                <w:lang w:bidi="ar"/>
              </w:rPr>
            </w:pPr>
          </w:p>
          <w:p w14:paraId="558A4446">
            <w:pPr>
              <w:widowControl/>
              <w:textAlignment w:val="top"/>
              <w:rPr>
                <w:rFonts w:hint="eastAsia" w:ascii="宋体" w:hAnsi="宋体" w:eastAsia="宋体" w:cs="宋体"/>
                <w:color w:val="000000"/>
                <w:kern w:val="0"/>
                <w:sz w:val="24"/>
                <w:szCs w:val="24"/>
                <w:lang w:bidi="ar"/>
              </w:rPr>
            </w:pPr>
          </w:p>
          <w:p w14:paraId="46DFADD2">
            <w:pPr>
              <w:widowControl/>
              <w:ind w:firstLine="240" w:firstLineChars="100"/>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814" w:type="dxa"/>
            <w:tcBorders>
              <w:top w:val="single" w:color="000000" w:sz="4" w:space="0"/>
              <w:left w:val="single" w:color="000000" w:sz="4" w:space="0"/>
              <w:bottom w:val="single" w:color="000000" w:sz="4" w:space="0"/>
              <w:right w:val="single" w:color="000000" w:sz="4" w:space="0"/>
            </w:tcBorders>
          </w:tcPr>
          <w:p w14:paraId="3BE2585B">
            <w:pPr>
              <w:widowControl/>
              <w:jc w:val="center"/>
              <w:textAlignment w:val="top"/>
              <w:rPr>
                <w:rFonts w:hint="eastAsia" w:ascii="宋体" w:hAnsi="宋体" w:eastAsia="宋体" w:cs="宋体"/>
                <w:color w:val="000000"/>
                <w:kern w:val="0"/>
                <w:sz w:val="24"/>
                <w:szCs w:val="24"/>
                <w:lang w:bidi="ar"/>
              </w:rPr>
            </w:pPr>
          </w:p>
          <w:p w14:paraId="5006A2C4">
            <w:pPr>
              <w:widowControl/>
              <w:jc w:val="center"/>
              <w:textAlignment w:val="top"/>
              <w:rPr>
                <w:rFonts w:hint="eastAsia" w:ascii="宋体" w:hAnsi="宋体" w:eastAsia="宋体" w:cs="宋体"/>
                <w:color w:val="000000"/>
                <w:kern w:val="0"/>
                <w:sz w:val="24"/>
                <w:szCs w:val="24"/>
                <w:lang w:bidi="ar"/>
              </w:rPr>
            </w:pPr>
          </w:p>
          <w:p w14:paraId="75D9EFCF">
            <w:pPr>
              <w:widowControl/>
              <w:jc w:val="center"/>
              <w:textAlignment w:val="top"/>
              <w:rPr>
                <w:rFonts w:hint="eastAsia" w:ascii="宋体" w:hAnsi="宋体" w:eastAsia="宋体" w:cs="宋体"/>
                <w:color w:val="000000"/>
                <w:kern w:val="0"/>
                <w:sz w:val="24"/>
                <w:szCs w:val="24"/>
                <w:lang w:bidi="ar"/>
              </w:rPr>
            </w:pPr>
          </w:p>
          <w:p w14:paraId="7538B1B2">
            <w:pPr>
              <w:widowControl/>
              <w:jc w:val="center"/>
              <w:textAlignment w:val="top"/>
              <w:rPr>
                <w:rFonts w:hint="eastAsia" w:ascii="宋体" w:hAnsi="宋体" w:eastAsia="宋体" w:cs="宋体"/>
                <w:color w:val="000000"/>
                <w:kern w:val="0"/>
                <w:sz w:val="24"/>
                <w:szCs w:val="24"/>
                <w:lang w:bidi="ar"/>
              </w:rPr>
            </w:pPr>
          </w:p>
          <w:p w14:paraId="003D365A">
            <w:pPr>
              <w:widowControl/>
              <w:jc w:val="center"/>
              <w:textAlignment w:val="top"/>
              <w:rPr>
                <w:rFonts w:hint="eastAsia" w:ascii="宋体" w:hAnsi="宋体" w:eastAsia="宋体" w:cs="宋体"/>
                <w:color w:val="000000"/>
                <w:kern w:val="0"/>
                <w:sz w:val="24"/>
                <w:szCs w:val="24"/>
                <w:lang w:bidi="ar"/>
              </w:rPr>
            </w:pPr>
          </w:p>
          <w:p w14:paraId="7159E4D0">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3匹冷暖变频柜式空调</w:t>
            </w:r>
            <w:r>
              <w:rPr>
                <w:rFonts w:hint="eastAsia" w:ascii="宋体" w:hAnsi="宋体" w:eastAsia="宋体" w:cs="宋体"/>
                <w:b/>
                <w:bCs/>
                <w:color w:val="000000"/>
                <w:kern w:val="0"/>
                <w:sz w:val="24"/>
                <w:szCs w:val="24"/>
                <w:lang w:bidi="ar"/>
              </w:rPr>
              <w:t>（核心产品）</w:t>
            </w:r>
          </w:p>
        </w:tc>
        <w:tc>
          <w:tcPr>
            <w:tcW w:w="4611" w:type="dxa"/>
            <w:tcBorders>
              <w:top w:val="single" w:color="000000" w:sz="4" w:space="0"/>
              <w:left w:val="single" w:color="000000" w:sz="4" w:space="0"/>
              <w:bottom w:val="single" w:color="000000" w:sz="4" w:space="0"/>
              <w:right w:val="single" w:color="000000" w:sz="4" w:space="0"/>
            </w:tcBorders>
            <w:vAlign w:val="center"/>
          </w:tcPr>
          <w:p w14:paraId="3B4FF1DD">
            <w:pPr>
              <w:rPr>
                <w:rFonts w:hint="eastAsia" w:ascii="宋体" w:hAnsi="宋体" w:eastAsia="宋体" w:cs="Times New Roman"/>
                <w:sz w:val="24"/>
                <w:szCs w:val="24"/>
              </w:rPr>
            </w:pPr>
            <w:r>
              <w:rPr>
                <w:rFonts w:hint="eastAsia" w:ascii="宋体" w:hAnsi="宋体" w:eastAsia="宋体" w:cs="Times New Roman"/>
                <w:sz w:val="24"/>
                <w:szCs w:val="24"/>
              </w:rPr>
              <w:t>1、空调类型：3匹冷暖变频立柜式空调</w:t>
            </w:r>
          </w:p>
          <w:p w14:paraId="0FC532E8">
            <w:pPr>
              <w:rPr>
                <w:rFonts w:hint="eastAsia" w:ascii="宋体" w:hAnsi="宋体" w:eastAsia="宋体" w:cs="Times New Roman"/>
                <w:sz w:val="24"/>
                <w:szCs w:val="24"/>
              </w:rPr>
            </w:pPr>
            <w:r>
              <w:rPr>
                <w:rFonts w:hint="eastAsia" w:ascii="宋体" w:hAnsi="宋体" w:eastAsia="宋体" w:cs="Times New Roman"/>
                <w:sz w:val="24"/>
                <w:szCs w:val="24"/>
              </w:rPr>
              <w:t>2、全年能源消耗率APF：≥5.16（W•h)/( W•h)</w:t>
            </w:r>
          </w:p>
          <w:p w14:paraId="5EB916FD">
            <w:pPr>
              <w:rPr>
                <w:rFonts w:hint="eastAsia" w:ascii="宋体" w:hAnsi="宋体" w:eastAsia="宋体" w:cs="Times New Roman"/>
                <w:sz w:val="24"/>
                <w:szCs w:val="24"/>
              </w:rPr>
            </w:pPr>
            <w:r>
              <w:rPr>
                <w:rFonts w:hint="eastAsia" w:ascii="宋体" w:hAnsi="宋体" w:eastAsia="宋体" w:cs="Times New Roman"/>
                <w:sz w:val="24"/>
                <w:szCs w:val="24"/>
              </w:rPr>
              <w:t>3、额定制冷量：≥7370W</w:t>
            </w:r>
          </w:p>
          <w:p w14:paraId="5B5B9CC4">
            <w:pPr>
              <w:rPr>
                <w:rFonts w:hint="eastAsia" w:ascii="宋体" w:hAnsi="宋体" w:eastAsia="宋体" w:cs="Times New Roman"/>
                <w:sz w:val="24"/>
                <w:szCs w:val="24"/>
              </w:rPr>
            </w:pPr>
            <w:r>
              <w:rPr>
                <w:rFonts w:hint="eastAsia" w:ascii="宋体" w:hAnsi="宋体" w:eastAsia="宋体" w:cs="Times New Roman"/>
                <w:sz w:val="24"/>
                <w:szCs w:val="24"/>
              </w:rPr>
              <w:t>4、额定制冷功率：≤1920W</w:t>
            </w:r>
          </w:p>
          <w:p w14:paraId="269F331F">
            <w:pPr>
              <w:rPr>
                <w:rFonts w:hint="eastAsia" w:ascii="宋体" w:hAnsi="宋体" w:eastAsia="宋体" w:cs="Times New Roman"/>
                <w:sz w:val="24"/>
                <w:szCs w:val="24"/>
              </w:rPr>
            </w:pPr>
            <w:r>
              <w:rPr>
                <w:rFonts w:hint="eastAsia" w:ascii="宋体" w:hAnsi="宋体" w:eastAsia="宋体" w:cs="Times New Roman"/>
                <w:sz w:val="24"/>
                <w:szCs w:val="24"/>
              </w:rPr>
              <w:t>5、额定制热量：≥10510W</w:t>
            </w:r>
          </w:p>
          <w:p w14:paraId="52E3B0AB">
            <w:pPr>
              <w:rPr>
                <w:rFonts w:hint="eastAsia" w:ascii="宋体" w:hAnsi="宋体" w:eastAsia="宋体" w:cs="Times New Roman"/>
                <w:sz w:val="24"/>
                <w:szCs w:val="24"/>
              </w:rPr>
            </w:pPr>
            <w:r>
              <w:rPr>
                <w:rFonts w:hint="eastAsia" w:ascii="宋体" w:hAnsi="宋体" w:eastAsia="宋体" w:cs="Times New Roman"/>
                <w:sz w:val="24"/>
                <w:szCs w:val="24"/>
              </w:rPr>
              <w:t>6、额定制热功率：≤2820W</w:t>
            </w:r>
          </w:p>
          <w:p w14:paraId="5808A0DB">
            <w:pPr>
              <w:rPr>
                <w:rFonts w:hint="eastAsia" w:ascii="宋体" w:hAnsi="宋体" w:eastAsia="宋体" w:cs="Times New Roman"/>
                <w:sz w:val="24"/>
                <w:szCs w:val="24"/>
              </w:rPr>
            </w:pPr>
            <w:r>
              <w:rPr>
                <w:rFonts w:hint="eastAsia" w:ascii="宋体" w:hAnsi="宋体" w:eastAsia="宋体" w:cs="Times New Roman"/>
                <w:sz w:val="24"/>
                <w:szCs w:val="24"/>
              </w:rPr>
              <w:t>7、电辅热功率：≤2400W</w:t>
            </w:r>
          </w:p>
          <w:p w14:paraId="301E0EEC">
            <w:pPr>
              <w:rPr>
                <w:rFonts w:hint="eastAsia" w:ascii="宋体" w:hAnsi="宋体" w:eastAsia="宋体" w:cs="Times New Roman"/>
                <w:sz w:val="24"/>
                <w:szCs w:val="24"/>
              </w:rPr>
            </w:pPr>
            <w:r>
              <w:rPr>
                <w:rFonts w:hint="eastAsia" w:ascii="宋体" w:hAnsi="宋体" w:eastAsia="宋体" w:cs="Times New Roman"/>
                <w:sz w:val="24"/>
                <w:szCs w:val="24"/>
              </w:rPr>
              <w:t>8、循环风量（室内机)：≥1760 m³/h</w:t>
            </w:r>
          </w:p>
          <w:p w14:paraId="6B5655C9">
            <w:pPr>
              <w:rPr>
                <w:rFonts w:hint="eastAsia" w:ascii="宋体" w:hAnsi="宋体" w:eastAsia="宋体" w:cs="Times New Roman"/>
                <w:sz w:val="24"/>
                <w:szCs w:val="24"/>
              </w:rPr>
            </w:pPr>
            <w:r>
              <w:rPr>
                <w:rFonts w:hint="eastAsia" w:ascii="宋体" w:hAnsi="宋体" w:eastAsia="宋体" w:cs="Times New Roman"/>
                <w:sz w:val="24"/>
                <w:szCs w:val="24"/>
              </w:rPr>
              <w:t>9、室内运行噪音（高风档）（dB）：≤47dB(A)</w:t>
            </w:r>
          </w:p>
          <w:p w14:paraId="2E71BED9">
            <w:pPr>
              <w:rPr>
                <w:rFonts w:hint="eastAsia" w:ascii="宋体" w:hAnsi="宋体" w:eastAsia="宋体" w:cs="Times New Roman"/>
                <w:sz w:val="24"/>
                <w:szCs w:val="24"/>
              </w:rPr>
            </w:pPr>
            <w:r>
              <w:rPr>
                <w:rFonts w:hint="eastAsia" w:ascii="宋体" w:hAnsi="宋体" w:eastAsia="宋体" w:cs="Times New Roman"/>
                <w:sz w:val="24"/>
                <w:szCs w:val="24"/>
              </w:rPr>
              <w:t>10、室外运行噪音：≤56dB(A)</w:t>
            </w:r>
          </w:p>
          <w:p w14:paraId="344A1103">
            <w:pPr>
              <w:rPr>
                <w:rFonts w:hint="eastAsia" w:ascii="宋体" w:hAnsi="宋体" w:eastAsia="宋体" w:cs="Times New Roman"/>
                <w:sz w:val="24"/>
                <w:szCs w:val="24"/>
              </w:rPr>
            </w:pPr>
            <w:r>
              <w:rPr>
                <w:rFonts w:hint="eastAsia" w:ascii="宋体" w:hAnsi="宋体" w:eastAsia="宋体" w:cs="Times New Roman"/>
                <w:sz w:val="24"/>
                <w:szCs w:val="24"/>
              </w:rPr>
              <w:t>11、产品功能：具备一键防直吹和上下左右摆风功能，满足不同送风需求</w:t>
            </w:r>
          </w:p>
          <w:p w14:paraId="3B2B6380">
            <w:pPr>
              <w:widowControl/>
              <w:jc w:val="left"/>
              <w:textAlignment w:val="top"/>
              <w:rPr>
                <w:rFonts w:hint="eastAsia" w:ascii="宋体" w:hAnsi="宋体" w:eastAsia="宋体" w:cs="宋体"/>
                <w:color w:val="000000"/>
                <w:sz w:val="24"/>
                <w:szCs w:val="24"/>
              </w:rPr>
            </w:pPr>
            <w:r>
              <w:rPr>
                <w:rFonts w:hint="eastAsia" w:ascii="宋体" w:hAnsi="宋体" w:eastAsia="宋体" w:cs="Times New Roman"/>
                <w:sz w:val="24"/>
                <w:szCs w:val="24"/>
              </w:rPr>
              <w:t>12、服务：整机保修6年</w:t>
            </w:r>
          </w:p>
        </w:tc>
        <w:tc>
          <w:tcPr>
            <w:tcW w:w="901" w:type="dxa"/>
            <w:tcBorders>
              <w:top w:val="single" w:color="000000" w:sz="4" w:space="0"/>
              <w:left w:val="single" w:color="000000" w:sz="4" w:space="0"/>
              <w:bottom w:val="single" w:color="000000" w:sz="4" w:space="0"/>
              <w:right w:val="single" w:color="000000" w:sz="4" w:space="0"/>
            </w:tcBorders>
            <w:noWrap/>
          </w:tcPr>
          <w:p w14:paraId="3217162D">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      </w:t>
            </w:r>
          </w:p>
          <w:p w14:paraId="28DB5DB2">
            <w:pPr>
              <w:widowControl/>
              <w:jc w:val="center"/>
              <w:textAlignment w:val="top"/>
              <w:rPr>
                <w:rFonts w:hint="eastAsia" w:ascii="宋体" w:hAnsi="宋体" w:eastAsia="宋体" w:cs="宋体"/>
                <w:color w:val="000000"/>
                <w:kern w:val="0"/>
                <w:sz w:val="24"/>
                <w:szCs w:val="24"/>
                <w:lang w:bidi="ar"/>
              </w:rPr>
            </w:pPr>
          </w:p>
          <w:p w14:paraId="02E5DA89">
            <w:pPr>
              <w:widowControl/>
              <w:jc w:val="center"/>
              <w:textAlignment w:val="top"/>
              <w:rPr>
                <w:rFonts w:hint="eastAsia" w:ascii="宋体" w:hAnsi="宋体" w:eastAsia="宋体" w:cs="宋体"/>
                <w:color w:val="000000"/>
                <w:kern w:val="0"/>
                <w:sz w:val="24"/>
                <w:szCs w:val="24"/>
                <w:lang w:bidi="ar"/>
              </w:rPr>
            </w:pPr>
          </w:p>
          <w:p w14:paraId="4B722170">
            <w:pPr>
              <w:widowControl/>
              <w:jc w:val="center"/>
              <w:textAlignment w:val="top"/>
              <w:rPr>
                <w:rFonts w:hint="eastAsia" w:ascii="宋体" w:hAnsi="宋体" w:eastAsia="宋体" w:cs="宋体"/>
                <w:color w:val="000000"/>
                <w:kern w:val="0"/>
                <w:sz w:val="24"/>
                <w:szCs w:val="24"/>
                <w:lang w:bidi="ar"/>
              </w:rPr>
            </w:pPr>
          </w:p>
          <w:p w14:paraId="25C98D3E">
            <w:pPr>
              <w:widowControl/>
              <w:jc w:val="center"/>
              <w:textAlignment w:val="top"/>
              <w:rPr>
                <w:rFonts w:hint="eastAsia" w:ascii="宋体" w:hAnsi="宋体" w:eastAsia="宋体" w:cs="宋体"/>
                <w:color w:val="000000"/>
                <w:kern w:val="0"/>
                <w:sz w:val="24"/>
                <w:szCs w:val="24"/>
                <w:lang w:bidi="ar"/>
              </w:rPr>
            </w:pPr>
          </w:p>
          <w:p w14:paraId="1A9B992D">
            <w:pPr>
              <w:widowControl/>
              <w:jc w:val="center"/>
              <w:textAlignment w:val="top"/>
              <w:rPr>
                <w:rFonts w:hint="eastAsia" w:ascii="宋体" w:hAnsi="宋体" w:eastAsia="宋体" w:cs="宋体"/>
                <w:color w:val="000000"/>
                <w:kern w:val="0"/>
                <w:sz w:val="24"/>
                <w:szCs w:val="24"/>
                <w:lang w:bidi="ar"/>
              </w:rPr>
            </w:pPr>
          </w:p>
          <w:p w14:paraId="4AFB25BC">
            <w:pPr>
              <w:widowControl/>
              <w:jc w:val="center"/>
              <w:textAlignment w:val="top"/>
              <w:rPr>
                <w:rFonts w:hint="eastAsia" w:ascii="宋体" w:hAnsi="宋体" w:eastAsia="宋体" w:cs="宋体"/>
                <w:color w:val="000000"/>
                <w:kern w:val="0"/>
                <w:sz w:val="24"/>
                <w:szCs w:val="24"/>
                <w:lang w:bidi="ar"/>
              </w:rPr>
            </w:pPr>
          </w:p>
          <w:p w14:paraId="470B3A95">
            <w:pPr>
              <w:widowControl/>
              <w:jc w:val="center"/>
              <w:textAlignment w:val="top"/>
              <w:rPr>
                <w:rFonts w:hint="eastAsia" w:ascii="宋体" w:hAnsi="宋体" w:eastAsia="宋体" w:cs="宋体"/>
                <w:color w:val="000000"/>
                <w:kern w:val="0"/>
                <w:sz w:val="24"/>
                <w:szCs w:val="24"/>
                <w:lang w:bidi="ar"/>
              </w:rPr>
            </w:pPr>
          </w:p>
          <w:p w14:paraId="30EC8739">
            <w:pPr>
              <w:widowControl/>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16台</w:t>
            </w:r>
          </w:p>
        </w:tc>
        <w:tc>
          <w:tcPr>
            <w:tcW w:w="901" w:type="dxa"/>
            <w:tcBorders>
              <w:top w:val="single" w:color="000000" w:sz="4" w:space="0"/>
              <w:left w:val="single" w:color="000000" w:sz="4" w:space="0"/>
              <w:bottom w:val="single" w:color="000000" w:sz="4" w:space="0"/>
              <w:right w:val="single" w:color="000000" w:sz="4" w:space="0"/>
            </w:tcBorders>
            <w:noWrap/>
          </w:tcPr>
          <w:p w14:paraId="3E1CBBF8">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 </w:t>
            </w:r>
          </w:p>
          <w:p w14:paraId="1533DFD0">
            <w:pPr>
              <w:widowControl/>
              <w:jc w:val="center"/>
              <w:textAlignment w:val="top"/>
              <w:rPr>
                <w:rFonts w:hint="eastAsia" w:ascii="宋体" w:hAnsi="宋体" w:eastAsia="宋体" w:cs="宋体"/>
                <w:color w:val="000000"/>
                <w:kern w:val="0"/>
                <w:sz w:val="24"/>
                <w:szCs w:val="24"/>
                <w:lang w:bidi="ar"/>
              </w:rPr>
            </w:pPr>
          </w:p>
          <w:p w14:paraId="692A35E0">
            <w:pPr>
              <w:widowControl/>
              <w:jc w:val="center"/>
              <w:textAlignment w:val="top"/>
              <w:rPr>
                <w:rFonts w:hint="eastAsia" w:ascii="宋体" w:hAnsi="宋体" w:eastAsia="宋体" w:cs="宋体"/>
                <w:color w:val="000000"/>
                <w:kern w:val="0"/>
                <w:sz w:val="24"/>
                <w:szCs w:val="24"/>
                <w:lang w:bidi="ar"/>
              </w:rPr>
            </w:pPr>
          </w:p>
          <w:p w14:paraId="2387FE01">
            <w:pPr>
              <w:widowControl/>
              <w:jc w:val="center"/>
              <w:textAlignment w:val="top"/>
              <w:rPr>
                <w:rFonts w:hint="eastAsia" w:ascii="宋体" w:hAnsi="宋体" w:eastAsia="宋体" w:cs="宋体"/>
                <w:color w:val="000000"/>
                <w:kern w:val="0"/>
                <w:sz w:val="24"/>
                <w:szCs w:val="24"/>
                <w:lang w:bidi="ar"/>
              </w:rPr>
            </w:pPr>
          </w:p>
          <w:p w14:paraId="4C1DDE77">
            <w:pPr>
              <w:widowControl/>
              <w:jc w:val="center"/>
              <w:textAlignment w:val="top"/>
              <w:rPr>
                <w:rFonts w:hint="eastAsia" w:ascii="宋体" w:hAnsi="宋体" w:eastAsia="宋体" w:cs="宋体"/>
                <w:color w:val="000000"/>
                <w:kern w:val="0"/>
                <w:sz w:val="24"/>
                <w:szCs w:val="24"/>
                <w:lang w:bidi="ar"/>
              </w:rPr>
            </w:pPr>
          </w:p>
          <w:p w14:paraId="11C27FC3">
            <w:pPr>
              <w:widowControl/>
              <w:jc w:val="center"/>
              <w:textAlignment w:val="top"/>
              <w:rPr>
                <w:rFonts w:hint="eastAsia" w:ascii="宋体" w:hAnsi="宋体" w:eastAsia="宋体" w:cs="宋体"/>
                <w:color w:val="000000"/>
                <w:kern w:val="0"/>
                <w:sz w:val="24"/>
                <w:szCs w:val="24"/>
                <w:lang w:bidi="ar"/>
              </w:rPr>
            </w:pPr>
          </w:p>
          <w:p w14:paraId="2F7EFDDC">
            <w:pPr>
              <w:widowControl/>
              <w:jc w:val="center"/>
              <w:textAlignment w:val="top"/>
              <w:rPr>
                <w:rFonts w:hint="eastAsia" w:ascii="宋体" w:hAnsi="宋体" w:eastAsia="宋体" w:cs="宋体"/>
                <w:color w:val="000000"/>
                <w:kern w:val="0"/>
                <w:sz w:val="24"/>
                <w:szCs w:val="24"/>
                <w:lang w:bidi="ar"/>
              </w:rPr>
            </w:pPr>
          </w:p>
          <w:p w14:paraId="27488254">
            <w:pPr>
              <w:widowControl/>
              <w:jc w:val="center"/>
              <w:textAlignment w:val="top"/>
              <w:rPr>
                <w:rFonts w:hint="eastAsia" w:ascii="宋体" w:hAnsi="宋体" w:eastAsia="宋体" w:cs="宋体"/>
                <w:color w:val="000000"/>
                <w:kern w:val="0"/>
                <w:sz w:val="24"/>
                <w:szCs w:val="24"/>
                <w:lang w:bidi="ar"/>
              </w:rPr>
            </w:pPr>
          </w:p>
          <w:p w14:paraId="430A64BC">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6800</w:t>
            </w:r>
          </w:p>
        </w:tc>
        <w:tc>
          <w:tcPr>
            <w:tcW w:w="987" w:type="dxa"/>
            <w:tcBorders>
              <w:top w:val="single" w:color="000000" w:sz="4" w:space="0"/>
              <w:left w:val="single" w:color="000000" w:sz="4" w:space="0"/>
              <w:bottom w:val="single" w:color="000000" w:sz="4" w:space="0"/>
              <w:right w:val="single" w:color="000000" w:sz="4" w:space="0"/>
            </w:tcBorders>
            <w:noWrap/>
          </w:tcPr>
          <w:p w14:paraId="4BFAB5B5">
            <w:pPr>
              <w:widowControl/>
              <w:jc w:val="center"/>
              <w:textAlignment w:val="top"/>
              <w:rPr>
                <w:rFonts w:hint="eastAsia" w:ascii="宋体" w:hAnsi="宋体" w:eastAsia="宋体" w:cs="宋体"/>
                <w:color w:val="000000"/>
                <w:kern w:val="0"/>
                <w:sz w:val="24"/>
                <w:szCs w:val="24"/>
                <w:lang w:bidi="ar"/>
              </w:rPr>
            </w:pPr>
          </w:p>
          <w:p w14:paraId="45BD05F5">
            <w:pPr>
              <w:widowControl/>
              <w:jc w:val="center"/>
              <w:textAlignment w:val="top"/>
              <w:rPr>
                <w:rFonts w:hint="eastAsia" w:ascii="宋体" w:hAnsi="宋体" w:eastAsia="宋体" w:cs="宋体"/>
                <w:color w:val="000000"/>
                <w:kern w:val="0"/>
                <w:sz w:val="24"/>
                <w:szCs w:val="24"/>
                <w:lang w:bidi="ar"/>
              </w:rPr>
            </w:pPr>
          </w:p>
          <w:p w14:paraId="556EE6B5">
            <w:pPr>
              <w:widowControl/>
              <w:jc w:val="center"/>
              <w:textAlignment w:val="top"/>
              <w:rPr>
                <w:rFonts w:hint="eastAsia" w:ascii="宋体" w:hAnsi="宋体" w:eastAsia="宋体" w:cs="宋体"/>
                <w:color w:val="000000"/>
                <w:kern w:val="0"/>
                <w:sz w:val="24"/>
                <w:szCs w:val="24"/>
                <w:lang w:bidi="ar"/>
              </w:rPr>
            </w:pPr>
          </w:p>
          <w:p w14:paraId="26E76563">
            <w:pPr>
              <w:widowControl/>
              <w:jc w:val="center"/>
              <w:textAlignment w:val="top"/>
              <w:rPr>
                <w:rFonts w:hint="eastAsia" w:ascii="宋体" w:hAnsi="宋体" w:eastAsia="宋体" w:cs="宋体"/>
                <w:color w:val="000000"/>
                <w:kern w:val="0"/>
                <w:sz w:val="24"/>
                <w:szCs w:val="24"/>
                <w:lang w:bidi="ar"/>
              </w:rPr>
            </w:pPr>
          </w:p>
          <w:p w14:paraId="32E8B199">
            <w:pPr>
              <w:widowControl/>
              <w:jc w:val="center"/>
              <w:textAlignment w:val="top"/>
              <w:rPr>
                <w:rFonts w:hint="eastAsia" w:ascii="宋体" w:hAnsi="宋体" w:eastAsia="宋体" w:cs="宋体"/>
                <w:color w:val="000000"/>
                <w:kern w:val="0"/>
                <w:sz w:val="24"/>
                <w:szCs w:val="24"/>
                <w:lang w:bidi="ar"/>
              </w:rPr>
            </w:pPr>
          </w:p>
          <w:p w14:paraId="77844842">
            <w:pPr>
              <w:widowControl/>
              <w:jc w:val="center"/>
              <w:textAlignment w:val="top"/>
              <w:rPr>
                <w:rFonts w:hint="eastAsia" w:ascii="宋体" w:hAnsi="宋体" w:eastAsia="宋体" w:cs="宋体"/>
                <w:color w:val="000000"/>
                <w:kern w:val="0"/>
                <w:sz w:val="24"/>
                <w:szCs w:val="24"/>
                <w:lang w:bidi="ar"/>
              </w:rPr>
            </w:pPr>
          </w:p>
          <w:p w14:paraId="16658FB8">
            <w:pPr>
              <w:widowControl/>
              <w:jc w:val="center"/>
              <w:textAlignment w:val="top"/>
              <w:rPr>
                <w:rFonts w:hint="eastAsia" w:ascii="宋体" w:hAnsi="宋体" w:eastAsia="宋体" w:cs="宋体"/>
                <w:color w:val="000000"/>
                <w:kern w:val="0"/>
                <w:sz w:val="24"/>
                <w:szCs w:val="24"/>
                <w:lang w:bidi="ar"/>
              </w:rPr>
            </w:pPr>
          </w:p>
          <w:p w14:paraId="4A3668A4">
            <w:pPr>
              <w:widowControl/>
              <w:jc w:val="center"/>
              <w:textAlignment w:val="top"/>
              <w:rPr>
                <w:rFonts w:hint="eastAsia" w:ascii="宋体" w:hAnsi="宋体" w:eastAsia="宋体" w:cs="宋体"/>
                <w:color w:val="000000"/>
                <w:kern w:val="0"/>
                <w:sz w:val="24"/>
                <w:szCs w:val="24"/>
                <w:lang w:bidi="ar"/>
              </w:rPr>
            </w:pPr>
          </w:p>
          <w:p w14:paraId="704A3F4C">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108800 </w:t>
            </w:r>
          </w:p>
        </w:tc>
      </w:tr>
      <w:tr w14:paraId="1ED6FF8B">
        <w:tblPrEx>
          <w:tblCellMar>
            <w:top w:w="0" w:type="dxa"/>
            <w:left w:w="108" w:type="dxa"/>
            <w:bottom w:w="0" w:type="dxa"/>
            <w:right w:w="108" w:type="dxa"/>
          </w:tblCellMar>
        </w:tblPrEx>
        <w:trPr>
          <w:trHeight w:val="548" w:hRule="atLeast"/>
          <w:jc w:val="center"/>
        </w:trPr>
        <w:tc>
          <w:tcPr>
            <w:tcW w:w="617" w:type="dxa"/>
            <w:tcBorders>
              <w:top w:val="single" w:color="000000" w:sz="4" w:space="0"/>
              <w:left w:val="single" w:color="000000" w:sz="4" w:space="0"/>
              <w:bottom w:val="single" w:color="000000" w:sz="4" w:space="0"/>
              <w:right w:val="single" w:color="000000" w:sz="4" w:space="0"/>
            </w:tcBorders>
            <w:noWrap/>
          </w:tcPr>
          <w:p w14:paraId="174E800A">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w:t>
            </w:r>
          </w:p>
        </w:tc>
        <w:tc>
          <w:tcPr>
            <w:tcW w:w="1814" w:type="dxa"/>
            <w:tcBorders>
              <w:top w:val="single" w:color="000000" w:sz="4" w:space="0"/>
              <w:left w:val="single" w:color="000000" w:sz="4" w:space="0"/>
              <w:bottom w:val="single" w:color="000000" w:sz="4" w:space="0"/>
              <w:right w:val="single" w:color="000000" w:sz="4" w:space="0"/>
            </w:tcBorders>
          </w:tcPr>
          <w:p w14:paraId="7D2D12F2">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1.5匹挂机移机和安装</w:t>
            </w:r>
          </w:p>
        </w:tc>
        <w:tc>
          <w:tcPr>
            <w:tcW w:w="4611" w:type="dxa"/>
            <w:tcBorders>
              <w:top w:val="single" w:color="000000" w:sz="4" w:space="0"/>
              <w:left w:val="single" w:color="000000" w:sz="4" w:space="0"/>
              <w:bottom w:val="single" w:color="000000" w:sz="4" w:space="0"/>
              <w:right w:val="single" w:color="000000" w:sz="4" w:space="0"/>
            </w:tcBorders>
          </w:tcPr>
          <w:p w14:paraId="3899B345">
            <w:pPr>
              <w:widowControl/>
              <w:jc w:val="left"/>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 xml:space="preserve">   拆机、移机、安装、清洗</w:t>
            </w:r>
          </w:p>
        </w:tc>
        <w:tc>
          <w:tcPr>
            <w:tcW w:w="901" w:type="dxa"/>
            <w:tcBorders>
              <w:top w:val="single" w:color="000000" w:sz="4" w:space="0"/>
              <w:left w:val="single" w:color="000000" w:sz="4" w:space="0"/>
              <w:bottom w:val="single" w:color="000000" w:sz="4" w:space="0"/>
              <w:right w:val="single" w:color="000000" w:sz="4" w:space="0"/>
            </w:tcBorders>
            <w:noWrap/>
          </w:tcPr>
          <w:p w14:paraId="5419B33E">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13</w:t>
            </w:r>
          </w:p>
        </w:tc>
        <w:tc>
          <w:tcPr>
            <w:tcW w:w="901" w:type="dxa"/>
            <w:tcBorders>
              <w:top w:val="single" w:color="000000" w:sz="4" w:space="0"/>
              <w:left w:val="single" w:color="000000" w:sz="4" w:space="0"/>
              <w:bottom w:val="single" w:color="000000" w:sz="4" w:space="0"/>
              <w:right w:val="single" w:color="000000" w:sz="4" w:space="0"/>
            </w:tcBorders>
            <w:noWrap/>
          </w:tcPr>
          <w:p w14:paraId="55CEC8A4">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400</w:t>
            </w:r>
          </w:p>
        </w:tc>
        <w:tc>
          <w:tcPr>
            <w:tcW w:w="987" w:type="dxa"/>
            <w:tcBorders>
              <w:top w:val="single" w:color="000000" w:sz="4" w:space="0"/>
              <w:left w:val="single" w:color="000000" w:sz="4" w:space="0"/>
              <w:bottom w:val="single" w:color="000000" w:sz="4" w:space="0"/>
              <w:right w:val="single" w:color="000000" w:sz="4" w:space="0"/>
            </w:tcBorders>
            <w:noWrap/>
          </w:tcPr>
          <w:p w14:paraId="7957A38C">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5200</w:t>
            </w:r>
          </w:p>
        </w:tc>
      </w:tr>
      <w:tr w14:paraId="2FA25A7F">
        <w:tblPrEx>
          <w:tblCellMar>
            <w:top w:w="0" w:type="dxa"/>
            <w:left w:w="108" w:type="dxa"/>
            <w:bottom w:w="0" w:type="dxa"/>
            <w:right w:w="108" w:type="dxa"/>
          </w:tblCellMar>
        </w:tblPrEx>
        <w:trPr>
          <w:trHeight w:val="548" w:hRule="atLeast"/>
          <w:jc w:val="center"/>
        </w:trPr>
        <w:tc>
          <w:tcPr>
            <w:tcW w:w="617" w:type="dxa"/>
            <w:tcBorders>
              <w:top w:val="single" w:color="000000" w:sz="4" w:space="0"/>
              <w:left w:val="single" w:color="000000" w:sz="4" w:space="0"/>
              <w:bottom w:val="single" w:color="000000" w:sz="4" w:space="0"/>
              <w:right w:val="single" w:color="000000" w:sz="4" w:space="0"/>
            </w:tcBorders>
            <w:noWrap/>
          </w:tcPr>
          <w:p w14:paraId="0C726DDB">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1814" w:type="dxa"/>
            <w:tcBorders>
              <w:top w:val="single" w:color="000000" w:sz="4" w:space="0"/>
              <w:left w:val="single" w:color="000000" w:sz="4" w:space="0"/>
              <w:bottom w:val="single" w:color="000000" w:sz="4" w:space="0"/>
              <w:right w:val="single" w:color="000000" w:sz="4" w:space="0"/>
            </w:tcBorders>
          </w:tcPr>
          <w:p w14:paraId="1F9CCF63">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柜机移机和安装</w:t>
            </w:r>
          </w:p>
        </w:tc>
        <w:tc>
          <w:tcPr>
            <w:tcW w:w="4611" w:type="dxa"/>
            <w:tcBorders>
              <w:top w:val="single" w:color="000000" w:sz="4" w:space="0"/>
              <w:left w:val="single" w:color="000000" w:sz="4" w:space="0"/>
              <w:bottom w:val="single" w:color="000000" w:sz="4" w:space="0"/>
              <w:right w:val="single" w:color="000000" w:sz="4" w:space="0"/>
            </w:tcBorders>
          </w:tcPr>
          <w:p w14:paraId="5EB8EB08">
            <w:pPr>
              <w:widowControl/>
              <w:ind w:firstLine="480" w:firstLineChars="200"/>
              <w:jc w:val="left"/>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拆机、移机、安装、清洗</w:t>
            </w:r>
          </w:p>
        </w:tc>
        <w:tc>
          <w:tcPr>
            <w:tcW w:w="901" w:type="dxa"/>
            <w:tcBorders>
              <w:top w:val="single" w:color="000000" w:sz="4" w:space="0"/>
              <w:left w:val="single" w:color="000000" w:sz="4" w:space="0"/>
              <w:bottom w:val="single" w:color="000000" w:sz="4" w:space="0"/>
              <w:right w:val="single" w:color="000000" w:sz="4" w:space="0"/>
            </w:tcBorders>
            <w:noWrap/>
          </w:tcPr>
          <w:p w14:paraId="4269D348">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3</w:t>
            </w:r>
          </w:p>
        </w:tc>
        <w:tc>
          <w:tcPr>
            <w:tcW w:w="901" w:type="dxa"/>
            <w:tcBorders>
              <w:top w:val="single" w:color="000000" w:sz="4" w:space="0"/>
              <w:left w:val="single" w:color="000000" w:sz="4" w:space="0"/>
              <w:bottom w:val="single" w:color="000000" w:sz="4" w:space="0"/>
              <w:right w:val="single" w:color="000000" w:sz="4" w:space="0"/>
            </w:tcBorders>
            <w:noWrap/>
          </w:tcPr>
          <w:p w14:paraId="58F590E1">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400</w:t>
            </w:r>
          </w:p>
        </w:tc>
        <w:tc>
          <w:tcPr>
            <w:tcW w:w="987" w:type="dxa"/>
            <w:tcBorders>
              <w:top w:val="single" w:color="000000" w:sz="4" w:space="0"/>
              <w:left w:val="single" w:color="000000" w:sz="4" w:space="0"/>
              <w:bottom w:val="single" w:color="000000" w:sz="4" w:space="0"/>
              <w:right w:val="single" w:color="000000" w:sz="4" w:space="0"/>
            </w:tcBorders>
            <w:noWrap/>
          </w:tcPr>
          <w:p w14:paraId="3EA7B7AA">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1200</w:t>
            </w:r>
          </w:p>
        </w:tc>
      </w:tr>
      <w:tr w14:paraId="68B69213">
        <w:tblPrEx>
          <w:tblCellMar>
            <w:top w:w="0" w:type="dxa"/>
            <w:left w:w="108" w:type="dxa"/>
            <w:bottom w:w="0" w:type="dxa"/>
            <w:right w:w="108" w:type="dxa"/>
          </w:tblCellMar>
        </w:tblPrEx>
        <w:trPr>
          <w:trHeight w:val="548" w:hRule="atLeast"/>
          <w:jc w:val="center"/>
        </w:trPr>
        <w:tc>
          <w:tcPr>
            <w:tcW w:w="617" w:type="dxa"/>
            <w:tcBorders>
              <w:top w:val="single" w:color="000000" w:sz="4" w:space="0"/>
              <w:left w:val="single" w:color="000000" w:sz="4" w:space="0"/>
              <w:bottom w:val="single" w:color="000000" w:sz="4" w:space="0"/>
              <w:right w:val="single" w:color="000000" w:sz="4" w:space="0"/>
            </w:tcBorders>
            <w:noWrap/>
          </w:tcPr>
          <w:p w14:paraId="57BCB447">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w:t>
            </w:r>
          </w:p>
        </w:tc>
        <w:tc>
          <w:tcPr>
            <w:tcW w:w="1814" w:type="dxa"/>
            <w:tcBorders>
              <w:top w:val="single" w:color="000000" w:sz="4" w:space="0"/>
              <w:left w:val="single" w:color="000000" w:sz="4" w:space="0"/>
              <w:bottom w:val="single" w:color="000000" w:sz="4" w:space="0"/>
              <w:right w:val="single" w:color="000000" w:sz="4" w:space="0"/>
            </w:tcBorders>
          </w:tcPr>
          <w:p w14:paraId="6EE7DD00">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移机加长铜管</w:t>
            </w:r>
          </w:p>
        </w:tc>
        <w:tc>
          <w:tcPr>
            <w:tcW w:w="4611" w:type="dxa"/>
            <w:tcBorders>
              <w:top w:val="single" w:color="000000" w:sz="4" w:space="0"/>
              <w:left w:val="single" w:color="000000" w:sz="4" w:space="0"/>
              <w:bottom w:val="single" w:color="000000" w:sz="4" w:space="0"/>
              <w:right w:val="single" w:color="000000" w:sz="4" w:space="0"/>
            </w:tcBorders>
          </w:tcPr>
          <w:p w14:paraId="262BF510">
            <w:pPr>
              <w:widowControl/>
              <w:ind w:firstLine="720" w:firstLineChars="300"/>
              <w:jc w:val="left"/>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铜管直径7nn</w:t>
            </w:r>
          </w:p>
        </w:tc>
        <w:tc>
          <w:tcPr>
            <w:tcW w:w="901" w:type="dxa"/>
            <w:tcBorders>
              <w:top w:val="single" w:color="000000" w:sz="4" w:space="0"/>
              <w:left w:val="single" w:color="000000" w:sz="4" w:space="0"/>
              <w:bottom w:val="single" w:color="000000" w:sz="4" w:space="0"/>
              <w:right w:val="single" w:color="000000" w:sz="4" w:space="0"/>
            </w:tcBorders>
            <w:noWrap/>
          </w:tcPr>
          <w:p w14:paraId="15260D7D">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40</w:t>
            </w:r>
          </w:p>
        </w:tc>
        <w:tc>
          <w:tcPr>
            <w:tcW w:w="901" w:type="dxa"/>
            <w:tcBorders>
              <w:top w:val="single" w:color="000000" w:sz="4" w:space="0"/>
              <w:left w:val="single" w:color="000000" w:sz="4" w:space="0"/>
              <w:bottom w:val="single" w:color="000000" w:sz="4" w:space="0"/>
              <w:right w:val="single" w:color="000000" w:sz="4" w:space="0"/>
            </w:tcBorders>
            <w:noWrap/>
          </w:tcPr>
          <w:p w14:paraId="3CB5C33B">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200</w:t>
            </w:r>
          </w:p>
        </w:tc>
        <w:tc>
          <w:tcPr>
            <w:tcW w:w="987" w:type="dxa"/>
            <w:tcBorders>
              <w:top w:val="single" w:color="000000" w:sz="4" w:space="0"/>
              <w:left w:val="single" w:color="000000" w:sz="4" w:space="0"/>
              <w:bottom w:val="single" w:color="000000" w:sz="4" w:space="0"/>
              <w:right w:val="single" w:color="000000" w:sz="4" w:space="0"/>
            </w:tcBorders>
            <w:noWrap/>
          </w:tcPr>
          <w:p w14:paraId="0DEA491A">
            <w:pPr>
              <w:widowControl/>
              <w:jc w:val="center"/>
              <w:textAlignment w:val="top"/>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8000</w:t>
            </w:r>
          </w:p>
        </w:tc>
      </w:tr>
      <w:tr w14:paraId="2CDB6BFE">
        <w:tblPrEx>
          <w:tblCellMar>
            <w:top w:w="0" w:type="dxa"/>
            <w:left w:w="108" w:type="dxa"/>
            <w:bottom w:w="0" w:type="dxa"/>
            <w:right w:w="108" w:type="dxa"/>
          </w:tblCellMar>
        </w:tblPrEx>
        <w:trPr>
          <w:trHeight w:val="548" w:hRule="atLeast"/>
          <w:jc w:val="center"/>
        </w:trPr>
        <w:tc>
          <w:tcPr>
            <w:tcW w:w="617" w:type="dxa"/>
            <w:tcBorders>
              <w:top w:val="single" w:color="000000" w:sz="4" w:space="0"/>
              <w:left w:val="single" w:color="000000" w:sz="4" w:space="0"/>
              <w:bottom w:val="single" w:color="000000" w:sz="4" w:space="0"/>
              <w:right w:val="single" w:color="000000" w:sz="4" w:space="0"/>
            </w:tcBorders>
            <w:noWrap/>
          </w:tcPr>
          <w:p w14:paraId="64C98212">
            <w:pPr>
              <w:widowControl/>
              <w:jc w:val="center"/>
              <w:textAlignment w:val="top"/>
              <w:rPr>
                <w:rFonts w:hint="eastAsia" w:ascii="宋体" w:hAnsi="宋体" w:eastAsia="宋体" w:cs="宋体"/>
                <w:color w:val="000000"/>
                <w:kern w:val="0"/>
                <w:sz w:val="24"/>
                <w:szCs w:val="24"/>
                <w:lang w:bidi="ar"/>
              </w:rPr>
            </w:pPr>
          </w:p>
          <w:p w14:paraId="644D00FF">
            <w:pPr>
              <w:widowControl/>
              <w:jc w:val="center"/>
              <w:textAlignment w:val="top"/>
              <w:rPr>
                <w:rFonts w:hint="eastAsia" w:ascii="宋体" w:hAnsi="宋体" w:eastAsia="宋体" w:cs="宋体"/>
                <w:color w:val="000000"/>
                <w:kern w:val="0"/>
                <w:sz w:val="24"/>
                <w:szCs w:val="24"/>
                <w:lang w:bidi="ar"/>
              </w:rPr>
            </w:pPr>
          </w:p>
          <w:p w14:paraId="4227B3AD">
            <w:pPr>
              <w:widowControl/>
              <w:jc w:val="center"/>
              <w:textAlignment w:val="top"/>
              <w:rPr>
                <w:rFonts w:hint="eastAsia" w:ascii="宋体" w:hAnsi="宋体" w:eastAsia="宋体" w:cs="宋体"/>
                <w:color w:val="000000"/>
                <w:kern w:val="0"/>
                <w:sz w:val="24"/>
                <w:szCs w:val="24"/>
                <w:lang w:bidi="ar"/>
              </w:rPr>
            </w:pPr>
          </w:p>
          <w:p w14:paraId="7A924718">
            <w:pPr>
              <w:widowControl/>
              <w:jc w:val="center"/>
              <w:textAlignment w:val="top"/>
              <w:rPr>
                <w:rFonts w:hint="eastAsia" w:ascii="宋体" w:hAnsi="宋体" w:eastAsia="宋体" w:cs="宋体"/>
                <w:color w:val="000000"/>
                <w:kern w:val="0"/>
                <w:sz w:val="24"/>
                <w:szCs w:val="24"/>
                <w:lang w:bidi="ar"/>
              </w:rPr>
            </w:pPr>
          </w:p>
          <w:p w14:paraId="69245FE6">
            <w:pPr>
              <w:widowControl/>
              <w:jc w:val="center"/>
              <w:textAlignment w:val="top"/>
              <w:rPr>
                <w:rFonts w:hint="eastAsia" w:ascii="宋体" w:hAnsi="宋体" w:eastAsia="宋体" w:cs="宋体"/>
                <w:color w:val="000000"/>
                <w:kern w:val="0"/>
                <w:sz w:val="24"/>
                <w:szCs w:val="24"/>
                <w:lang w:bidi="ar"/>
              </w:rPr>
            </w:pPr>
          </w:p>
          <w:p w14:paraId="6495A38B">
            <w:pPr>
              <w:widowControl/>
              <w:jc w:val="center"/>
              <w:textAlignment w:val="top"/>
              <w:rPr>
                <w:rFonts w:hint="eastAsia" w:ascii="宋体" w:hAnsi="宋体" w:eastAsia="宋体" w:cs="宋体"/>
                <w:color w:val="000000"/>
                <w:kern w:val="0"/>
                <w:sz w:val="24"/>
                <w:szCs w:val="24"/>
                <w:lang w:bidi="ar"/>
              </w:rPr>
            </w:pPr>
          </w:p>
          <w:p w14:paraId="7B3EB7E0">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1814" w:type="dxa"/>
            <w:tcBorders>
              <w:top w:val="single" w:color="000000" w:sz="4" w:space="0"/>
              <w:left w:val="single" w:color="000000" w:sz="4" w:space="0"/>
              <w:bottom w:val="single" w:color="000000" w:sz="4" w:space="0"/>
              <w:right w:val="single" w:color="000000" w:sz="4" w:space="0"/>
            </w:tcBorders>
          </w:tcPr>
          <w:p w14:paraId="23B277B0">
            <w:pPr>
              <w:widowControl/>
              <w:jc w:val="center"/>
              <w:textAlignment w:val="top"/>
              <w:rPr>
                <w:rFonts w:hint="eastAsia" w:ascii="宋体" w:hAnsi="宋体" w:eastAsia="宋体" w:cs="宋体"/>
                <w:color w:val="000000"/>
                <w:kern w:val="0"/>
                <w:sz w:val="24"/>
                <w:szCs w:val="24"/>
                <w:lang w:bidi="ar"/>
              </w:rPr>
            </w:pPr>
          </w:p>
          <w:p w14:paraId="2133DBA4">
            <w:pPr>
              <w:widowControl/>
              <w:jc w:val="center"/>
              <w:textAlignment w:val="top"/>
              <w:rPr>
                <w:rFonts w:hint="eastAsia" w:ascii="宋体" w:hAnsi="宋体" w:eastAsia="宋体" w:cs="宋体"/>
                <w:color w:val="000000"/>
                <w:kern w:val="0"/>
                <w:sz w:val="24"/>
                <w:szCs w:val="24"/>
                <w:lang w:bidi="ar"/>
              </w:rPr>
            </w:pPr>
          </w:p>
          <w:p w14:paraId="038C1FCD">
            <w:pPr>
              <w:widowControl/>
              <w:jc w:val="center"/>
              <w:textAlignment w:val="top"/>
              <w:rPr>
                <w:rFonts w:hint="eastAsia" w:ascii="宋体" w:hAnsi="宋体" w:eastAsia="宋体" w:cs="宋体"/>
                <w:color w:val="000000"/>
                <w:kern w:val="0"/>
                <w:sz w:val="24"/>
                <w:szCs w:val="24"/>
                <w:lang w:bidi="ar"/>
              </w:rPr>
            </w:pPr>
          </w:p>
          <w:p w14:paraId="0E1206F1">
            <w:pPr>
              <w:widowControl/>
              <w:jc w:val="center"/>
              <w:textAlignment w:val="top"/>
              <w:rPr>
                <w:rFonts w:hint="eastAsia" w:ascii="宋体" w:hAnsi="宋体" w:eastAsia="宋体" w:cs="宋体"/>
                <w:color w:val="000000"/>
                <w:kern w:val="0"/>
                <w:sz w:val="24"/>
                <w:szCs w:val="24"/>
                <w:lang w:bidi="ar"/>
              </w:rPr>
            </w:pPr>
          </w:p>
          <w:p w14:paraId="784F0C83">
            <w:pPr>
              <w:widowControl/>
              <w:jc w:val="center"/>
              <w:textAlignment w:val="top"/>
              <w:rPr>
                <w:rFonts w:hint="eastAsia" w:ascii="宋体" w:hAnsi="宋体" w:eastAsia="宋体" w:cs="宋体"/>
                <w:color w:val="000000"/>
                <w:kern w:val="0"/>
                <w:sz w:val="24"/>
                <w:szCs w:val="24"/>
                <w:lang w:bidi="ar"/>
              </w:rPr>
            </w:pPr>
          </w:p>
          <w:p w14:paraId="6C18CD2E">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漏电保护开关</w:t>
            </w:r>
          </w:p>
        </w:tc>
        <w:tc>
          <w:tcPr>
            <w:tcW w:w="4611" w:type="dxa"/>
            <w:tcBorders>
              <w:top w:val="single" w:color="000000" w:sz="4" w:space="0"/>
              <w:left w:val="single" w:color="000000" w:sz="4" w:space="0"/>
              <w:bottom w:val="single" w:color="000000" w:sz="4" w:space="0"/>
              <w:right w:val="single" w:color="000000" w:sz="4" w:space="0"/>
            </w:tcBorders>
          </w:tcPr>
          <w:p w14:paraId="66E8BAA4">
            <w:pPr>
              <w:widowControl/>
              <w:jc w:val="left"/>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1.极数：1P，额定电流：16A，额定电压：AC220V；</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2.支持标准导轨式安装，防护等级IP20；</w:t>
            </w:r>
            <w:r>
              <w:rPr>
                <w:rFonts w:hint="eastAsia" w:ascii="宋体" w:hAnsi="宋体" w:eastAsia="宋体" w:cs="宋体"/>
                <w:color w:val="000000"/>
                <w:kern w:val="0"/>
                <w:sz w:val="24"/>
                <w:szCs w:val="24"/>
                <w:lang w:bidi="ar"/>
              </w:rPr>
              <w:br w:type="textWrapping"/>
            </w:r>
            <w:r>
              <w:rPr>
                <w:rFonts w:hint="eastAsia" w:ascii="宋体" w:hAnsi="宋体" w:eastAsia="宋体" w:cs="宋体"/>
                <w:color w:val="000000"/>
                <w:kern w:val="0"/>
                <w:sz w:val="24"/>
                <w:szCs w:val="24"/>
                <w:lang w:bidi="ar"/>
              </w:rPr>
              <w:t>3.应支持通过调节自动／手动／锁定开关，可切换自动模式、手动模式和锁定模式。自动模式时，可实现远程监测和远程、本地控制；手动模式时，可远程监测但关闭远程控制功能，可本地控制；锁定模式时，可将断路器锁定在分闸位置或合闸位置，锁定模式下远程、本地控制失效，远程监测正常，当手动分闸后，本地锁定功能启动，此时，设备不能远程合闸；设备支持1个RS485接口，1个DC12V电源和1个零线接口；设备间支持采用485总线软性连接，支持跨排连接，支持长距离通讯，支持独立拆装更换；当监测到线路中出现异常，设备报警分闸后，待线路中异常恢复正常时，设备报警消除并进行重合闸动作，支持通过远程平台设置重合闸的间隔时间；</w:t>
            </w:r>
            <w:r>
              <w:rPr>
                <w:rFonts w:hint="eastAsia" w:ascii="宋体" w:hAnsi="宋体" w:eastAsia="宋体" w:cs="宋体"/>
                <w:color w:val="000000"/>
                <w:sz w:val="24"/>
                <w:szCs w:val="24"/>
              </w:rPr>
              <w:t xml:space="preserve"> </w:t>
            </w:r>
          </w:p>
        </w:tc>
        <w:tc>
          <w:tcPr>
            <w:tcW w:w="901" w:type="dxa"/>
            <w:tcBorders>
              <w:top w:val="single" w:color="000000" w:sz="4" w:space="0"/>
              <w:left w:val="single" w:color="000000" w:sz="4" w:space="0"/>
              <w:bottom w:val="single" w:color="000000" w:sz="4" w:space="0"/>
              <w:right w:val="single" w:color="000000" w:sz="4" w:space="0"/>
            </w:tcBorders>
            <w:noWrap/>
          </w:tcPr>
          <w:p w14:paraId="405E26D7">
            <w:pPr>
              <w:widowControl/>
              <w:jc w:val="center"/>
              <w:textAlignment w:val="top"/>
              <w:rPr>
                <w:rFonts w:hint="eastAsia" w:ascii="宋体" w:hAnsi="宋体" w:eastAsia="宋体" w:cs="宋体"/>
                <w:color w:val="000000"/>
                <w:kern w:val="0"/>
                <w:sz w:val="24"/>
                <w:szCs w:val="24"/>
                <w:lang w:bidi="ar"/>
              </w:rPr>
            </w:pPr>
          </w:p>
          <w:p w14:paraId="4289C256">
            <w:pPr>
              <w:widowControl/>
              <w:jc w:val="center"/>
              <w:textAlignment w:val="top"/>
              <w:rPr>
                <w:rFonts w:hint="eastAsia" w:ascii="宋体" w:hAnsi="宋体" w:eastAsia="宋体" w:cs="宋体"/>
                <w:color w:val="000000"/>
                <w:kern w:val="0"/>
                <w:sz w:val="24"/>
                <w:szCs w:val="24"/>
                <w:lang w:bidi="ar"/>
              </w:rPr>
            </w:pPr>
          </w:p>
          <w:p w14:paraId="5265E74E">
            <w:pPr>
              <w:widowControl/>
              <w:jc w:val="center"/>
              <w:textAlignment w:val="top"/>
              <w:rPr>
                <w:rFonts w:hint="eastAsia" w:ascii="宋体" w:hAnsi="宋体" w:eastAsia="宋体" w:cs="宋体"/>
                <w:color w:val="000000"/>
                <w:kern w:val="0"/>
                <w:sz w:val="24"/>
                <w:szCs w:val="24"/>
                <w:lang w:bidi="ar"/>
              </w:rPr>
            </w:pPr>
          </w:p>
          <w:p w14:paraId="42B151D9">
            <w:pPr>
              <w:widowControl/>
              <w:jc w:val="center"/>
              <w:textAlignment w:val="top"/>
              <w:rPr>
                <w:rFonts w:hint="eastAsia" w:ascii="宋体" w:hAnsi="宋体" w:eastAsia="宋体" w:cs="宋体"/>
                <w:color w:val="000000"/>
                <w:kern w:val="0"/>
                <w:sz w:val="24"/>
                <w:szCs w:val="24"/>
                <w:lang w:bidi="ar"/>
              </w:rPr>
            </w:pPr>
          </w:p>
          <w:p w14:paraId="1A4F8B4F">
            <w:pPr>
              <w:widowControl/>
              <w:jc w:val="center"/>
              <w:textAlignment w:val="top"/>
              <w:rPr>
                <w:rFonts w:hint="eastAsia" w:ascii="宋体" w:hAnsi="宋体" w:eastAsia="宋体" w:cs="宋体"/>
                <w:color w:val="000000"/>
                <w:kern w:val="0"/>
                <w:sz w:val="24"/>
                <w:szCs w:val="24"/>
                <w:lang w:bidi="ar"/>
              </w:rPr>
            </w:pPr>
          </w:p>
          <w:p w14:paraId="4885839B">
            <w:pPr>
              <w:widowControl/>
              <w:jc w:val="center"/>
              <w:textAlignment w:val="top"/>
              <w:rPr>
                <w:rFonts w:hint="eastAsia" w:ascii="宋体" w:hAnsi="宋体" w:eastAsia="宋体" w:cs="宋体"/>
                <w:color w:val="000000"/>
                <w:kern w:val="0"/>
                <w:sz w:val="24"/>
                <w:szCs w:val="24"/>
                <w:lang w:bidi="ar"/>
              </w:rPr>
            </w:pPr>
          </w:p>
          <w:p w14:paraId="69197383">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16个</w:t>
            </w:r>
          </w:p>
        </w:tc>
        <w:tc>
          <w:tcPr>
            <w:tcW w:w="901" w:type="dxa"/>
            <w:tcBorders>
              <w:top w:val="single" w:color="000000" w:sz="4" w:space="0"/>
              <w:left w:val="single" w:color="000000" w:sz="4" w:space="0"/>
              <w:bottom w:val="single" w:color="000000" w:sz="4" w:space="0"/>
              <w:right w:val="single" w:color="000000" w:sz="4" w:space="0"/>
            </w:tcBorders>
            <w:noWrap/>
          </w:tcPr>
          <w:p w14:paraId="09FEE55F">
            <w:pPr>
              <w:widowControl/>
              <w:jc w:val="center"/>
              <w:textAlignment w:val="top"/>
              <w:rPr>
                <w:rFonts w:hint="eastAsia" w:ascii="宋体" w:hAnsi="宋体" w:eastAsia="宋体" w:cs="宋体"/>
                <w:color w:val="000000"/>
                <w:kern w:val="0"/>
                <w:sz w:val="24"/>
                <w:szCs w:val="24"/>
                <w:lang w:bidi="ar"/>
              </w:rPr>
            </w:pPr>
          </w:p>
          <w:p w14:paraId="10046078">
            <w:pPr>
              <w:pStyle w:val="3"/>
              <w:jc w:val="center"/>
              <w:rPr>
                <w:rFonts w:hint="eastAsia" w:ascii="宋体" w:hAnsi="宋体"/>
                <w:sz w:val="24"/>
                <w:szCs w:val="24"/>
                <w:lang w:bidi="ar"/>
              </w:rPr>
            </w:pPr>
          </w:p>
          <w:p w14:paraId="53215652">
            <w:pPr>
              <w:rPr>
                <w:rFonts w:hint="eastAsia" w:ascii="宋体" w:hAnsi="宋体" w:eastAsia="宋体" w:cs="Times New Roman"/>
                <w:sz w:val="24"/>
                <w:szCs w:val="24"/>
                <w:lang w:bidi="ar"/>
              </w:rPr>
            </w:pPr>
          </w:p>
          <w:p w14:paraId="43612092">
            <w:pPr>
              <w:ind w:firstLine="240" w:firstLineChars="100"/>
              <w:rPr>
                <w:rFonts w:hint="eastAsia" w:ascii="宋体" w:hAnsi="宋体" w:eastAsia="宋体" w:cs="Times New Roman"/>
                <w:sz w:val="24"/>
                <w:szCs w:val="24"/>
                <w:lang w:bidi="ar"/>
              </w:rPr>
            </w:pPr>
            <w:r>
              <w:rPr>
                <w:rFonts w:hint="eastAsia" w:ascii="宋体" w:hAnsi="宋体" w:eastAsia="宋体" w:cs="Times New Roman"/>
                <w:sz w:val="24"/>
                <w:szCs w:val="24"/>
                <w:lang w:bidi="ar"/>
              </w:rPr>
              <w:t>300</w:t>
            </w:r>
          </w:p>
        </w:tc>
        <w:tc>
          <w:tcPr>
            <w:tcW w:w="987" w:type="dxa"/>
            <w:tcBorders>
              <w:top w:val="single" w:color="000000" w:sz="4" w:space="0"/>
              <w:left w:val="single" w:color="000000" w:sz="4" w:space="0"/>
              <w:bottom w:val="single" w:color="000000" w:sz="4" w:space="0"/>
              <w:right w:val="single" w:color="000000" w:sz="4" w:space="0"/>
            </w:tcBorders>
            <w:noWrap/>
          </w:tcPr>
          <w:p w14:paraId="3AAC2CE6">
            <w:pPr>
              <w:widowControl/>
              <w:jc w:val="center"/>
              <w:textAlignment w:val="top"/>
              <w:rPr>
                <w:rFonts w:hint="eastAsia" w:ascii="宋体" w:hAnsi="宋体" w:eastAsia="宋体" w:cs="宋体"/>
                <w:color w:val="000000"/>
                <w:kern w:val="0"/>
                <w:sz w:val="24"/>
                <w:szCs w:val="24"/>
                <w:lang w:bidi="ar"/>
              </w:rPr>
            </w:pPr>
          </w:p>
          <w:p w14:paraId="1B7BAE25">
            <w:pPr>
              <w:widowControl/>
              <w:jc w:val="center"/>
              <w:textAlignment w:val="top"/>
              <w:rPr>
                <w:rFonts w:hint="eastAsia" w:ascii="宋体" w:hAnsi="宋体" w:eastAsia="宋体" w:cs="宋体"/>
                <w:color w:val="000000"/>
                <w:kern w:val="0"/>
                <w:sz w:val="24"/>
                <w:szCs w:val="24"/>
                <w:lang w:bidi="ar"/>
              </w:rPr>
            </w:pPr>
          </w:p>
          <w:p w14:paraId="7D3EE775">
            <w:pPr>
              <w:widowControl/>
              <w:jc w:val="center"/>
              <w:textAlignment w:val="top"/>
              <w:rPr>
                <w:rFonts w:hint="eastAsia" w:ascii="宋体" w:hAnsi="宋体" w:eastAsia="宋体" w:cs="宋体"/>
                <w:color w:val="000000"/>
                <w:kern w:val="0"/>
                <w:sz w:val="24"/>
                <w:szCs w:val="24"/>
                <w:lang w:bidi="ar"/>
              </w:rPr>
            </w:pPr>
          </w:p>
          <w:p w14:paraId="38A3C562">
            <w:pPr>
              <w:widowControl/>
              <w:jc w:val="center"/>
              <w:textAlignment w:val="top"/>
              <w:rPr>
                <w:rFonts w:hint="eastAsia" w:ascii="宋体" w:hAnsi="宋体" w:eastAsia="宋体" w:cs="宋体"/>
                <w:color w:val="000000"/>
                <w:kern w:val="0"/>
                <w:sz w:val="24"/>
                <w:szCs w:val="24"/>
                <w:lang w:bidi="ar"/>
              </w:rPr>
            </w:pPr>
          </w:p>
          <w:p w14:paraId="588C4242">
            <w:pPr>
              <w:widowControl/>
              <w:jc w:val="center"/>
              <w:textAlignment w:val="top"/>
              <w:rPr>
                <w:rFonts w:hint="eastAsia" w:ascii="宋体" w:hAnsi="宋体" w:eastAsia="宋体" w:cs="宋体"/>
                <w:color w:val="000000"/>
                <w:kern w:val="0"/>
                <w:sz w:val="24"/>
                <w:szCs w:val="24"/>
                <w:lang w:bidi="ar"/>
              </w:rPr>
            </w:pPr>
          </w:p>
          <w:p w14:paraId="55CF1F27">
            <w:pPr>
              <w:widowControl/>
              <w:jc w:val="center"/>
              <w:textAlignment w:val="top"/>
              <w:rPr>
                <w:rFonts w:hint="eastAsia" w:ascii="宋体" w:hAnsi="宋体" w:eastAsia="宋体" w:cs="宋体"/>
                <w:color w:val="000000"/>
                <w:kern w:val="0"/>
                <w:sz w:val="24"/>
                <w:szCs w:val="24"/>
                <w:lang w:bidi="ar"/>
              </w:rPr>
            </w:pPr>
          </w:p>
          <w:p w14:paraId="4D21A33B">
            <w:pPr>
              <w:widowControl/>
              <w:jc w:val="center"/>
              <w:textAlignment w:val="top"/>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4800</w:t>
            </w:r>
          </w:p>
        </w:tc>
      </w:tr>
      <w:tr w14:paraId="4DA3F45A">
        <w:tblPrEx>
          <w:tblCellMar>
            <w:top w:w="0" w:type="dxa"/>
            <w:left w:w="108" w:type="dxa"/>
            <w:bottom w:w="0" w:type="dxa"/>
            <w:right w:w="108" w:type="dxa"/>
          </w:tblCellMar>
        </w:tblPrEx>
        <w:trPr>
          <w:trHeight w:val="548" w:hRule="atLeast"/>
          <w:jc w:val="center"/>
        </w:trPr>
        <w:tc>
          <w:tcPr>
            <w:tcW w:w="9831" w:type="dxa"/>
            <w:gridSpan w:val="6"/>
            <w:tcBorders>
              <w:top w:val="single" w:color="000000" w:sz="4" w:space="0"/>
              <w:left w:val="single" w:color="000000" w:sz="4" w:space="0"/>
              <w:bottom w:val="single" w:color="000000" w:sz="4" w:space="0"/>
              <w:right w:val="single" w:color="000000" w:sz="4" w:space="0"/>
            </w:tcBorders>
            <w:noWrap/>
          </w:tcPr>
          <w:p w14:paraId="257F2AD9">
            <w:pPr>
              <w:rPr>
                <w:rFonts w:hint="eastAsia" w:ascii="宋体" w:hAnsi="宋体" w:eastAsia="宋体" w:cs="Times New Roman"/>
                <w:sz w:val="24"/>
                <w:szCs w:val="24"/>
              </w:rPr>
            </w:pPr>
            <w:r>
              <w:rPr>
                <w:rFonts w:ascii="宋体" w:hAnsi="宋体" w:eastAsia="宋体" w:cs="Times New Roman"/>
                <w:sz w:val="24"/>
                <w:szCs w:val="24"/>
              </w:rPr>
              <w:t xml:space="preserve">备注： </w:t>
            </w:r>
          </w:p>
          <w:p w14:paraId="19078F7A">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1.技术和服务要求均为重要要求，不允许负偏离，任一项负偏离或不满足要求的属重大偏离，为无效投标。</w:t>
            </w:r>
          </w:p>
          <w:p w14:paraId="160AC6B8">
            <w:pPr>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cs="Times New Roman"/>
                <w:sz w:val="24"/>
                <w:szCs w:val="24"/>
              </w:rPr>
              <w:t>为保证售后服务统一性，投标人所投空调机需为同一品牌</w:t>
            </w:r>
            <w:r>
              <w:rPr>
                <w:rFonts w:hint="eastAsia" w:ascii="宋体" w:hAnsi="宋体" w:eastAsia="宋体" w:cs="Times New Roman"/>
                <w:sz w:val="24"/>
                <w:szCs w:val="24"/>
              </w:rPr>
              <w:t>。</w:t>
            </w:r>
          </w:p>
          <w:p w14:paraId="28BFC44A">
            <w:pPr>
              <w:ind w:firstLine="480" w:firstLineChars="200"/>
              <w:rPr>
                <w:rFonts w:ascii="宋体" w:hAnsi="宋体" w:eastAsia="宋体" w:cs="Times New Roman"/>
                <w:sz w:val="24"/>
                <w:szCs w:val="24"/>
              </w:rPr>
            </w:pPr>
            <w:r>
              <w:rPr>
                <w:rFonts w:hint="eastAsia" w:ascii="宋体" w:hAnsi="宋体" w:eastAsia="宋体" w:cs="Times New Roman"/>
                <w:sz w:val="24"/>
                <w:szCs w:val="24"/>
              </w:rPr>
              <w:t>3.核心产品供应商除了提供分项报价以外还必须提供认证资质机构出具的有效检验检测报告原件和中国节能认证产品认证证书复印件，若资料不全或与响应文件不符，按《政府采购法》虚假应标条款处理并上报监管部门。</w:t>
            </w:r>
          </w:p>
          <w:p w14:paraId="532DA090">
            <w:pPr>
              <w:ind w:firstLine="480" w:firstLineChars="200"/>
              <w:rPr>
                <w:rFonts w:hint="eastAsia" w:ascii="宋体" w:hAnsi="宋体" w:eastAsia="宋体" w:cs="宋体"/>
                <w:color w:val="000000"/>
                <w:kern w:val="0"/>
                <w:sz w:val="24"/>
                <w:szCs w:val="24"/>
                <w:lang w:bidi="ar"/>
              </w:rPr>
            </w:pPr>
            <w:r>
              <w:rPr>
                <w:rFonts w:hint="eastAsia" w:ascii="宋体" w:hAnsi="宋体" w:eastAsia="宋体" w:cs="Times New Roman"/>
                <w:sz w:val="24"/>
                <w:szCs w:val="24"/>
              </w:rPr>
              <w:t>。</w:t>
            </w:r>
          </w:p>
        </w:tc>
      </w:tr>
    </w:tbl>
    <w:p w14:paraId="5549F878">
      <w:pPr>
        <w:pStyle w:val="12"/>
        <w:widowControl/>
        <w:numPr>
          <w:ilvl w:val="0"/>
          <w:numId w:val="2"/>
        </w:numPr>
        <w:shd w:val="clear" w:color="auto" w:fill="FFFFFF"/>
        <w:spacing w:line="360" w:lineRule="auto"/>
        <w:ind w:firstLine="480"/>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rPr>
        <w:t>最高控制价：本项目最高控制价为128000元（含税包干），竞价人以总价报价方式进行报价，竞价人在报价时不得高于最高限价，根据有效供应商报价排名情况，由低到高排序，最低的一名即为成交人。最高控制价为包干价，包括但不限于货物款、运输费、安装费、辅料、税费等，竞价人应对本次供货内容应有充分认识，自行判断能够完成本项目所需的费用，风险费用应自行考虑计入投标报价，竞价人未考虑风险因素造成的损失由竞价人自行负责。</w:t>
      </w:r>
    </w:p>
    <w:p w14:paraId="11CE08B6">
      <w:pPr>
        <w:pStyle w:val="12"/>
        <w:widowControl/>
        <w:shd w:val="clear" w:color="auto" w:fill="FFFFFF"/>
        <w:spacing w:line="360" w:lineRule="auto"/>
        <w:ind w:left="480"/>
        <w:rPr>
          <w:rFonts w:hint="eastAsia" w:ascii="宋体" w:hAnsi="宋体" w:eastAsia="宋体" w:cs="宋体"/>
          <w:color w:val="333333"/>
          <w:szCs w:val="24"/>
          <w:shd w:val="clear" w:color="auto" w:fill="FFFFFF"/>
        </w:rPr>
      </w:pPr>
      <w:r>
        <w:rPr>
          <w:rFonts w:hint="eastAsia" w:ascii="宋体" w:hAnsi="宋体" w:eastAsia="宋体" w:cs="宋体"/>
          <w:color w:val="333333"/>
          <w:szCs w:val="24"/>
          <w:shd w:val="clear" w:color="auto" w:fill="FFFFFF"/>
        </w:rPr>
        <w:t>5.供货期限：合同签订后10日内完成供货并安装完毕。</w:t>
      </w:r>
    </w:p>
    <w:p w14:paraId="2830DDEC">
      <w:pPr>
        <w:spacing w:line="360" w:lineRule="auto"/>
        <w:ind w:firstLine="480" w:firstLineChars="200"/>
        <w:rPr>
          <w:rFonts w:hint="eastAsia" w:ascii="宋体" w:hAnsi="宋体" w:cs="宋体"/>
          <w:color w:val="333333"/>
          <w:sz w:val="24"/>
          <w:szCs w:val="24"/>
          <w:shd w:val="clear" w:color="auto" w:fill="FFFFFF"/>
        </w:rPr>
      </w:pPr>
      <w:r>
        <w:rPr>
          <w:rFonts w:hint="eastAsia" w:asciiTheme="minorEastAsia" w:hAnsiTheme="minorEastAsia" w:eastAsiaTheme="minorEastAsia" w:cstheme="minorEastAsia"/>
          <w:sz w:val="24"/>
          <w:szCs w:val="24"/>
        </w:rPr>
        <w:t>6.供货要求：成交人根据与委托人签订的《采购合同》完成供货。</w:t>
      </w:r>
    </w:p>
    <w:p w14:paraId="75BE7C39">
      <w:pPr>
        <w:pStyle w:val="12"/>
        <w:widowControl/>
        <w:shd w:val="clear" w:color="auto" w:fill="FFFFFF"/>
        <w:spacing w:line="360" w:lineRule="auto"/>
        <w:ind w:firstLine="480"/>
        <w:jc w:val="both"/>
        <w:rPr>
          <w:rFonts w:hint="eastAsia" w:ascii="宋体" w:hAnsi="宋体" w:eastAsia="宋体" w:cs="宋体"/>
          <w:b/>
          <w:bCs/>
          <w:color w:val="000000" w:themeColor="text1"/>
          <w:szCs w:val="24"/>
          <w:shd w:val="clear" w:color="auto" w:fill="FFFFFF"/>
          <w14:textFill>
            <w14:solidFill>
              <w14:schemeClr w14:val="tx1"/>
            </w14:solidFill>
          </w14:textFill>
        </w:rPr>
      </w:pPr>
      <w:r>
        <w:rPr>
          <w:rFonts w:hint="eastAsia" w:asciiTheme="minorEastAsia" w:hAnsiTheme="minorEastAsia" w:eastAsiaTheme="minorEastAsia" w:cstheme="minorEastAsia"/>
          <w:kern w:val="2"/>
          <w:szCs w:val="24"/>
        </w:rPr>
        <w:t>7.</w:t>
      </w:r>
      <w:r>
        <w:rPr>
          <w:rFonts w:hint="eastAsia" w:ascii="宋体" w:hAnsi="宋体" w:eastAsia="宋体" w:cs="宋体"/>
          <w:b/>
          <w:bCs/>
          <w:color w:val="000000" w:themeColor="text1"/>
          <w:szCs w:val="24"/>
          <w:shd w:val="clear" w:color="auto" w:fill="FFFFFF"/>
          <w14:textFill>
            <w14:solidFill>
              <w14:schemeClr w14:val="tx1"/>
            </w14:solidFill>
          </w14:textFill>
        </w:rPr>
        <w:t>售后要求</w:t>
      </w:r>
    </w:p>
    <w:p w14:paraId="27B0A094">
      <w:pPr>
        <w:pStyle w:val="12"/>
        <w:widowControl/>
        <w:spacing w:line="360" w:lineRule="auto"/>
        <w:ind w:firstLine="480" w:firstLineChars="200"/>
        <w:rPr>
          <w:rFonts w:hint="eastAsia" w:asciiTheme="minorEastAsia" w:hAnsiTheme="minorEastAsia" w:eastAsiaTheme="minorEastAsia" w:cstheme="minorEastAsia"/>
          <w:color w:val="000000"/>
          <w:szCs w:val="24"/>
        </w:rPr>
      </w:pPr>
      <w:r>
        <w:rPr>
          <w:rFonts w:hint="eastAsia" w:asciiTheme="minorEastAsia" w:hAnsiTheme="minorEastAsia" w:eastAsiaTheme="minorEastAsia" w:cstheme="minorEastAsia"/>
          <w:color w:val="000000"/>
          <w:szCs w:val="24"/>
        </w:rPr>
        <w:t>1）</w:t>
      </w:r>
      <w:r>
        <w:rPr>
          <w:rFonts w:hint="eastAsia" w:asciiTheme="minorEastAsia" w:hAnsiTheme="minorEastAsia" w:eastAsiaTheme="minorEastAsia" w:cstheme="minorEastAsia"/>
          <w:b/>
          <w:bCs/>
          <w:color w:val="000000"/>
          <w:szCs w:val="24"/>
        </w:rPr>
        <w:t>自验收合格之日起，所有产品免费保修不少于二年。</w:t>
      </w:r>
      <w:r>
        <w:rPr>
          <w:rFonts w:hint="eastAsia" w:asciiTheme="minorEastAsia" w:hAnsiTheme="minorEastAsia" w:eastAsiaTheme="minorEastAsia" w:cstheme="minorEastAsia"/>
          <w:color w:val="000000"/>
          <w:szCs w:val="24"/>
        </w:rPr>
        <w:t>质保期内，须按合同条款提供免费服务。免费保修期满前1个月内成交人应负责对所有货物及配件进行一次免费全面检查，如发现潜在问题，应负责排除，保证货物正常运行。</w:t>
      </w:r>
    </w:p>
    <w:p w14:paraId="3E0D09A2">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kern w:val="0"/>
          <w:sz w:val="24"/>
          <w:szCs w:val="24"/>
        </w:rPr>
        <w:t>成交人应派工程师到现场安装、调试至正常工作。</w:t>
      </w:r>
    </w:p>
    <w:p w14:paraId="15376AB7">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kern w:val="0"/>
          <w:sz w:val="24"/>
          <w:szCs w:val="24"/>
        </w:rPr>
        <w:t>此次采购的设备应按国家有关规定进行保修，国家无规定的，按厂家标准或与委托人协商结果保修。保修期内非因操作不当造成需要更换的零配件及设备由成交人负责包修、包换，</w:t>
      </w:r>
      <w:r>
        <w:rPr>
          <w:rFonts w:hint="eastAsia" w:asciiTheme="minorEastAsia" w:hAnsiTheme="minorEastAsia" w:eastAsiaTheme="minorEastAsia" w:cstheme="minorEastAsia"/>
          <w:color w:val="000000"/>
          <w:sz w:val="24"/>
          <w:szCs w:val="24"/>
        </w:rPr>
        <w:t>到达现场不超过8小时。</w:t>
      </w:r>
    </w:p>
    <w:p w14:paraId="0A05A050">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kern w:val="0"/>
          <w:sz w:val="24"/>
          <w:szCs w:val="24"/>
        </w:rPr>
        <w:t>竞价人可视自身能力提供更优、更合理的维修服务承诺。</w:t>
      </w:r>
    </w:p>
    <w:p w14:paraId="14E3C886">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kern w:val="0"/>
          <w:sz w:val="24"/>
          <w:szCs w:val="24"/>
        </w:rPr>
        <w:t>保修期结束后，成交人有责任（或在货物使用地区指定有能力的合作伙伴）对货物在必要时进行定期维护和修理。</w:t>
      </w:r>
    </w:p>
    <w:p w14:paraId="01907DA6">
      <w:pPr>
        <w:pStyle w:val="12"/>
        <w:widowControl/>
        <w:shd w:val="clear" w:color="auto" w:fill="FFFFFF"/>
        <w:spacing w:line="360" w:lineRule="auto"/>
        <w:ind w:firstLine="480"/>
        <w:jc w:val="both"/>
        <w:rPr>
          <w:rFonts w:hint="eastAsia" w:ascii="宋体" w:hAnsi="宋体" w:eastAsia="宋体" w:cs="宋体"/>
          <w:b/>
          <w:bCs/>
          <w:color w:val="000000" w:themeColor="text1"/>
          <w:szCs w:val="24"/>
          <w:shd w:val="clear" w:color="auto" w:fill="FFFFFF"/>
          <w14:textFill>
            <w14:solidFill>
              <w14:schemeClr w14:val="tx1"/>
            </w14:solidFill>
          </w14:textFill>
        </w:rPr>
      </w:pPr>
      <w:r>
        <w:rPr>
          <w:rFonts w:hint="eastAsia" w:ascii="宋体" w:hAnsi="宋体" w:eastAsia="宋体" w:cs="宋体"/>
          <w:b/>
          <w:bCs/>
          <w:color w:val="000000" w:themeColor="text1"/>
          <w:szCs w:val="24"/>
          <w:shd w:val="clear" w:color="auto" w:fill="FFFFFF"/>
          <w14:textFill>
            <w14:solidFill>
              <w14:schemeClr w14:val="tx1"/>
            </w14:solidFill>
          </w14:textFill>
        </w:rPr>
        <w:t>8.验收标准及要求</w:t>
      </w:r>
    </w:p>
    <w:p w14:paraId="1F30E8ED">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r>
        <w:rPr>
          <w:rFonts w:hint="eastAsia" w:asciiTheme="minorEastAsia" w:hAnsiTheme="minorEastAsia" w:eastAsiaTheme="minorEastAsia" w:cstheme="minorEastAsia"/>
          <w:bCs/>
          <w:color w:val="000000"/>
          <w:kern w:val="0"/>
          <w:sz w:val="24"/>
          <w:szCs w:val="24"/>
        </w:rPr>
        <w:t>）</w:t>
      </w:r>
      <w:r>
        <w:rPr>
          <w:rFonts w:hint="eastAsia" w:asciiTheme="minorEastAsia" w:hAnsiTheme="minorEastAsia" w:eastAsiaTheme="minorEastAsia" w:cstheme="minorEastAsia"/>
          <w:color w:val="000000"/>
          <w:kern w:val="0"/>
          <w:sz w:val="24"/>
          <w:szCs w:val="24"/>
        </w:rPr>
        <w:t>验收标准：根据本竞价文件、成交人的响应文件、承诺及有关国家、行业规定进行验收。</w:t>
      </w:r>
    </w:p>
    <w:p w14:paraId="3264989A">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w:t>
      </w:r>
      <w:r>
        <w:rPr>
          <w:rFonts w:hint="eastAsia" w:asciiTheme="minorEastAsia" w:hAnsiTheme="minorEastAsia" w:eastAsiaTheme="minorEastAsia" w:cstheme="minorEastAsia"/>
          <w:bCs/>
          <w:color w:val="000000"/>
          <w:kern w:val="0"/>
          <w:sz w:val="24"/>
          <w:szCs w:val="24"/>
        </w:rPr>
        <w:t>）</w:t>
      </w:r>
      <w:r>
        <w:rPr>
          <w:rFonts w:hint="eastAsia" w:asciiTheme="minorEastAsia" w:hAnsiTheme="minorEastAsia" w:eastAsiaTheme="minorEastAsia" w:cstheme="minorEastAsia"/>
          <w:color w:val="000000"/>
          <w:kern w:val="0"/>
          <w:sz w:val="24"/>
          <w:szCs w:val="24"/>
        </w:rPr>
        <w:t>成交人根据竞价文件夹进行产品安装、调试、测试、试运行后，由委托人或委托人请技术专家检测（或抽样送有资质的检测机构检测）作为验收标准依据并组织进行使用性能方面的验收，所有费用包含在报价内，委托人不再另行支付其他费用。</w:t>
      </w:r>
    </w:p>
    <w:p w14:paraId="583F1C61">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3）委托人有权对所供产品进行破坏性测试，所有费用包含在报价内，委托人不再另行支付其他费用。</w:t>
      </w:r>
    </w:p>
    <w:p w14:paraId="0830A1ED">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w:t>
      </w:r>
      <w:r>
        <w:rPr>
          <w:rFonts w:hint="eastAsia" w:asciiTheme="minorEastAsia" w:hAnsiTheme="minorEastAsia" w:eastAsiaTheme="minorEastAsia" w:cstheme="minorEastAsia"/>
          <w:bCs/>
          <w:color w:val="000000"/>
          <w:kern w:val="0"/>
          <w:sz w:val="24"/>
          <w:szCs w:val="24"/>
        </w:rPr>
        <w:t>）</w:t>
      </w:r>
      <w:r>
        <w:rPr>
          <w:rFonts w:hint="eastAsia" w:asciiTheme="minorEastAsia" w:hAnsiTheme="minorEastAsia" w:eastAsiaTheme="minorEastAsia" w:cstheme="minorEastAsia"/>
          <w:color w:val="000000"/>
          <w:kern w:val="0"/>
          <w:sz w:val="24"/>
          <w:szCs w:val="24"/>
        </w:rPr>
        <w:t>货物到货验收时成交人代表必须在场，并提供产品合格证、质量保证文件等相关证明材料。</w:t>
      </w:r>
    </w:p>
    <w:p w14:paraId="4CC0B373">
      <w:pPr>
        <w:spacing w:line="360" w:lineRule="auto"/>
        <w:ind w:firstLine="482" w:firstLineChars="2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9.包装要求</w:t>
      </w:r>
    </w:p>
    <w:p w14:paraId="17B11F04">
      <w:pPr>
        <w:widowControl/>
        <w:spacing w:line="360" w:lineRule="auto"/>
        <w:ind w:firstLine="480" w:firstLineChars="200"/>
        <w:textAlignment w:val="baseline"/>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1）标志：产品表层有明显的型号规格等标志，该标志在寿命期内应清晰、永久。</w:t>
      </w:r>
    </w:p>
    <w:p w14:paraId="00FFA6F0">
      <w:pPr>
        <w:widowControl/>
        <w:spacing w:line="360" w:lineRule="auto"/>
        <w:ind w:firstLine="480" w:firstLineChars="200"/>
        <w:textAlignment w:val="baseline"/>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2）包装：产品的包装应保证在运输、储藏和安装期间的安全及性能不受损害。包装盒/箱内应附有产品合格证、出厂日期、产品说明书、附件及附件清单等。</w:t>
      </w:r>
    </w:p>
    <w:p w14:paraId="6AB3E76D">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3）运输：产品在运输过程中应避免雨雪的直接淋袭或烈日的暴晒。</w:t>
      </w:r>
    </w:p>
    <w:p w14:paraId="12C2412E">
      <w:pPr>
        <w:spacing w:line="360" w:lineRule="auto"/>
        <w:ind w:firstLine="482" w:firstLineChars="2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10.其他要求</w:t>
      </w:r>
    </w:p>
    <w:p w14:paraId="414B34F6">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kern w:val="0"/>
          <w:sz w:val="24"/>
          <w:szCs w:val="24"/>
        </w:rPr>
        <w:t>颜色、款式委托人可根据实际情况在生产前进行调整，但不得实质性改变竞价文件和响应文件的要求。成交人根据委托人书面确认的颜色和款式进行供货，未按要求提供的，后果由成交人自行承担；</w:t>
      </w:r>
    </w:p>
    <w:p w14:paraId="7D3BA47E">
      <w:pPr>
        <w:widowControl/>
        <w:spacing w:line="360" w:lineRule="auto"/>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宋体" w:hAnsi="宋体" w:cs="宋体"/>
          <w:color w:val="000000" w:themeColor="text1"/>
          <w:sz w:val="24"/>
          <w14:textFill>
            <w14:solidFill>
              <w14:schemeClr w14:val="tx1"/>
            </w14:solidFill>
          </w14:textFill>
        </w:rPr>
        <w:t>是否收取履约保证金：</w:t>
      </w:r>
      <w:r>
        <w:rPr>
          <w:rFonts w:hint="eastAsia" w:ascii="宋体" w:hAnsi="宋体" w:cs="宋体"/>
          <w:color w:val="000000" w:themeColor="text1"/>
          <w:sz w:val="24"/>
          <w:u w:val="single"/>
          <w14:textFill>
            <w14:solidFill>
              <w14:schemeClr w14:val="tx1"/>
            </w14:solidFill>
          </w14:textFill>
        </w:rPr>
        <w:t xml:space="preserve">  否  </w:t>
      </w:r>
    </w:p>
    <w:p w14:paraId="742281E3">
      <w:pPr>
        <w:widowControl/>
        <w:spacing w:line="360" w:lineRule="auto"/>
        <w:ind w:firstLine="480"/>
        <w:jc w:val="left"/>
        <w:rPr>
          <w:rFonts w:hint="eastAsia" w:ascii="宋体" w:hAnsi="宋体" w:cs="宋体"/>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b/>
          <w:color w:val="000000"/>
          <w:sz w:val="24"/>
          <w:szCs w:val="24"/>
        </w:rPr>
        <w:t>11.</w:t>
      </w:r>
      <w:r>
        <w:rPr>
          <w:rFonts w:hint="eastAsia" w:ascii="宋体" w:hAnsi="宋体" w:cs="宋体"/>
          <w:b/>
          <w:bCs/>
          <w:color w:val="000000" w:themeColor="text1"/>
          <w:kern w:val="0"/>
          <w:sz w:val="24"/>
          <w:szCs w:val="24"/>
          <w14:textFill>
            <w14:solidFill>
              <w14:schemeClr w14:val="tx1"/>
            </w14:solidFill>
          </w14:textFill>
        </w:rPr>
        <w:t>付款方式：</w:t>
      </w:r>
    </w:p>
    <w:tbl>
      <w:tblPr>
        <w:tblStyle w:val="14"/>
        <w:tblW w:w="9410" w:type="dxa"/>
        <w:jc w:val="center"/>
        <w:tblLayout w:type="autofit"/>
        <w:tblCellMar>
          <w:top w:w="0" w:type="dxa"/>
          <w:left w:w="0" w:type="dxa"/>
          <w:bottom w:w="0" w:type="dxa"/>
          <w:right w:w="0" w:type="dxa"/>
        </w:tblCellMar>
      </w:tblPr>
      <w:tblGrid>
        <w:gridCol w:w="1232"/>
        <w:gridCol w:w="1819"/>
        <w:gridCol w:w="6359"/>
      </w:tblGrid>
      <w:tr w14:paraId="0CF5E3A4">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6ADDD514">
            <w:pPr>
              <w:widowControl/>
              <w:jc w:val="left"/>
              <w:rPr>
                <w:rFonts w:hint="eastAsia" w:ascii="宋体" w:hAnsi="宋体" w:cs="宋体"/>
                <w:kern w:val="0"/>
                <w:sz w:val="24"/>
                <w:szCs w:val="24"/>
              </w:rPr>
            </w:pPr>
            <w:r>
              <w:rPr>
                <w:rFonts w:hint="eastAsia" w:ascii="宋体" w:hAnsi="宋体" w:cs="宋体"/>
                <w:kern w:val="0"/>
                <w:sz w:val="24"/>
                <w:szCs w:val="24"/>
              </w:rPr>
              <w:t>支付期次</w:t>
            </w:r>
          </w:p>
        </w:tc>
        <w:tc>
          <w:tcPr>
            <w:tcW w:w="1819" w:type="dxa"/>
            <w:tcBorders>
              <w:top w:val="inset" w:color="auto" w:sz="8" w:space="0"/>
              <w:left w:val="inset" w:color="auto" w:sz="8" w:space="0"/>
              <w:bottom w:val="inset" w:color="auto" w:sz="8" w:space="0"/>
              <w:right w:val="inset" w:color="auto" w:sz="8" w:space="0"/>
            </w:tcBorders>
            <w:vAlign w:val="center"/>
          </w:tcPr>
          <w:p w14:paraId="5B444498">
            <w:pPr>
              <w:widowControl/>
              <w:ind w:firstLine="240"/>
              <w:jc w:val="left"/>
              <w:rPr>
                <w:rFonts w:hint="eastAsia" w:ascii="宋体" w:hAnsi="宋体" w:cs="宋体"/>
                <w:kern w:val="0"/>
                <w:sz w:val="24"/>
                <w:szCs w:val="24"/>
              </w:rPr>
            </w:pPr>
            <w:r>
              <w:rPr>
                <w:rFonts w:hint="eastAsia" w:ascii="宋体" w:hAnsi="宋体" w:cs="宋体"/>
                <w:kern w:val="0"/>
                <w:sz w:val="24"/>
                <w:szCs w:val="24"/>
              </w:rPr>
              <w:t>支付比例(%)</w:t>
            </w:r>
          </w:p>
        </w:tc>
        <w:tc>
          <w:tcPr>
            <w:tcW w:w="6359" w:type="dxa"/>
            <w:tcBorders>
              <w:top w:val="inset" w:color="auto" w:sz="8" w:space="0"/>
              <w:left w:val="inset" w:color="auto" w:sz="8" w:space="0"/>
              <w:bottom w:val="inset" w:color="auto" w:sz="8" w:space="0"/>
              <w:right w:val="inset" w:color="auto" w:sz="8" w:space="0"/>
            </w:tcBorders>
            <w:vAlign w:val="center"/>
          </w:tcPr>
          <w:p w14:paraId="65085D73">
            <w:pPr>
              <w:widowControl/>
              <w:jc w:val="left"/>
              <w:rPr>
                <w:rFonts w:hint="eastAsia" w:ascii="宋体" w:hAnsi="宋体" w:cs="宋体"/>
                <w:kern w:val="0"/>
                <w:sz w:val="24"/>
                <w:szCs w:val="24"/>
              </w:rPr>
            </w:pPr>
            <w:r>
              <w:rPr>
                <w:rFonts w:hint="eastAsia" w:ascii="宋体" w:hAnsi="宋体" w:cs="宋体"/>
                <w:kern w:val="0"/>
                <w:sz w:val="24"/>
                <w:szCs w:val="24"/>
              </w:rPr>
              <w:t>支付期次说明</w:t>
            </w:r>
          </w:p>
        </w:tc>
      </w:tr>
      <w:tr w14:paraId="5078FD69">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502ABC68">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819" w:type="dxa"/>
            <w:tcBorders>
              <w:top w:val="inset" w:color="auto" w:sz="8" w:space="0"/>
              <w:left w:val="inset" w:color="auto" w:sz="8" w:space="0"/>
              <w:bottom w:val="inset" w:color="auto" w:sz="8" w:space="0"/>
              <w:right w:val="inset" w:color="auto" w:sz="8" w:space="0"/>
            </w:tcBorders>
            <w:vAlign w:val="center"/>
          </w:tcPr>
          <w:p w14:paraId="128AB39B">
            <w:pPr>
              <w:widowControl/>
              <w:jc w:val="center"/>
              <w:rPr>
                <w:rFonts w:hint="eastAsia" w:ascii="宋体" w:hAnsi="宋体" w:cs="宋体"/>
                <w:kern w:val="0"/>
                <w:sz w:val="24"/>
                <w:szCs w:val="24"/>
              </w:rPr>
            </w:pPr>
            <w:r>
              <w:rPr>
                <w:rFonts w:hint="eastAsia" w:ascii="宋体" w:hAnsi="宋体" w:cs="宋体"/>
                <w:kern w:val="0"/>
                <w:sz w:val="24"/>
                <w:szCs w:val="24"/>
              </w:rPr>
              <w:t>70</w:t>
            </w:r>
          </w:p>
        </w:tc>
        <w:tc>
          <w:tcPr>
            <w:tcW w:w="6359" w:type="dxa"/>
            <w:tcBorders>
              <w:top w:val="inset" w:color="auto" w:sz="8" w:space="0"/>
              <w:left w:val="inset" w:color="auto" w:sz="8" w:space="0"/>
              <w:bottom w:val="inset" w:color="auto" w:sz="8" w:space="0"/>
              <w:right w:val="inset" w:color="auto" w:sz="8" w:space="0"/>
            </w:tcBorders>
            <w:vAlign w:val="center"/>
          </w:tcPr>
          <w:p w14:paraId="6E190245">
            <w:pPr>
              <w:widowControl/>
              <w:jc w:val="left"/>
              <w:rPr>
                <w:rFonts w:hint="eastAsia" w:ascii="宋体" w:hAnsi="宋体" w:cs="宋体"/>
                <w:kern w:val="0"/>
                <w:sz w:val="24"/>
                <w:szCs w:val="24"/>
              </w:rPr>
            </w:pPr>
            <w:r>
              <w:rPr>
                <w:rFonts w:hint="eastAsia" w:ascii="宋体" w:hAnsi="宋体" w:cs="宋体"/>
                <w:kern w:val="0"/>
                <w:sz w:val="24"/>
                <w:szCs w:val="24"/>
              </w:rPr>
              <w:t>所有产品安装完成后且乙方提供相关票据的，7个工作日内支付至合同价款的70%；</w:t>
            </w:r>
          </w:p>
        </w:tc>
      </w:tr>
      <w:tr w14:paraId="7657DAB9">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4C9E9829">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1819" w:type="dxa"/>
            <w:tcBorders>
              <w:top w:val="inset" w:color="auto" w:sz="8" w:space="0"/>
              <w:left w:val="inset" w:color="auto" w:sz="8" w:space="0"/>
              <w:bottom w:val="inset" w:color="auto" w:sz="8" w:space="0"/>
              <w:right w:val="inset" w:color="auto" w:sz="8" w:space="0"/>
            </w:tcBorders>
            <w:vAlign w:val="center"/>
          </w:tcPr>
          <w:p w14:paraId="7B402FC3">
            <w:pPr>
              <w:widowControl/>
              <w:jc w:val="center"/>
              <w:rPr>
                <w:rFonts w:hint="eastAsia" w:ascii="宋体" w:hAnsi="宋体" w:cs="宋体"/>
                <w:kern w:val="0"/>
                <w:sz w:val="24"/>
                <w:szCs w:val="24"/>
              </w:rPr>
            </w:pPr>
            <w:r>
              <w:rPr>
                <w:rFonts w:hint="eastAsia" w:ascii="宋体" w:hAnsi="宋体" w:cs="宋体"/>
                <w:kern w:val="0"/>
                <w:sz w:val="24"/>
                <w:szCs w:val="24"/>
              </w:rPr>
              <w:t>27</w:t>
            </w:r>
          </w:p>
        </w:tc>
        <w:tc>
          <w:tcPr>
            <w:tcW w:w="6359" w:type="dxa"/>
            <w:tcBorders>
              <w:top w:val="inset" w:color="auto" w:sz="8" w:space="0"/>
              <w:left w:val="inset" w:color="auto" w:sz="8" w:space="0"/>
              <w:bottom w:val="inset" w:color="auto" w:sz="8" w:space="0"/>
              <w:right w:val="inset" w:color="auto" w:sz="8" w:space="0"/>
            </w:tcBorders>
            <w:vAlign w:val="center"/>
          </w:tcPr>
          <w:p w14:paraId="687547FE">
            <w:pPr>
              <w:widowControl/>
              <w:jc w:val="left"/>
              <w:rPr>
                <w:rFonts w:hint="eastAsia" w:ascii="宋体" w:hAnsi="宋体" w:cs="宋体"/>
                <w:kern w:val="0"/>
                <w:sz w:val="24"/>
                <w:szCs w:val="24"/>
              </w:rPr>
            </w:pPr>
            <w:r>
              <w:rPr>
                <w:rFonts w:hint="eastAsia" w:ascii="宋体" w:hAnsi="宋体" w:cs="宋体"/>
                <w:kern w:val="0"/>
                <w:sz w:val="24"/>
                <w:szCs w:val="24"/>
              </w:rPr>
              <w:t>经甲方最终验收合格后且乙方提供相关票据的，7个工作日内支付至合同价款的97%；</w:t>
            </w:r>
          </w:p>
        </w:tc>
      </w:tr>
      <w:tr w14:paraId="715429C2">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236EEA4A">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819" w:type="dxa"/>
            <w:tcBorders>
              <w:top w:val="inset" w:color="auto" w:sz="8" w:space="0"/>
              <w:left w:val="inset" w:color="auto" w:sz="8" w:space="0"/>
              <w:bottom w:val="inset" w:color="auto" w:sz="8" w:space="0"/>
              <w:right w:val="inset" w:color="auto" w:sz="8" w:space="0"/>
            </w:tcBorders>
            <w:vAlign w:val="center"/>
          </w:tcPr>
          <w:p w14:paraId="711ECEC1">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6359" w:type="dxa"/>
            <w:tcBorders>
              <w:top w:val="inset" w:color="auto" w:sz="8" w:space="0"/>
              <w:left w:val="inset" w:color="auto" w:sz="8" w:space="0"/>
              <w:bottom w:val="inset" w:color="auto" w:sz="8" w:space="0"/>
              <w:right w:val="inset" w:color="auto" w:sz="8" w:space="0"/>
            </w:tcBorders>
            <w:vAlign w:val="center"/>
          </w:tcPr>
          <w:p w14:paraId="45EEB2F5">
            <w:pPr>
              <w:widowControl/>
              <w:jc w:val="left"/>
              <w:rPr>
                <w:rFonts w:hint="eastAsia" w:ascii="宋体" w:hAnsi="宋体" w:cs="宋体"/>
                <w:kern w:val="0"/>
                <w:sz w:val="24"/>
                <w:szCs w:val="24"/>
              </w:rPr>
            </w:pPr>
            <w:r>
              <w:rPr>
                <w:rFonts w:hint="eastAsia" w:ascii="宋体" w:hAnsi="宋体" w:cs="宋体"/>
                <w:kern w:val="0"/>
                <w:sz w:val="24"/>
                <w:szCs w:val="24"/>
              </w:rPr>
              <w:t>设备质保期满后且提供相关票据的，7个工作日内支付剩余合同价款（如乙方未能按相关约定按时做好保修而使甲方不得不自行组织返修或请第三方进行维修的，则发生费用应在此次支付费用中扣除，剩余款项再由甲方支付给乙方）。</w:t>
            </w:r>
          </w:p>
        </w:tc>
      </w:tr>
    </w:tbl>
    <w:p w14:paraId="44D2DFA0">
      <w:pPr>
        <w:widowControl/>
        <w:spacing w:line="360" w:lineRule="auto"/>
        <w:ind w:firstLine="480"/>
        <w:jc w:val="left"/>
      </w:pPr>
      <w:r>
        <w:rPr>
          <w:rFonts w:hint="eastAsia" w:ascii="宋体" w:hAnsi="宋体" w:cs="宋体"/>
          <w:b/>
          <w:bCs/>
          <w:color w:val="000000" w:themeColor="text1"/>
          <w:kern w:val="0"/>
          <w:sz w:val="24"/>
          <w:szCs w:val="24"/>
          <w14:textFill>
            <w14:solidFill>
              <w14:schemeClr w14:val="tx1"/>
            </w14:solidFill>
          </w14:textFill>
        </w:rPr>
        <w:t>特别提示：</w:t>
      </w:r>
      <w:r>
        <w:rPr>
          <w:rFonts w:hint="eastAsia" w:ascii="宋体" w:hAnsi="宋体" w:cs="宋体"/>
          <w:color w:val="0000FF"/>
          <w:kern w:val="0"/>
          <w:sz w:val="24"/>
          <w:szCs w:val="24"/>
        </w:rPr>
        <w:t>本项目不集中组织现场踏勘，竞价人可根据本公告所提供的内容要求自行踏勘现场(相关责任由竞价人自行承担)，竞价人对本次供货内容应有充分认识，自行判断能够完成本项目所需的费用。成交人不得以实际情况与现场不一致而要求委托人给予以补偿。</w:t>
      </w:r>
    </w:p>
    <w:p w14:paraId="68D9E98B">
      <w:pPr>
        <w:spacing w:line="360" w:lineRule="auto"/>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三、竞价资格</w:t>
      </w:r>
    </w:p>
    <w:p w14:paraId="0AE17355">
      <w:pPr>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1.竞价人必须遵守中华人民共和国法律、法规，能够提供本竞价文件所述货物及服务的具有法人资格的境内供应商（失信被执行人除外）。</w:t>
      </w:r>
    </w:p>
    <w:p w14:paraId="061244B2">
      <w:pPr>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2.具有履行合同所必需的能力。</w:t>
      </w:r>
    </w:p>
    <w:p w14:paraId="05E218B7">
      <w:pPr>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3.《采购清单》中的参数要求均为重要要求，成交人提供的货物需符合该要求。</w:t>
      </w:r>
    </w:p>
    <w:p w14:paraId="4DDAD2DC">
      <w:pPr>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4.本项目不允许挂靠其他公司资格及分包，不接受联合体参与竞价；</w:t>
      </w:r>
    </w:p>
    <w:p w14:paraId="5ED82C78">
      <w:pPr>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5.符合具备法律、行政法规规定的其他条件；</w:t>
      </w:r>
    </w:p>
    <w:p w14:paraId="262EDCAD">
      <w:pPr>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6.已认真阅读并同意本公告附件-网络竞价须知。</w:t>
      </w:r>
    </w:p>
    <w:p w14:paraId="6ED48D98">
      <w:pPr>
        <w:spacing w:line="52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四、竞价保证金</w:t>
      </w:r>
    </w:p>
    <w:p w14:paraId="6B48FBA0">
      <w:pPr>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1.保证金10000元，必须于</w:t>
      </w:r>
      <w:r>
        <w:rPr>
          <w:rFonts w:hint="eastAsia" w:asciiTheme="minorEastAsia" w:hAnsiTheme="minorEastAsia" w:eastAsiaTheme="minorEastAsia" w:cstheme="minorEastAsia"/>
          <w:color w:val="0000FF"/>
          <w:sz w:val="24"/>
          <w:szCs w:val="24"/>
        </w:rPr>
        <w:t>2025年10月</w:t>
      </w:r>
      <w:r>
        <w:rPr>
          <w:rFonts w:hint="eastAsia" w:asciiTheme="minorEastAsia" w:hAnsiTheme="minorEastAsia" w:eastAsiaTheme="minorEastAsia" w:cstheme="minorEastAsia"/>
          <w:color w:val="0000FF"/>
          <w:sz w:val="24"/>
          <w:szCs w:val="24"/>
          <w:lang w:val="en-US" w:eastAsia="zh-CN"/>
        </w:rPr>
        <w:t>31</w:t>
      </w:r>
      <w:r>
        <w:rPr>
          <w:rFonts w:hint="eastAsia" w:asciiTheme="minorEastAsia" w:hAnsiTheme="minorEastAsia" w:eastAsiaTheme="minorEastAsia" w:cstheme="minorEastAsia"/>
          <w:color w:val="0000FF"/>
          <w:sz w:val="24"/>
          <w:szCs w:val="24"/>
        </w:rPr>
        <w:t>日</w:t>
      </w:r>
      <w:r>
        <w:rPr>
          <w:rFonts w:hint="eastAsia" w:asciiTheme="minorEastAsia" w:hAnsiTheme="minorEastAsia" w:eastAsiaTheme="minorEastAsia" w:cstheme="minorEastAsia"/>
          <w:sz w:val="24"/>
          <w:szCs w:val="24"/>
        </w:rPr>
        <w:t>10时前汇到本公司指定账户（户名：连城县国有资产产权交易服务有限公司，开户行：农业银行连城县支行，账号：1377 0101 0400 18263）报名参加的竞价人与缴交竞价保证金的名称要一致。竞价保证金缴至以上账户时，交款单中“款项来源”或“用途”一栏内须填写“****人的竞价保证金”。</w:t>
      </w:r>
    </w:p>
    <w:p w14:paraId="69EA0941">
      <w:pPr>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2.竞价成交后，成交人必须在成交之日起3个工作日内与本公司签订《竞价结果通知书》，并在签订《竞价结果通知书》之日起3个工作日内向委托人提供《采购合同》，由委托人经过相应审批程序后签订。</w:t>
      </w:r>
    </w:p>
    <w:p w14:paraId="5272049D">
      <w:pPr>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3.成交人的竞价保证金可以直接抵作招标代理服务费，如有剩余，在成交人与委托人签订《采购合同》后10个工作日内一次性无息退回。</w:t>
      </w:r>
    </w:p>
    <w:p w14:paraId="7B27DA7E">
      <w:pPr>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4.未成交人的保证金，在竞价结束后10个工作日内（遇法定节假日顺延）无息退回。</w:t>
      </w:r>
    </w:p>
    <w:p w14:paraId="42F5FD59">
      <w:pPr>
        <w:widowControl/>
        <w:spacing w:line="52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五、竞价手续</w:t>
      </w:r>
    </w:p>
    <w:p w14:paraId="7205169F">
      <w:pPr>
        <w:widowControl/>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1.有意参加竞价人应提供如下有效证照复印件：</w:t>
      </w:r>
    </w:p>
    <w:p w14:paraId="4841C30E">
      <w:pPr>
        <w:widowControl/>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（1）营业执照副本复印件、法定代表人或单位负责人身份证复印件；</w:t>
      </w:r>
    </w:p>
    <w:p w14:paraId="1DE4BC24">
      <w:pPr>
        <w:widowControl/>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（2）签订完整的承诺书；</w:t>
      </w:r>
    </w:p>
    <w:p w14:paraId="6B127290">
      <w:pPr>
        <w:widowControl/>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（3）分项报价表（详见附件2）。</w:t>
      </w:r>
    </w:p>
    <w:p w14:paraId="3DC1F513">
      <w:pPr>
        <w:widowControl/>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备注：竞价系统填报的总价应与分项报价表的投报总价相同；《分项报价表》须上传至交易平台。</w:t>
      </w:r>
    </w:p>
    <w:p w14:paraId="54E3AFFE">
      <w:pPr>
        <w:widowControl/>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（4）竞价保证金支付凭证</w:t>
      </w:r>
    </w:p>
    <w:p w14:paraId="3DE39829">
      <w:pPr>
        <w:widowControl/>
        <w:spacing w:line="52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如法定代表人无法亲自到现场办理竞价手续的，应提供《授权委托书》原件和委托代理人身份证复印件。</w:t>
      </w:r>
    </w:p>
    <w:p w14:paraId="5F514485">
      <w:pPr>
        <w:widowControl/>
        <w:spacing w:line="520" w:lineRule="exact"/>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以上材料复印件须注明与原件相符并加盖公章。</w:t>
      </w:r>
    </w:p>
    <w:p w14:paraId="4BBE842C">
      <w:pPr>
        <w:widowControl/>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2.报名方式</w:t>
      </w:r>
    </w:p>
    <w:p w14:paraId="66E16E5D">
      <w:pPr>
        <w:widowControl/>
        <w:spacing w:line="52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7153D294">
      <w:pPr>
        <w:widowControl/>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竞价人应自行至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37C26E14">
      <w:pPr>
        <w:widowControl/>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3905C7EA">
      <w:pPr>
        <w:widowControl/>
        <w:spacing w:line="52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六、竞价程序</w:t>
      </w:r>
    </w:p>
    <w:p w14:paraId="2DD31CE6">
      <w:pPr>
        <w:widowControl/>
        <w:spacing w:line="360" w:lineRule="auto"/>
        <w:ind w:firstLine="480" w:firstLineChars="200"/>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color w:val="000000"/>
          <w:sz w:val="24"/>
          <w:szCs w:val="24"/>
        </w:rPr>
        <w:t>本场竞价须三家及以上竞价人在规定时间内参与竞价，如果在规定时间内参与竞价的竞价人不足三家，则按流标处理，竞价人不得有异议。</w:t>
      </w:r>
    </w:p>
    <w:p w14:paraId="17086292">
      <w:pPr>
        <w:widowControl/>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2.意向竞价人应至连城县招标投标交易平台注册用户名，并于报名截止时间前至本公司办理报名竞价手续，登录到连城县招标投标交易平台申请参与本场竞价。</w:t>
      </w:r>
    </w:p>
    <w:p w14:paraId="37BA4BAA">
      <w:pPr>
        <w:widowControl/>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新宋体" w:hAnsi="新宋体" w:eastAsia="新宋体" w:cs="新宋体"/>
          <w:sz w:val="24"/>
          <w:szCs w:val="24"/>
        </w:rPr>
        <w:t>本次公开竞价采用“连城县招标投标交易平台(https://lcyjy.enjoy5191.com/home )”网络</w:t>
      </w:r>
      <w:r>
        <w:rPr>
          <w:rFonts w:hint="eastAsia" w:ascii="新宋体" w:hAnsi="新宋体" w:eastAsia="新宋体" w:cs="新宋体"/>
          <w:color w:val="0000FF"/>
          <w:sz w:val="24"/>
          <w:szCs w:val="24"/>
        </w:rPr>
        <w:t>反向一次</w:t>
      </w:r>
      <w:r>
        <w:rPr>
          <w:rFonts w:hint="eastAsia" w:ascii="新宋体" w:hAnsi="新宋体" w:eastAsia="新宋体" w:cs="新宋体"/>
          <w:sz w:val="24"/>
          <w:szCs w:val="24"/>
        </w:rPr>
        <w:t>性报价、</w:t>
      </w:r>
      <w:r>
        <w:rPr>
          <w:rFonts w:hint="eastAsia" w:ascii="新宋体" w:hAnsi="新宋体" w:eastAsia="新宋体" w:cs="新宋体"/>
          <w:b/>
          <w:bCs/>
          <w:color w:val="0000FF"/>
          <w:sz w:val="24"/>
          <w:szCs w:val="24"/>
        </w:rPr>
        <w:t>价低者</w:t>
      </w:r>
      <w:r>
        <w:rPr>
          <w:rFonts w:hint="eastAsia" w:ascii="新宋体" w:hAnsi="新宋体" w:eastAsia="新宋体" w:cs="新宋体"/>
          <w:sz w:val="24"/>
          <w:szCs w:val="24"/>
        </w:rPr>
        <w:t>得的交易方式，以“价格优先，时间优先”（即同等价格时，以报价时间优先）确定本次竞价标的的成交人。竞价人以</w:t>
      </w:r>
      <w:r>
        <w:rPr>
          <w:rFonts w:hint="eastAsia" w:ascii="宋体" w:hAnsi="宋体" w:cs="宋体"/>
          <w:b/>
          <w:bCs/>
          <w:color w:val="0000FF"/>
          <w:sz w:val="24"/>
          <w:szCs w:val="24"/>
        </w:rPr>
        <w:t>总价形式</w:t>
      </w:r>
      <w:r>
        <w:rPr>
          <w:rFonts w:hint="eastAsia" w:ascii="新宋体" w:hAnsi="新宋体" w:eastAsia="新宋体" w:cs="新宋体"/>
          <w:sz w:val="24"/>
          <w:szCs w:val="24"/>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0F57D52">
      <w:pPr>
        <w:widowControl/>
        <w:spacing w:line="520" w:lineRule="exact"/>
        <w:ind w:firstLine="482" w:firstLineChars="200"/>
        <w:rPr>
          <w:rFonts w:hint="eastAsia" w:ascii="新宋体" w:hAnsi="新宋体" w:eastAsia="新宋体" w:cs="新宋体"/>
          <w:sz w:val="24"/>
          <w:szCs w:val="24"/>
        </w:rPr>
      </w:pPr>
      <w:r>
        <w:rPr>
          <w:rFonts w:hint="eastAsia" w:ascii="新宋体" w:hAnsi="新宋体" w:eastAsia="新宋体" w:cs="新宋体"/>
          <w:b/>
          <w:bCs/>
          <w:sz w:val="24"/>
          <w:szCs w:val="24"/>
        </w:rPr>
        <w:t>4.</w:t>
      </w:r>
      <w:r>
        <w:rPr>
          <w:rFonts w:hint="eastAsia" w:ascii="宋体" w:hAnsi="宋体" w:cs="宋体"/>
          <w:b/>
          <w:bCs/>
          <w:sz w:val="24"/>
          <w:szCs w:val="24"/>
        </w:rPr>
        <w:t>竞价人应以</w:t>
      </w:r>
      <w:r>
        <w:rPr>
          <w:rFonts w:hint="eastAsia" w:ascii="宋体" w:hAnsi="宋体" w:cs="宋体"/>
          <w:b/>
          <w:bCs/>
          <w:color w:val="0000FF"/>
          <w:sz w:val="24"/>
          <w:szCs w:val="24"/>
        </w:rPr>
        <w:t>总价形式</w:t>
      </w:r>
      <w:r>
        <w:rPr>
          <w:rFonts w:hint="eastAsia" w:ascii="宋体" w:hAnsi="宋体" w:cs="宋体"/>
          <w:b/>
          <w:bCs/>
          <w:sz w:val="24"/>
          <w:szCs w:val="24"/>
        </w:rPr>
        <w:t>进行报价</w:t>
      </w:r>
      <w:r>
        <w:rPr>
          <w:rFonts w:hint="eastAsia" w:asciiTheme="minorEastAsia" w:hAnsiTheme="minorEastAsia" w:eastAsiaTheme="minorEastAsia" w:cstheme="minorEastAsia"/>
          <w:b/>
          <w:bCs/>
          <w:sz w:val="24"/>
          <w:szCs w:val="24"/>
        </w:rPr>
        <w:t>，竞价系统设置的价格128000</w:t>
      </w:r>
      <w:r>
        <w:rPr>
          <w:rFonts w:hint="eastAsia" w:asciiTheme="minorEastAsia" w:hAnsiTheme="minorEastAsia" w:eastAsiaTheme="minorEastAsia" w:cstheme="minorEastAsia"/>
          <w:b/>
          <w:bCs/>
          <w:color w:val="0000FF"/>
          <w:sz w:val="24"/>
          <w:szCs w:val="24"/>
        </w:rPr>
        <w:t>元</w:t>
      </w:r>
      <w:r>
        <w:rPr>
          <w:rFonts w:hint="eastAsia" w:asciiTheme="minorEastAsia" w:hAnsiTheme="minorEastAsia" w:eastAsiaTheme="minorEastAsia" w:cstheme="minorEastAsia"/>
          <w:b/>
          <w:bCs/>
          <w:sz w:val="24"/>
          <w:szCs w:val="24"/>
        </w:rPr>
        <w:t>表示最高限价为人民币128000</w:t>
      </w:r>
      <w:r>
        <w:rPr>
          <w:rFonts w:hint="eastAsia" w:asciiTheme="minorEastAsia" w:hAnsiTheme="minorEastAsia" w:eastAsiaTheme="minorEastAsia" w:cstheme="minorEastAsia"/>
          <w:b/>
          <w:bCs/>
          <w:color w:val="0000FF"/>
          <w:sz w:val="24"/>
          <w:szCs w:val="24"/>
        </w:rPr>
        <w:t>元</w:t>
      </w:r>
      <w:r>
        <w:rPr>
          <w:rFonts w:hint="eastAsia" w:asciiTheme="minorEastAsia" w:hAnsiTheme="minorEastAsia" w:eastAsiaTheme="minorEastAsia" w:cstheme="minorEastAsia"/>
          <w:b/>
          <w:bCs/>
          <w:sz w:val="24"/>
          <w:szCs w:val="24"/>
        </w:rPr>
        <w:t>，竞价人在竞价系统填报价格高于128000</w:t>
      </w:r>
      <w:r>
        <w:rPr>
          <w:rFonts w:hint="eastAsia" w:asciiTheme="minorEastAsia" w:hAnsiTheme="minorEastAsia" w:eastAsiaTheme="minorEastAsia" w:cstheme="minorEastAsia"/>
          <w:b/>
          <w:bCs/>
          <w:color w:val="0000FF"/>
          <w:sz w:val="24"/>
          <w:szCs w:val="24"/>
        </w:rPr>
        <w:t>元</w:t>
      </w:r>
      <w:r>
        <w:rPr>
          <w:rFonts w:hint="eastAsia" w:asciiTheme="minorEastAsia" w:hAnsiTheme="minorEastAsia" w:eastAsiaTheme="minorEastAsia" w:cstheme="minorEastAsia"/>
          <w:b/>
          <w:bCs/>
          <w:sz w:val="24"/>
          <w:szCs w:val="24"/>
        </w:rPr>
        <w:t>为无效报价，填报</w:t>
      </w:r>
      <w:r>
        <w:rPr>
          <w:rFonts w:hint="eastAsia" w:asciiTheme="minorEastAsia" w:hAnsiTheme="minorEastAsia" w:eastAsiaTheme="minorEastAsia" w:cstheme="minorEastAsia"/>
          <w:b/>
          <w:bCs/>
          <w:color w:val="0000FF"/>
          <w:sz w:val="24"/>
          <w:szCs w:val="24"/>
        </w:rPr>
        <w:t>总价</w:t>
      </w:r>
      <w:r>
        <w:rPr>
          <w:rFonts w:hint="eastAsia" w:asciiTheme="minorEastAsia" w:hAnsiTheme="minorEastAsia" w:eastAsiaTheme="minorEastAsia" w:cstheme="minorEastAsia"/>
          <w:b/>
          <w:bCs/>
          <w:sz w:val="24"/>
          <w:szCs w:val="24"/>
        </w:rPr>
        <w:t>最低的竞价人作为本项目成交人。</w:t>
      </w:r>
    </w:p>
    <w:p w14:paraId="64D56DFB">
      <w:pPr>
        <w:widowControl/>
        <w:spacing w:line="520" w:lineRule="exact"/>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5.特别提示：标的经公开征集到合格竞价人,则竞价人应以</w:t>
      </w:r>
      <w:r>
        <w:rPr>
          <w:rFonts w:hint="eastAsia" w:asciiTheme="minorEastAsia" w:hAnsiTheme="minorEastAsia" w:eastAsiaTheme="minorEastAsia" w:cstheme="minorEastAsia"/>
          <w:color w:val="0000FF"/>
          <w:sz w:val="24"/>
          <w:szCs w:val="24"/>
        </w:rPr>
        <w:t>不高于最高限价</w:t>
      </w:r>
      <w:r>
        <w:rPr>
          <w:rFonts w:hint="eastAsia" w:ascii="新宋体" w:hAnsi="新宋体" w:eastAsia="新宋体" w:cs="新宋体"/>
          <w:sz w:val="24"/>
          <w:szCs w:val="24"/>
        </w:rPr>
        <w:t>进行报价，成交人应签署《竞价结果通知书》等相关文件，否则视同为违约。</w:t>
      </w:r>
    </w:p>
    <w:p w14:paraId="6AE9230E">
      <w:pPr>
        <w:widowControl/>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6.本公司有权就竞价时间做出调整，如有调整将在本公司网站进行公告。</w:t>
      </w:r>
    </w:p>
    <w:p w14:paraId="0CF2B278">
      <w:pPr>
        <w:spacing w:line="52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七、招标代理服务费</w:t>
      </w:r>
    </w:p>
    <w:p w14:paraId="55B56C1A">
      <w:pPr>
        <w:spacing w:line="360" w:lineRule="auto"/>
        <w:ind w:firstLine="480" w:firstLineChars="200"/>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竞价成交后，</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本项目的</w:t>
      </w:r>
      <w:r>
        <w:rPr>
          <w:rFonts w:hint="eastAsia" w:asciiTheme="minorEastAsia" w:hAnsiTheme="minorEastAsia" w:eastAsiaTheme="minorEastAsia" w:cstheme="minorEastAsia"/>
          <w:b/>
          <w:bCs/>
          <w:sz w:val="24"/>
          <w:szCs w:val="24"/>
        </w:rPr>
        <w:t>招标代理</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服务费按成交价×1.5%计费向成交人收取，不足3000元的，按3000元计费</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sz w:val="24"/>
          <w:szCs w:val="24"/>
        </w:rPr>
        <w:t>招标代理服务费直接由本公司从成交人缴纳的竞价保证金中扣收，不足的，成交人</w:t>
      </w:r>
      <w:r>
        <w:rPr>
          <w:rFonts w:hint="eastAsia" w:asciiTheme="minorEastAsia" w:hAnsiTheme="minorEastAsia" w:eastAsiaTheme="minorEastAsia" w:cstheme="minorEastAsia"/>
          <w:b/>
          <w:bCs/>
          <w:color w:val="000000"/>
          <w:sz w:val="24"/>
          <w:szCs w:val="24"/>
          <w:shd w:val="clear" w:color="auto" w:fill="FFFFFF"/>
        </w:rPr>
        <w:t>必须在成交之日起2个工作日</w:t>
      </w:r>
      <w:r>
        <w:rPr>
          <w:rFonts w:hint="eastAsia" w:asciiTheme="minorEastAsia" w:hAnsiTheme="minorEastAsia" w:eastAsiaTheme="minorEastAsia" w:cstheme="minorEastAsia"/>
          <w:color w:val="000000"/>
          <w:sz w:val="24"/>
          <w:szCs w:val="24"/>
        </w:rPr>
        <w:t>内补齐。招标代理服务费未按期付清的，视成交人根本违约，竞价保证金不予退回。</w:t>
      </w:r>
    </w:p>
    <w:p w14:paraId="2C00F85D">
      <w:pPr>
        <w:widowControl/>
        <w:spacing w:line="52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八、税费承担</w:t>
      </w:r>
    </w:p>
    <w:p w14:paraId="3C44D63C">
      <w:pPr>
        <w:widowControl/>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1.竞价人自行承担参加竞价会有关的全部费用（包括但不限于差旅费、邮寄费、资料费等）。</w:t>
      </w:r>
    </w:p>
    <w:p w14:paraId="37DB9C75">
      <w:pPr>
        <w:widowControl/>
        <w:spacing w:line="520" w:lineRule="exact"/>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2.成交价包含货物（或服务）经委托方验收合格并交付使用所有可能发生的费用，包括货物（含货物主体、辅助材料、配件）供应、运输、供货保管、安装调试、产品检验检测、操作人员培训、人工费、税收、保修费、售后服务以及可能漏项漏报等的一切费用，委托方不再支付其他任何费用。成交人应向委托人按成交金额开具增值税普通发票。</w:t>
      </w:r>
    </w:p>
    <w:p w14:paraId="7F0DF41D">
      <w:pPr>
        <w:widowControl/>
        <w:spacing w:line="52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九、违约责任</w:t>
      </w:r>
    </w:p>
    <w:p w14:paraId="555B04E7">
      <w:pPr>
        <w:widowControl/>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交人应价后反悔的，或不即时签订《竞价结果通知书》，或逾期未缴纳招标代理服务费，本公司按违约处理，保证金不予退回，同时《竞价结果通知书》自动失效，并视情对竞价标的再次竞价或处理，本公司将保留向该成交人提起赔偿诉讼的权利。</w:t>
      </w:r>
    </w:p>
    <w:p w14:paraId="1FD8023D">
      <w:pPr>
        <w:widowControl/>
        <w:spacing w:line="52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十、注意事项</w:t>
      </w:r>
    </w:p>
    <w:p w14:paraId="3CDA9C5A">
      <w:pPr>
        <w:widowControl/>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1.因不可预见的原因导致上述竞价交易方式不能正常进行的，本公司有权中止交易或临时决定采用其它竞价方式和竞价交易规则，竞价人对此不得有异议。</w:t>
      </w:r>
    </w:p>
    <w:p w14:paraId="29ACF965">
      <w:pPr>
        <w:widowControl/>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6BE86337">
      <w:pPr>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3.成交后，成交人应当与委托人签订《</w:t>
      </w:r>
      <w:r>
        <w:rPr>
          <w:rFonts w:hint="eastAsia" w:asciiTheme="minorEastAsia" w:hAnsiTheme="minorEastAsia" w:eastAsiaTheme="minorEastAsia" w:cstheme="minorEastAsia"/>
          <w:b/>
          <w:bCs/>
          <w:kern w:val="28"/>
          <w:sz w:val="24"/>
          <w:szCs w:val="24"/>
        </w:rPr>
        <w:t>采购合同</w:t>
      </w:r>
      <w:r>
        <w:rPr>
          <w:rFonts w:hint="eastAsia" w:asciiTheme="minorEastAsia" w:hAnsiTheme="minorEastAsia" w:eastAsiaTheme="minorEastAsia" w:cstheme="minorEastAsia"/>
          <w:sz w:val="24"/>
          <w:szCs w:val="24"/>
        </w:rPr>
        <w:t>》，并严格履行，双方的权利、义务以《</w:t>
      </w:r>
      <w:r>
        <w:rPr>
          <w:rFonts w:hint="eastAsia" w:asciiTheme="minorEastAsia" w:hAnsiTheme="minorEastAsia" w:eastAsiaTheme="minorEastAsia" w:cstheme="minorEastAsia"/>
          <w:b/>
          <w:bCs/>
          <w:kern w:val="28"/>
          <w:sz w:val="24"/>
          <w:szCs w:val="24"/>
        </w:rPr>
        <w:t>采购合同</w:t>
      </w:r>
      <w:r>
        <w:rPr>
          <w:rFonts w:hint="eastAsia" w:asciiTheme="minorEastAsia" w:hAnsiTheme="minorEastAsia" w:eastAsiaTheme="minorEastAsia" w:cstheme="minorEastAsia"/>
          <w:sz w:val="24"/>
          <w:szCs w:val="24"/>
        </w:rPr>
        <w:t>》约定为准。</w:t>
      </w:r>
    </w:p>
    <w:p w14:paraId="4D3338C7">
      <w:pPr>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4.因委托人、成交人的原因造成不能签订相应的合同或解除合同、合同无效的，我司不承担任何责任。签订《竞价结果通知书》视为我司对成交人的合同义务履行完毕。</w:t>
      </w:r>
    </w:p>
    <w:p w14:paraId="4116179D">
      <w:pPr>
        <w:widowControl/>
        <w:spacing w:line="52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十一、特别提示</w:t>
      </w:r>
    </w:p>
    <w:tbl>
      <w:tblPr>
        <w:tblStyle w:val="14"/>
        <w:tblW w:w="9071" w:type="dxa"/>
        <w:jc w:val="center"/>
        <w:shd w:val="clear" w:color="auto" w:fill="FFFFFF"/>
        <w:tblLayout w:type="fixed"/>
        <w:tblCellMar>
          <w:top w:w="0" w:type="dxa"/>
          <w:left w:w="0" w:type="dxa"/>
          <w:bottom w:w="0" w:type="dxa"/>
          <w:right w:w="0" w:type="dxa"/>
        </w:tblCellMar>
      </w:tblPr>
      <w:tblGrid>
        <w:gridCol w:w="9071"/>
      </w:tblGrid>
      <w:tr w14:paraId="1F921866">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0794BC67">
            <w:pPr>
              <w:widowControl/>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1.申请人必须对本项目情况及竞价流程进行充分的咨询和了解，一旦参与竞价，视为无异议，并对项目存在或可能存在的瑕疵表示认可，自行承担由此造成的风险。</w:t>
            </w:r>
          </w:p>
          <w:p w14:paraId="700C7124">
            <w:pPr>
              <w:keepLines/>
              <w:widowControl/>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2.竞价文件如有更正修改，公告将在连城产权交易网（网址：</w:t>
            </w:r>
            <w:r>
              <w:rPr>
                <w:rFonts w:hint="eastAsia" w:asciiTheme="minorEastAsia" w:hAnsiTheme="minorEastAsia" w:eastAsiaTheme="minorEastAsia" w:cstheme="minorEastAsia"/>
                <w:b/>
                <w:bCs/>
                <w:sz w:val="24"/>
                <w:szCs w:val="24"/>
              </w:rPr>
              <w:t>http://www.lcxcqjy.com/</w:t>
            </w:r>
            <w:r>
              <w:rPr>
                <w:rFonts w:hint="eastAsia" w:asciiTheme="minorEastAsia" w:hAnsiTheme="minorEastAsia" w:eastAsiaTheme="minorEastAsia" w:cstheme="minorEastAsia"/>
                <w:sz w:val="24"/>
                <w:szCs w:val="24"/>
              </w:rPr>
              <w:t>）、连城县招标投标交易平台(网址：https://lcyjy.enjoy5191.com/home）上发布，请潜在竞价人随时密切关注上述网站并下载相关信息，本公司不再另行通知（相同内容如有多次修改，以最后一次修改为准）。潜在竞价人未查看、下载修改内容的，后果自行承担。</w:t>
            </w:r>
          </w:p>
          <w:p w14:paraId="285D54FC">
            <w:pPr>
              <w:widowControl/>
              <w:spacing w:line="52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42BEB428">
      <w:pPr>
        <w:widowControl/>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sz w:val="24"/>
          <w:szCs w:val="24"/>
        </w:rPr>
        <w:t xml:space="preserve">               连城县国有资产产权交易服务有限公司</w:t>
      </w:r>
    </w:p>
    <w:p w14:paraId="291237BA">
      <w:pPr>
        <w:widowControl/>
        <w:ind w:firstLine="480" w:firstLineChars="200"/>
        <w:jc w:val="right"/>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2025年10月</w:t>
      </w:r>
      <w:r>
        <w:rPr>
          <w:rFonts w:hint="eastAsia" w:asciiTheme="minorEastAsia" w:hAnsiTheme="minorEastAsia" w:eastAsiaTheme="minorEastAsia" w:cstheme="minorEastAsia"/>
          <w:color w:val="0000FF"/>
          <w:sz w:val="24"/>
          <w:szCs w:val="24"/>
          <w:lang w:val="en-US" w:eastAsia="zh-CN"/>
        </w:rPr>
        <w:t>27</w:t>
      </w:r>
      <w:r>
        <w:rPr>
          <w:rFonts w:hint="eastAsia" w:asciiTheme="minorEastAsia" w:hAnsiTheme="minorEastAsia" w:eastAsiaTheme="minorEastAsia" w:cstheme="minorEastAsia"/>
          <w:color w:val="0000FF"/>
          <w:sz w:val="24"/>
          <w:szCs w:val="24"/>
        </w:rPr>
        <w:t>日</w:t>
      </w:r>
    </w:p>
    <w:p w14:paraId="3AF0A234">
      <w:pP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br w:type="page"/>
      </w:r>
    </w:p>
    <w:p w14:paraId="3C8B713E">
      <w:pPr>
        <w:spacing w:line="360" w:lineRule="auto"/>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承 诺 书</w:t>
      </w:r>
    </w:p>
    <w:p w14:paraId="4C8434E2">
      <w:pPr>
        <w:spacing w:line="360" w:lineRule="auto"/>
        <w:ind w:firstLine="5040" w:firstLineChars="2100"/>
        <w:jc w:val="left"/>
        <w:rPr>
          <w:rFonts w:hint="eastAsia" w:asciiTheme="minorEastAsia" w:hAnsiTheme="minorEastAsia" w:eastAsiaTheme="minorEastAsia" w:cstheme="minorEastAsia"/>
          <w:sz w:val="24"/>
          <w:szCs w:val="24"/>
        </w:rPr>
      </w:pPr>
    </w:p>
    <w:p w14:paraId="06EDA862">
      <w:pPr>
        <w:spacing w:before="156" w:beforeLines="50" w:line="360" w:lineRule="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b/>
          <w:bCs/>
          <w:sz w:val="24"/>
          <w:szCs w:val="24"/>
        </w:rPr>
        <w:t>连城县国有资产产权交易服务有限公司</w:t>
      </w:r>
      <w:r>
        <w:rPr>
          <w:rFonts w:hint="eastAsia" w:asciiTheme="minorEastAsia" w:hAnsiTheme="minorEastAsia" w:eastAsiaTheme="minorEastAsia" w:cstheme="minorEastAsia"/>
          <w:sz w:val="24"/>
          <w:szCs w:val="24"/>
        </w:rPr>
        <w:t>：</w:t>
      </w:r>
    </w:p>
    <w:p w14:paraId="666168C1">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u w:val="single"/>
        </w:rPr>
        <w:t xml:space="preserve"> 2025年10月</w:t>
      </w:r>
      <w:r>
        <w:rPr>
          <w:rFonts w:hint="eastAsia" w:asciiTheme="minorEastAsia" w:hAnsiTheme="minorEastAsia" w:eastAsiaTheme="minorEastAsia" w:cstheme="minorEastAsia"/>
          <w:color w:val="0000FF"/>
          <w:sz w:val="24"/>
          <w:szCs w:val="24"/>
          <w:u w:val="single"/>
          <w:lang w:val="en-US" w:eastAsia="zh-CN"/>
        </w:rPr>
        <w:t>31</w:t>
      </w:r>
      <w:r>
        <w:rPr>
          <w:rFonts w:hint="eastAsia" w:asciiTheme="minorEastAsia" w:hAnsiTheme="minorEastAsia" w:eastAsiaTheme="minorEastAsia" w:cstheme="minorEastAsia"/>
          <w:color w:val="0000FF"/>
          <w:sz w:val="24"/>
          <w:szCs w:val="24"/>
          <w:u w:val="single"/>
        </w:rPr>
        <w:t>日</w:t>
      </w:r>
      <w:r>
        <w:rPr>
          <w:rFonts w:hint="eastAsia" w:asciiTheme="minorEastAsia" w:hAnsiTheme="minorEastAsia" w:eastAsiaTheme="minorEastAsia" w:cstheme="minorEastAsia"/>
          <w:sz w:val="24"/>
          <w:szCs w:val="24"/>
        </w:rPr>
        <w:t>上午举行的 “连城县招标投标交易平台</w:t>
      </w:r>
      <w:r>
        <w:rPr>
          <w:rFonts w:hint="eastAsia" w:asciiTheme="minorEastAsia" w:hAnsiTheme="minorEastAsia" w:eastAsiaTheme="minorEastAsia" w:cstheme="minorEastAsia"/>
          <w:color w:val="0000FF"/>
          <w:sz w:val="24"/>
          <w:szCs w:val="24"/>
        </w:rPr>
        <w:t>反向一次</w:t>
      </w:r>
      <w:r>
        <w:rPr>
          <w:rFonts w:hint="eastAsia" w:asciiTheme="minorEastAsia" w:hAnsiTheme="minorEastAsia" w:eastAsiaTheme="minorEastAsia" w:cstheme="minorEastAsia"/>
          <w:sz w:val="24"/>
          <w:szCs w:val="24"/>
        </w:rPr>
        <w:t>报价”</w:t>
      </w:r>
      <w:r>
        <w:rPr>
          <w:rFonts w:hint="eastAsia" w:asciiTheme="minorEastAsia" w:hAnsiTheme="minorEastAsia" w:eastAsiaTheme="minorEastAsia" w:cstheme="minorEastAsia"/>
          <w:color w:val="0000FF"/>
          <w:sz w:val="24"/>
          <w:szCs w:val="24"/>
          <w:u w:val="single"/>
        </w:rPr>
        <w:t>福建连城豸龙旅游集团有限公司办公用房空调和移机安装采购</w:t>
      </w:r>
      <w:r>
        <w:rPr>
          <w:rFonts w:hint="eastAsia" w:asciiTheme="minorEastAsia" w:hAnsiTheme="minorEastAsia" w:eastAsiaTheme="minorEastAsia" w:cstheme="minorEastAsia"/>
          <w:color w:val="0000FF"/>
          <w:sz w:val="24"/>
          <w:szCs w:val="24"/>
          <w:u w:val="single"/>
          <w:lang w:eastAsia="zh-CN"/>
        </w:rPr>
        <w:t>（</w:t>
      </w:r>
      <w:r>
        <w:rPr>
          <w:rFonts w:hint="eastAsia" w:asciiTheme="minorEastAsia" w:hAnsiTheme="minorEastAsia" w:eastAsiaTheme="minorEastAsia" w:cstheme="minorEastAsia"/>
          <w:color w:val="0000FF"/>
          <w:sz w:val="24"/>
          <w:szCs w:val="24"/>
          <w:u w:val="single"/>
          <w:lang w:val="en-US" w:eastAsia="zh-CN"/>
        </w:rPr>
        <w:t>二次</w:t>
      </w:r>
      <w:r>
        <w:rPr>
          <w:rFonts w:hint="eastAsia" w:asciiTheme="minorEastAsia" w:hAnsiTheme="minorEastAsia" w:eastAsiaTheme="minorEastAsia" w:cstheme="minorEastAsia"/>
          <w:color w:val="0000FF"/>
          <w:sz w:val="24"/>
          <w:szCs w:val="24"/>
          <w:u w:val="single"/>
          <w:lang w:eastAsia="zh-CN"/>
        </w:rPr>
        <w:t>）</w:t>
      </w:r>
      <w:r>
        <w:rPr>
          <w:rFonts w:hint="eastAsia" w:asciiTheme="minorEastAsia" w:hAnsiTheme="minorEastAsia" w:eastAsiaTheme="minorEastAsia" w:cstheme="minorEastAsia"/>
          <w:sz w:val="24"/>
          <w:szCs w:val="24"/>
        </w:rPr>
        <w:t>竞价。收悉项目编号为</w:t>
      </w:r>
      <w:r>
        <w:rPr>
          <w:rFonts w:hint="eastAsia" w:asciiTheme="minorEastAsia" w:hAnsiTheme="minorEastAsia" w:eastAsiaTheme="minorEastAsia" w:cstheme="minorEastAsia"/>
          <w:color w:val="0000FF"/>
          <w:sz w:val="24"/>
          <w:szCs w:val="24"/>
          <w:u w:val="single"/>
        </w:rPr>
        <w:t>LCCQJJ202510</w:t>
      </w:r>
      <w:r>
        <w:rPr>
          <w:rFonts w:hint="eastAsia" w:asciiTheme="minorEastAsia" w:hAnsiTheme="minorEastAsia" w:eastAsiaTheme="minorEastAsia" w:cstheme="minorEastAsia"/>
          <w:color w:val="0000FF"/>
          <w:sz w:val="24"/>
          <w:szCs w:val="24"/>
          <w:u w:val="single"/>
          <w:lang w:val="en-US" w:eastAsia="zh-CN"/>
        </w:rPr>
        <w:t>31</w:t>
      </w:r>
      <w:bookmarkStart w:id="0" w:name="_GoBack"/>
      <w:bookmarkEnd w:id="0"/>
      <w:r>
        <w:rPr>
          <w:rFonts w:hint="eastAsia" w:asciiTheme="minorEastAsia" w:hAnsiTheme="minorEastAsia" w:eastAsiaTheme="minorEastAsia" w:cstheme="minorEastAsia"/>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41FC93F2">
      <w:pPr>
        <w:spacing w:line="440" w:lineRule="exact"/>
        <w:rPr>
          <w:rFonts w:hint="eastAsia" w:asciiTheme="minorEastAsia" w:hAnsiTheme="minorEastAsia" w:eastAsiaTheme="minorEastAsia" w:cstheme="minorEastAsia"/>
          <w:sz w:val="24"/>
          <w:szCs w:val="24"/>
        </w:rPr>
      </w:pPr>
    </w:p>
    <w:p w14:paraId="11C490F8">
      <w:pPr>
        <w:spacing w:line="440" w:lineRule="exact"/>
        <w:rPr>
          <w:rFonts w:hint="eastAsia" w:asciiTheme="minorEastAsia" w:hAnsiTheme="minorEastAsia" w:eastAsiaTheme="minorEastAsia" w:cstheme="minorEastAsia"/>
          <w:sz w:val="24"/>
          <w:szCs w:val="24"/>
        </w:rPr>
      </w:pPr>
    </w:p>
    <w:p w14:paraId="3CFA3CB5">
      <w:pPr>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66F7B196">
      <w:pPr>
        <w:spacing w:line="440" w:lineRule="exact"/>
        <w:rPr>
          <w:rFonts w:hint="eastAsia" w:asciiTheme="minorEastAsia" w:hAnsiTheme="minorEastAsia" w:eastAsiaTheme="minorEastAsia" w:cstheme="minorEastAsia"/>
          <w:sz w:val="24"/>
          <w:szCs w:val="24"/>
        </w:rPr>
      </w:pPr>
    </w:p>
    <w:p w14:paraId="4764AC6C">
      <w:pPr>
        <w:spacing w:line="440" w:lineRule="exact"/>
        <w:ind w:firstLine="3840" w:firstLineChars="1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承诺人（申请人签章）：</w:t>
      </w:r>
    </w:p>
    <w:p w14:paraId="7C377868">
      <w:pPr>
        <w:spacing w:line="440" w:lineRule="exact"/>
        <w:rPr>
          <w:rFonts w:hint="eastAsia" w:asciiTheme="minorEastAsia" w:hAnsiTheme="minorEastAsia" w:eastAsiaTheme="minorEastAsia" w:cstheme="minorEastAsia"/>
          <w:sz w:val="24"/>
          <w:szCs w:val="24"/>
        </w:rPr>
      </w:pPr>
    </w:p>
    <w:p w14:paraId="7713316D">
      <w:pPr>
        <w:spacing w:line="440" w:lineRule="exact"/>
        <w:ind w:firstLine="3840" w:firstLineChars="1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法定代表人或授权代理人（签章）： </w:t>
      </w:r>
    </w:p>
    <w:p w14:paraId="365C2858">
      <w:pPr>
        <w:spacing w:line="440" w:lineRule="exact"/>
        <w:rPr>
          <w:rFonts w:hint="eastAsia" w:asciiTheme="minorEastAsia" w:hAnsiTheme="minorEastAsia" w:eastAsiaTheme="minorEastAsia" w:cstheme="minorEastAsia"/>
          <w:sz w:val="24"/>
          <w:szCs w:val="24"/>
        </w:rPr>
      </w:pPr>
    </w:p>
    <w:p w14:paraId="08849AA7">
      <w:pPr>
        <w:spacing w:line="440" w:lineRule="exact"/>
        <w:ind w:firstLine="3840" w:firstLineChars="16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14:paraId="622DB49C">
      <w:pPr>
        <w:spacing w:line="440" w:lineRule="exact"/>
        <w:rPr>
          <w:rFonts w:hint="eastAsia" w:asciiTheme="minorEastAsia" w:hAnsiTheme="minorEastAsia" w:eastAsiaTheme="minorEastAsia" w:cstheme="minorEastAsia"/>
          <w:sz w:val="24"/>
          <w:szCs w:val="24"/>
        </w:rPr>
      </w:pPr>
    </w:p>
    <w:p w14:paraId="0E76AA81">
      <w:pPr>
        <w:spacing w:line="440" w:lineRule="exact"/>
        <w:jc w:val="righ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4"/>
          <w:szCs w:val="24"/>
        </w:rPr>
        <w:t>年    月    日</w:t>
      </w:r>
    </w:p>
    <w:p w14:paraId="7977C491"/>
    <w:p w14:paraId="02BCE73D">
      <w:pPr>
        <w:pStyle w:val="4"/>
      </w:pPr>
    </w:p>
    <w:p w14:paraId="23FFCCAE"/>
    <w:p w14:paraId="275BE790">
      <w:pPr>
        <w:pStyle w:val="4"/>
      </w:pPr>
    </w:p>
    <w:p w14:paraId="0BCF3A36"/>
    <w:p w14:paraId="27F8D441">
      <w:pPr>
        <w:pStyle w:val="4"/>
      </w:pPr>
    </w:p>
    <w:p w14:paraId="0FF382A8"/>
    <w:p w14:paraId="0BE80D9F">
      <w:pPr>
        <w:pStyle w:val="4"/>
      </w:pPr>
    </w:p>
    <w:p w14:paraId="605F5524"/>
    <w:p w14:paraId="445231C0"/>
    <w:p w14:paraId="204B6D44">
      <w:pPr>
        <w:pStyle w:val="4"/>
      </w:pPr>
    </w:p>
    <w:p w14:paraId="08AB8D5E"/>
    <w:p w14:paraId="385B0373">
      <w:pPr>
        <w:pStyle w:val="4"/>
      </w:pPr>
    </w:p>
    <w:p w14:paraId="16A02461"/>
    <w:p w14:paraId="18A0494D">
      <w:pPr>
        <w:widowControl/>
        <w:shd w:val="clear" w:color="auto" w:fill="FFFFFF"/>
        <w:jc w:val="center"/>
        <w:rPr>
          <w:rFonts w:hint="eastAsia" w:ascii="宋体" w:hAnsi="宋体" w:cs="宋体"/>
          <w:color w:val="333333"/>
          <w:kern w:val="0"/>
          <w:sz w:val="24"/>
          <w:szCs w:val="24"/>
        </w:rPr>
      </w:pPr>
      <w:r>
        <w:rPr>
          <w:rFonts w:hint="eastAsia" w:ascii="宋体" w:hAnsi="宋体" w:cs="宋体"/>
          <w:b/>
          <w:bCs/>
          <w:color w:val="333333"/>
          <w:kern w:val="0"/>
          <w:sz w:val="24"/>
          <w:szCs w:val="24"/>
        </w:rPr>
        <w:t>采购合同</w:t>
      </w:r>
    </w:p>
    <w:p w14:paraId="5828BAF4">
      <w:pPr>
        <w:widowControl/>
        <w:shd w:val="clear" w:color="auto" w:fill="FFFFFF"/>
        <w:jc w:val="left"/>
        <w:rPr>
          <w:rFonts w:hint="eastAsia" w:ascii="宋体" w:hAnsi="宋体" w:cs="宋体"/>
          <w:color w:val="333333"/>
          <w:kern w:val="0"/>
          <w:sz w:val="24"/>
          <w:szCs w:val="24"/>
        </w:rPr>
      </w:pPr>
    </w:p>
    <w:p w14:paraId="2D991462">
      <w:pPr>
        <w:widowControl/>
        <w:shd w:val="clear" w:color="auto" w:fill="FFFFFF"/>
        <w:jc w:val="left"/>
        <w:rPr>
          <w:rFonts w:hint="eastAsia" w:ascii="宋体" w:hAnsi="宋体" w:cs="宋体"/>
          <w:color w:val="333333"/>
          <w:kern w:val="0"/>
          <w:sz w:val="24"/>
          <w:szCs w:val="24"/>
        </w:rPr>
      </w:pPr>
      <w:r>
        <w:rPr>
          <w:rFonts w:hint="eastAsia" w:ascii="宋体" w:hAnsi="宋体" w:cs="宋体"/>
          <w:color w:val="333333"/>
          <w:kern w:val="0"/>
          <w:sz w:val="24"/>
          <w:szCs w:val="24"/>
        </w:rPr>
        <w:t>采购方（甲方）：</w:t>
      </w:r>
      <w:r>
        <w:rPr>
          <w:rFonts w:hint="eastAsia" w:ascii="宋体" w:hAnsi="宋体" w:cs="仿宋_GB2312"/>
          <w:sz w:val="24"/>
          <w:szCs w:val="24"/>
          <w:u w:val="single"/>
        </w:rPr>
        <w:t>福建连城豸龙旅游集团有限公司</w:t>
      </w:r>
      <w:r>
        <w:rPr>
          <w:rFonts w:hint="eastAsia" w:ascii="宋体" w:hAnsi="宋体" w:cs="宋体"/>
          <w:color w:val="333333"/>
          <w:kern w:val="0"/>
          <w:sz w:val="24"/>
          <w:szCs w:val="24"/>
        </w:rPr>
        <w:t xml:space="preserve">     </w:t>
      </w:r>
    </w:p>
    <w:p w14:paraId="64AFC319">
      <w:pPr>
        <w:widowControl/>
        <w:shd w:val="clear" w:color="auto" w:fill="FFFFFF"/>
        <w:jc w:val="left"/>
        <w:rPr>
          <w:rFonts w:hint="eastAsia" w:ascii="宋体" w:hAnsi="宋体" w:cs="宋体"/>
          <w:color w:val="333333"/>
          <w:kern w:val="0"/>
          <w:sz w:val="24"/>
          <w:szCs w:val="24"/>
        </w:rPr>
      </w:pPr>
      <w:r>
        <w:rPr>
          <w:rFonts w:hint="eastAsia" w:ascii="宋体" w:hAnsi="宋体" w:cs="宋体"/>
          <w:color w:val="333333"/>
          <w:kern w:val="0"/>
          <w:sz w:val="24"/>
          <w:szCs w:val="24"/>
        </w:rPr>
        <w:t>供货方（乙方）：</w:t>
      </w:r>
      <w:r>
        <w:rPr>
          <w:rFonts w:hint="eastAsia" w:ascii="宋体" w:hAnsi="宋体" w:cs="宋体"/>
          <w:color w:val="333333"/>
          <w:kern w:val="0"/>
          <w:sz w:val="24"/>
          <w:szCs w:val="24"/>
          <w:u w:val="single"/>
        </w:rPr>
        <w:t xml:space="preserve">                   </w:t>
      </w:r>
    </w:p>
    <w:p w14:paraId="45DC8B92">
      <w:pPr>
        <w:widowControl/>
        <w:shd w:val="clear" w:color="auto" w:fill="FFFFFF"/>
        <w:jc w:val="left"/>
        <w:rPr>
          <w:rFonts w:hint="eastAsia" w:ascii="宋体" w:hAnsi="宋体" w:cs="宋体"/>
          <w:color w:val="333333"/>
          <w:kern w:val="0"/>
          <w:sz w:val="24"/>
          <w:szCs w:val="24"/>
        </w:rPr>
      </w:pPr>
      <w:r>
        <w:rPr>
          <w:rFonts w:hint="eastAsia" w:ascii="宋体" w:hAnsi="宋体" w:cs="宋体"/>
          <w:color w:val="333333"/>
          <w:kern w:val="0"/>
          <w:sz w:val="24"/>
          <w:szCs w:val="24"/>
        </w:rPr>
        <w:t> 根据项目编号为</w:t>
      </w:r>
      <w:r>
        <w:rPr>
          <w:rFonts w:hint="eastAsia" w:ascii="宋体" w:hAnsi="宋体" w:cs="宋体"/>
          <w:color w:val="333333"/>
          <w:kern w:val="0"/>
          <w:sz w:val="24"/>
          <w:szCs w:val="24"/>
          <w:u w:val="single"/>
        </w:rPr>
        <w:t>     </w:t>
      </w:r>
      <w:r>
        <w:rPr>
          <w:rFonts w:hint="eastAsia" w:ascii="宋体" w:hAnsi="宋体" w:cs="宋体"/>
          <w:color w:val="333333"/>
          <w:kern w:val="0"/>
          <w:sz w:val="24"/>
          <w:szCs w:val="24"/>
        </w:rPr>
        <w:t>的</w:t>
      </w:r>
      <w:r>
        <w:rPr>
          <w:rFonts w:hint="eastAsia" w:ascii="宋体" w:hAnsi="宋体" w:cs="宋体"/>
          <w:color w:val="333333"/>
          <w:kern w:val="0"/>
          <w:sz w:val="24"/>
          <w:szCs w:val="24"/>
          <w:u w:val="single"/>
        </w:rPr>
        <w:t>      </w:t>
      </w:r>
      <w:r>
        <w:rPr>
          <w:rFonts w:hint="eastAsia" w:ascii="宋体" w:hAnsi="宋体" w:cs="宋体"/>
          <w:color w:val="333333"/>
          <w:kern w:val="0"/>
          <w:sz w:val="24"/>
          <w:szCs w:val="24"/>
        </w:rPr>
        <w:t>项目（以下简称：“本项目”）的招标结果，成交人为乙方。现经委托人与成交人友好协商，就以下事项达成一致并签订本合同：</w:t>
      </w:r>
    </w:p>
    <w:p w14:paraId="38E332B0">
      <w:pPr>
        <w:widowControl/>
        <w:shd w:val="clear" w:color="auto" w:fill="FFFFFF"/>
        <w:ind w:firstLine="320"/>
        <w:jc w:val="left"/>
        <w:rPr>
          <w:rFonts w:hint="eastAsia" w:ascii="宋体" w:hAnsi="宋体" w:cs="宋体"/>
          <w:color w:val="333333"/>
          <w:kern w:val="0"/>
          <w:sz w:val="24"/>
          <w:szCs w:val="24"/>
        </w:rPr>
      </w:pPr>
      <w:r>
        <w:rPr>
          <w:rFonts w:hint="eastAsia" w:ascii="宋体" w:hAnsi="宋体" w:cs="宋体"/>
          <w:color w:val="333333"/>
          <w:kern w:val="0"/>
          <w:sz w:val="24"/>
          <w:szCs w:val="24"/>
        </w:rPr>
        <w:t>1、下列合同文件是构成本合同不可分割的部分：</w:t>
      </w:r>
    </w:p>
    <w:p w14:paraId="7F1C4AD2">
      <w:pPr>
        <w:widowControl/>
        <w:shd w:val="clear" w:color="auto" w:fill="FFFFFF"/>
        <w:ind w:firstLine="320"/>
        <w:jc w:val="left"/>
        <w:rPr>
          <w:rFonts w:hint="eastAsia" w:ascii="宋体" w:hAnsi="宋体" w:cs="宋体"/>
          <w:color w:val="333333"/>
          <w:kern w:val="0"/>
          <w:sz w:val="24"/>
          <w:szCs w:val="24"/>
        </w:rPr>
      </w:pPr>
      <w:r>
        <w:rPr>
          <w:rFonts w:hint="eastAsia" w:ascii="宋体" w:hAnsi="宋体" w:cs="宋体"/>
          <w:color w:val="333333"/>
          <w:kern w:val="0"/>
          <w:sz w:val="24"/>
          <w:szCs w:val="24"/>
        </w:rPr>
        <w:t>1.1合同条款；</w:t>
      </w:r>
    </w:p>
    <w:p w14:paraId="7B6F6607">
      <w:pPr>
        <w:widowControl/>
        <w:shd w:val="clear" w:color="auto" w:fill="FFFFFF"/>
        <w:ind w:firstLine="320"/>
        <w:jc w:val="left"/>
        <w:rPr>
          <w:rFonts w:hint="eastAsia" w:ascii="宋体" w:hAnsi="宋体" w:cs="宋体"/>
          <w:color w:val="333333"/>
          <w:kern w:val="0"/>
          <w:sz w:val="24"/>
          <w:szCs w:val="24"/>
        </w:rPr>
      </w:pPr>
      <w:r>
        <w:rPr>
          <w:rFonts w:hint="eastAsia" w:ascii="宋体" w:hAnsi="宋体" w:cs="宋体"/>
          <w:color w:val="333333"/>
          <w:kern w:val="0"/>
          <w:sz w:val="24"/>
          <w:szCs w:val="24"/>
        </w:rPr>
        <w:t>1.2竞价文件、乙方的响应文件；</w:t>
      </w:r>
    </w:p>
    <w:p w14:paraId="7BAA119A">
      <w:pPr>
        <w:widowControl/>
        <w:shd w:val="clear" w:color="auto" w:fill="FFFFFF"/>
        <w:ind w:firstLine="320"/>
        <w:jc w:val="left"/>
        <w:rPr>
          <w:rFonts w:hint="eastAsia" w:ascii="宋体" w:hAnsi="宋体" w:cs="宋体"/>
          <w:color w:val="333333"/>
          <w:kern w:val="0"/>
          <w:sz w:val="24"/>
          <w:szCs w:val="24"/>
        </w:rPr>
      </w:pPr>
      <w:r>
        <w:rPr>
          <w:rFonts w:hint="eastAsia" w:ascii="宋体" w:hAnsi="宋体" w:cs="宋体"/>
          <w:color w:val="333333"/>
          <w:kern w:val="0"/>
          <w:sz w:val="24"/>
          <w:szCs w:val="24"/>
        </w:rPr>
        <w:t>1.3其他文件或材料：□无。</w:t>
      </w:r>
    </w:p>
    <w:p w14:paraId="467232E9">
      <w:pPr>
        <w:widowControl/>
        <w:shd w:val="clear" w:color="auto" w:fill="FFFFFF"/>
        <w:ind w:firstLine="320"/>
        <w:jc w:val="left"/>
        <w:rPr>
          <w:rFonts w:hint="eastAsia" w:ascii="宋体" w:hAnsi="宋体" w:cs="宋体"/>
          <w:color w:val="333333"/>
          <w:kern w:val="0"/>
          <w:sz w:val="24"/>
          <w:szCs w:val="24"/>
        </w:rPr>
      </w:pPr>
      <w:r>
        <w:rPr>
          <w:rFonts w:hint="eastAsia" w:ascii="宋体" w:hAnsi="宋体" w:cs="宋体"/>
          <w:color w:val="333333"/>
          <w:kern w:val="0"/>
          <w:sz w:val="24"/>
          <w:szCs w:val="24"/>
        </w:rPr>
        <w:t>2、合同标的</w:t>
      </w:r>
    </w:p>
    <w:tbl>
      <w:tblPr>
        <w:tblStyle w:val="14"/>
        <w:tblW w:w="9262" w:type="dxa"/>
        <w:jc w:val="center"/>
        <w:tblLayout w:type="autofit"/>
        <w:tblCellMar>
          <w:top w:w="0" w:type="dxa"/>
          <w:left w:w="0" w:type="dxa"/>
          <w:bottom w:w="0" w:type="dxa"/>
          <w:right w:w="0" w:type="dxa"/>
        </w:tblCellMar>
      </w:tblPr>
      <w:tblGrid>
        <w:gridCol w:w="886"/>
        <w:gridCol w:w="4044"/>
        <w:gridCol w:w="722"/>
        <w:gridCol w:w="722"/>
        <w:gridCol w:w="722"/>
        <w:gridCol w:w="722"/>
        <w:gridCol w:w="722"/>
        <w:gridCol w:w="722"/>
      </w:tblGrid>
      <w:tr w14:paraId="05077679">
        <w:tblPrEx>
          <w:tblCellMar>
            <w:top w:w="0" w:type="dxa"/>
            <w:left w:w="0" w:type="dxa"/>
            <w:bottom w:w="0" w:type="dxa"/>
            <w:right w:w="0" w:type="dxa"/>
          </w:tblCellMar>
        </w:tblPrEx>
        <w:trPr>
          <w:jc w:val="center"/>
        </w:trPr>
        <w:tc>
          <w:tcPr>
            <w:tcW w:w="886" w:type="dxa"/>
            <w:tcBorders>
              <w:top w:val="single" w:color="auto" w:sz="8" w:space="0"/>
              <w:left w:val="single" w:color="auto" w:sz="8" w:space="0"/>
              <w:bottom w:val="single" w:color="auto" w:sz="8" w:space="0"/>
              <w:right w:val="single" w:color="auto" w:sz="8" w:space="0"/>
            </w:tcBorders>
            <w:vAlign w:val="center"/>
          </w:tcPr>
          <w:p w14:paraId="2617F920">
            <w:pPr>
              <w:widowControl/>
              <w:jc w:val="left"/>
              <w:rPr>
                <w:rFonts w:hint="eastAsia" w:ascii="宋体" w:hAnsi="宋体" w:cs="宋体"/>
                <w:kern w:val="0"/>
                <w:sz w:val="24"/>
                <w:szCs w:val="24"/>
              </w:rPr>
            </w:pPr>
            <w:r>
              <w:rPr>
                <w:rFonts w:hint="eastAsia" w:ascii="宋体" w:hAnsi="宋体" w:cs="宋体"/>
                <w:kern w:val="0"/>
                <w:sz w:val="24"/>
                <w:szCs w:val="24"/>
              </w:rPr>
              <w:t>序号</w:t>
            </w:r>
          </w:p>
        </w:tc>
        <w:tc>
          <w:tcPr>
            <w:tcW w:w="4044" w:type="dxa"/>
            <w:tcBorders>
              <w:top w:val="single" w:color="auto" w:sz="8" w:space="0"/>
              <w:left w:val="single" w:color="auto" w:sz="8" w:space="0"/>
              <w:bottom w:val="single" w:color="auto" w:sz="8" w:space="0"/>
              <w:right w:val="single" w:color="auto" w:sz="8" w:space="0"/>
            </w:tcBorders>
            <w:vAlign w:val="center"/>
          </w:tcPr>
          <w:p w14:paraId="00BD0A5C">
            <w:pPr>
              <w:widowControl/>
              <w:jc w:val="left"/>
              <w:rPr>
                <w:rFonts w:hint="eastAsia" w:ascii="宋体" w:hAnsi="宋体" w:cs="宋体"/>
                <w:kern w:val="0"/>
                <w:sz w:val="24"/>
                <w:szCs w:val="24"/>
              </w:rPr>
            </w:pPr>
            <w:r>
              <w:rPr>
                <w:rFonts w:hint="eastAsia" w:ascii="宋体" w:hAnsi="宋体" w:cs="宋体"/>
                <w:kern w:val="0"/>
                <w:sz w:val="24"/>
                <w:szCs w:val="24"/>
              </w:rPr>
              <w:t>名称</w:t>
            </w:r>
          </w:p>
        </w:tc>
        <w:tc>
          <w:tcPr>
            <w:tcW w:w="722" w:type="dxa"/>
            <w:tcBorders>
              <w:top w:val="single" w:color="auto" w:sz="8" w:space="0"/>
              <w:left w:val="single" w:color="auto" w:sz="8" w:space="0"/>
              <w:bottom w:val="single" w:color="auto" w:sz="8" w:space="0"/>
              <w:right w:val="single" w:color="auto" w:sz="8" w:space="0"/>
            </w:tcBorders>
            <w:vAlign w:val="center"/>
          </w:tcPr>
          <w:p w14:paraId="6F4314B4">
            <w:pPr>
              <w:widowControl/>
              <w:jc w:val="left"/>
              <w:rPr>
                <w:rFonts w:hint="eastAsia" w:ascii="宋体" w:hAnsi="宋体" w:cs="宋体"/>
                <w:kern w:val="0"/>
                <w:sz w:val="24"/>
                <w:szCs w:val="24"/>
              </w:rPr>
            </w:pPr>
            <w:r>
              <w:rPr>
                <w:rFonts w:hint="eastAsia" w:ascii="宋体" w:hAnsi="宋体" w:cs="宋体"/>
                <w:kern w:val="0"/>
                <w:sz w:val="24"/>
                <w:szCs w:val="24"/>
              </w:rPr>
              <w:t>规格</w:t>
            </w:r>
          </w:p>
        </w:tc>
        <w:tc>
          <w:tcPr>
            <w:tcW w:w="722" w:type="dxa"/>
            <w:tcBorders>
              <w:top w:val="single" w:color="auto" w:sz="8" w:space="0"/>
              <w:left w:val="single" w:color="auto" w:sz="8" w:space="0"/>
              <w:bottom w:val="single" w:color="auto" w:sz="8" w:space="0"/>
              <w:right w:val="single" w:color="auto" w:sz="8" w:space="0"/>
            </w:tcBorders>
            <w:vAlign w:val="center"/>
          </w:tcPr>
          <w:p w14:paraId="7B7E40D0">
            <w:pPr>
              <w:widowControl/>
              <w:jc w:val="left"/>
              <w:rPr>
                <w:rFonts w:hint="eastAsia" w:ascii="宋体" w:hAnsi="宋体" w:cs="宋体"/>
                <w:kern w:val="0"/>
                <w:sz w:val="24"/>
                <w:szCs w:val="24"/>
              </w:rPr>
            </w:pPr>
            <w:r>
              <w:rPr>
                <w:rFonts w:hint="eastAsia" w:ascii="宋体" w:hAnsi="宋体" w:cs="宋体"/>
                <w:kern w:val="0"/>
                <w:sz w:val="24"/>
                <w:szCs w:val="24"/>
              </w:rPr>
              <w:t>单位</w:t>
            </w:r>
          </w:p>
        </w:tc>
        <w:tc>
          <w:tcPr>
            <w:tcW w:w="722" w:type="dxa"/>
            <w:tcBorders>
              <w:top w:val="single" w:color="auto" w:sz="8" w:space="0"/>
              <w:left w:val="single" w:color="auto" w:sz="8" w:space="0"/>
              <w:bottom w:val="single" w:color="auto" w:sz="8" w:space="0"/>
              <w:right w:val="single" w:color="auto" w:sz="8" w:space="0"/>
            </w:tcBorders>
            <w:vAlign w:val="center"/>
          </w:tcPr>
          <w:p w14:paraId="358967DF">
            <w:pPr>
              <w:widowControl/>
              <w:jc w:val="left"/>
              <w:rPr>
                <w:rFonts w:hint="eastAsia" w:ascii="宋体" w:hAnsi="宋体" w:cs="宋体"/>
                <w:kern w:val="0"/>
                <w:sz w:val="24"/>
                <w:szCs w:val="24"/>
              </w:rPr>
            </w:pPr>
            <w:r>
              <w:rPr>
                <w:rFonts w:hint="eastAsia" w:ascii="宋体" w:hAnsi="宋体" w:cs="宋体"/>
                <w:kern w:val="0"/>
                <w:sz w:val="24"/>
                <w:szCs w:val="24"/>
              </w:rPr>
              <w:t>数量</w:t>
            </w:r>
          </w:p>
        </w:tc>
        <w:tc>
          <w:tcPr>
            <w:tcW w:w="722" w:type="dxa"/>
            <w:tcBorders>
              <w:top w:val="single" w:color="auto" w:sz="8" w:space="0"/>
              <w:left w:val="single" w:color="auto" w:sz="8" w:space="0"/>
              <w:bottom w:val="single" w:color="auto" w:sz="8" w:space="0"/>
              <w:right w:val="single" w:color="auto" w:sz="8" w:space="0"/>
            </w:tcBorders>
            <w:vAlign w:val="center"/>
          </w:tcPr>
          <w:p w14:paraId="736296AC">
            <w:pPr>
              <w:widowControl/>
              <w:jc w:val="left"/>
              <w:rPr>
                <w:rFonts w:hint="eastAsia" w:ascii="宋体" w:hAnsi="宋体" w:cs="宋体"/>
                <w:kern w:val="0"/>
                <w:sz w:val="24"/>
                <w:szCs w:val="24"/>
              </w:rPr>
            </w:pPr>
            <w:r>
              <w:rPr>
                <w:rFonts w:hint="eastAsia" w:ascii="宋体" w:hAnsi="宋体" w:cs="宋体"/>
                <w:kern w:val="0"/>
                <w:sz w:val="24"/>
                <w:szCs w:val="24"/>
              </w:rPr>
              <w:t>单价</w:t>
            </w:r>
          </w:p>
        </w:tc>
        <w:tc>
          <w:tcPr>
            <w:tcW w:w="722" w:type="dxa"/>
            <w:tcBorders>
              <w:top w:val="single" w:color="auto" w:sz="8" w:space="0"/>
              <w:left w:val="single" w:color="auto" w:sz="8" w:space="0"/>
              <w:bottom w:val="single" w:color="auto" w:sz="8" w:space="0"/>
              <w:right w:val="single" w:color="auto" w:sz="8" w:space="0"/>
            </w:tcBorders>
            <w:vAlign w:val="center"/>
          </w:tcPr>
          <w:p w14:paraId="283B3B53">
            <w:pPr>
              <w:widowControl/>
              <w:jc w:val="left"/>
              <w:rPr>
                <w:rFonts w:hint="eastAsia" w:ascii="宋体" w:hAnsi="宋体" w:cs="宋体"/>
                <w:kern w:val="0"/>
                <w:sz w:val="24"/>
                <w:szCs w:val="24"/>
              </w:rPr>
            </w:pPr>
            <w:r>
              <w:rPr>
                <w:rFonts w:hint="eastAsia" w:ascii="宋体" w:hAnsi="宋体" w:cs="宋体"/>
                <w:kern w:val="0"/>
                <w:sz w:val="24"/>
                <w:szCs w:val="24"/>
              </w:rPr>
              <w:t>总价</w:t>
            </w:r>
          </w:p>
        </w:tc>
        <w:tc>
          <w:tcPr>
            <w:tcW w:w="722" w:type="dxa"/>
            <w:tcBorders>
              <w:top w:val="single" w:color="auto" w:sz="8" w:space="0"/>
              <w:left w:val="single" w:color="auto" w:sz="8" w:space="0"/>
              <w:bottom w:val="single" w:color="auto" w:sz="8" w:space="0"/>
              <w:right w:val="single" w:color="auto" w:sz="8" w:space="0"/>
            </w:tcBorders>
            <w:vAlign w:val="center"/>
          </w:tcPr>
          <w:p w14:paraId="035F95EE">
            <w:pPr>
              <w:widowControl/>
              <w:jc w:val="left"/>
              <w:rPr>
                <w:rFonts w:hint="eastAsia" w:ascii="宋体" w:hAnsi="宋体" w:cs="宋体"/>
                <w:kern w:val="0"/>
                <w:sz w:val="24"/>
                <w:szCs w:val="24"/>
              </w:rPr>
            </w:pPr>
            <w:r>
              <w:rPr>
                <w:rFonts w:hint="eastAsia" w:ascii="宋体" w:hAnsi="宋体" w:cs="宋体"/>
                <w:kern w:val="0"/>
                <w:sz w:val="24"/>
                <w:szCs w:val="24"/>
              </w:rPr>
              <w:t>备注</w:t>
            </w:r>
          </w:p>
        </w:tc>
      </w:tr>
      <w:tr w14:paraId="5A708E24">
        <w:tblPrEx>
          <w:tblCellMar>
            <w:top w:w="0" w:type="dxa"/>
            <w:left w:w="0" w:type="dxa"/>
            <w:bottom w:w="0" w:type="dxa"/>
            <w:right w:w="0" w:type="dxa"/>
          </w:tblCellMar>
        </w:tblPrEx>
        <w:trPr>
          <w:jc w:val="center"/>
        </w:trPr>
        <w:tc>
          <w:tcPr>
            <w:tcW w:w="886" w:type="dxa"/>
            <w:tcBorders>
              <w:top w:val="single" w:color="auto" w:sz="8" w:space="0"/>
              <w:left w:val="single" w:color="auto" w:sz="8" w:space="0"/>
              <w:bottom w:val="single" w:color="auto" w:sz="8" w:space="0"/>
              <w:right w:val="single" w:color="auto" w:sz="8" w:space="0"/>
            </w:tcBorders>
            <w:vAlign w:val="center"/>
          </w:tcPr>
          <w:p w14:paraId="0A58BD7A">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4044" w:type="dxa"/>
            <w:tcBorders>
              <w:top w:val="single" w:color="auto" w:sz="8" w:space="0"/>
              <w:left w:val="single" w:color="auto" w:sz="8" w:space="0"/>
              <w:bottom w:val="single" w:color="auto" w:sz="8" w:space="0"/>
              <w:right w:val="single" w:color="auto" w:sz="8" w:space="0"/>
            </w:tcBorders>
            <w:vAlign w:val="center"/>
          </w:tcPr>
          <w:p w14:paraId="0969A9AC">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359ECF60">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28866FF1">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488130C4">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1F389C3B">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59CE52C8">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5B4AAA35">
            <w:pPr>
              <w:widowControl/>
              <w:jc w:val="left"/>
              <w:rPr>
                <w:rFonts w:hint="eastAsia" w:ascii="宋体" w:hAnsi="宋体" w:cs="宋体"/>
                <w:kern w:val="0"/>
                <w:sz w:val="24"/>
                <w:szCs w:val="24"/>
              </w:rPr>
            </w:pPr>
            <w:r>
              <w:rPr>
                <w:rFonts w:hint="eastAsia" w:ascii="宋体" w:hAnsi="宋体" w:cs="宋体"/>
                <w:kern w:val="0"/>
                <w:sz w:val="24"/>
                <w:szCs w:val="24"/>
              </w:rPr>
              <w:t> </w:t>
            </w:r>
          </w:p>
        </w:tc>
      </w:tr>
      <w:tr w14:paraId="5AE6A820">
        <w:tblPrEx>
          <w:tblCellMar>
            <w:top w:w="0" w:type="dxa"/>
            <w:left w:w="0" w:type="dxa"/>
            <w:bottom w:w="0" w:type="dxa"/>
            <w:right w:w="0" w:type="dxa"/>
          </w:tblCellMar>
        </w:tblPrEx>
        <w:trPr>
          <w:jc w:val="center"/>
        </w:trPr>
        <w:tc>
          <w:tcPr>
            <w:tcW w:w="886" w:type="dxa"/>
            <w:tcBorders>
              <w:top w:val="single" w:color="auto" w:sz="8" w:space="0"/>
              <w:left w:val="single" w:color="auto" w:sz="8" w:space="0"/>
              <w:bottom w:val="single" w:color="auto" w:sz="8" w:space="0"/>
              <w:right w:val="single" w:color="auto" w:sz="8" w:space="0"/>
            </w:tcBorders>
            <w:vAlign w:val="center"/>
          </w:tcPr>
          <w:p w14:paraId="2B09E195">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4044" w:type="dxa"/>
            <w:tcBorders>
              <w:top w:val="single" w:color="auto" w:sz="8" w:space="0"/>
              <w:left w:val="single" w:color="auto" w:sz="8" w:space="0"/>
              <w:bottom w:val="single" w:color="auto" w:sz="8" w:space="0"/>
              <w:right w:val="single" w:color="auto" w:sz="8" w:space="0"/>
            </w:tcBorders>
            <w:vAlign w:val="center"/>
          </w:tcPr>
          <w:p w14:paraId="351FD730">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218F1FE9">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0AC7EE76">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3313DCEA">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1C0ED1C1">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7F919D4B">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104C51B1">
            <w:pPr>
              <w:widowControl/>
              <w:jc w:val="left"/>
              <w:rPr>
                <w:rFonts w:hint="eastAsia" w:ascii="宋体" w:hAnsi="宋体" w:cs="宋体"/>
                <w:kern w:val="0"/>
                <w:sz w:val="24"/>
                <w:szCs w:val="24"/>
              </w:rPr>
            </w:pPr>
            <w:r>
              <w:rPr>
                <w:rFonts w:hint="eastAsia" w:ascii="宋体" w:hAnsi="宋体" w:cs="宋体"/>
                <w:kern w:val="0"/>
                <w:sz w:val="24"/>
                <w:szCs w:val="24"/>
              </w:rPr>
              <w:t> </w:t>
            </w:r>
          </w:p>
        </w:tc>
      </w:tr>
      <w:tr w14:paraId="18054C67">
        <w:tblPrEx>
          <w:tblCellMar>
            <w:top w:w="0" w:type="dxa"/>
            <w:left w:w="0" w:type="dxa"/>
            <w:bottom w:w="0" w:type="dxa"/>
            <w:right w:w="0" w:type="dxa"/>
          </w:tblCellMar>
        </w:tblPrEx>
        <w:trPr>
          <w:jc w:val="center"/>
        </w:trPr>
        <w:tc>
          <w:tcPr>
            <w:tcW w:w="886" w:type="dxa"/>
            <w:tcBorders>
              <w:top w:val="single" w:color="auto" w:sz="8" w:space="0"/>
              <w:left w:val="single" w:color="auto" w:sz="8" w:space="0"/>
              <w:bottom w:val="single" w:color="auto" w:sz="8" w:space="0"/>
              <w:right w:val="single" w:color="auto" w:sz="8" w:space="0"/>
            </w:tcBorders>
            <w:vAlign w:val="center"/>
          </w:tcPr>
          <w:p w14:paraId="5DCCAFA3">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4044" w:type="dxa"/>
            <w:tcBorders>
              <w:top w:val="single" w:color="auto" w:sz="8" w:space="0"/>
              <w:left w:val="single" w:color="auto" w:sz="8" w:space="0"/>
              <w:bottom w:val="single" w:color="auto" w:sz="8" w:space="0"/>
              <w:right w:val="single" w:color="auto" w:sz="8" w:space="0"/>
            </w:tcBorders>
            <w:vAlign w:val="center"/>
          </w:tcPr>
          <w:p w14:paraId="107ADC28">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545C9923">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7F6BACCD">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60D1338D">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54B38475">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05ED6D5A">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0088B7F1">
            <w:pPr>
              <w:widowControl/>
              <w:jc w:val="left"/>
              <w:rPr>
                <w:rFonts w:hint="eastAsia" w:ascii="宋体" w:hAnsi="宋体" w:cs="宋体"/>
                <w:kern w:val="0"/>
                <w:sz w:val="24"/>
                <w:szCs w:val="24"/>
              </w:rPr>
            </w:pPr>
            <w:r>
              <w:rPr>
                <w:rFonts w:hint="eastAsia" w:ascii="宋体" w:hAnsi="宋体" w:cs="宋体"/>
                <w:kern w:val="0"/>
                <w:sz w:val="24"/>
                <w:szCs w:val="24"/>
              </w:rPr>
              <w:t> </w:t>
            </w:r>
          </w:p>
        </w:tc>
      </w:tr>
      <w:tr w14:paraId="15D8E15F">
        <w:tblPrEx>
          <w:tblCellMar>
            <w:top w:w="0" w:type="dxa"/>
            <w:left w:w="0" w:type="dxa"/>
            <w:bottom w:w="0" w:type="dxa"/>
            <w:right w:w="0" w:type="dxa"/>
          </w:tblCellMar>
        </w:tblPrEx>
        <w:trPr>
          <w:jc w:val="center"/>
        </w:trPr>
        <w:tc>
          <w:tcPr>
            <w:tcW w:w="886" w:type="dxa"/>
            <w:tcBorders>
              <w:top w:val="single" w:color="auto" w:sz="8" w:space="0"/>
              <w:left w:val="single" w:color="auto" w:sz="8" w:space="0"/>
              <w:bottom w:val="single" w:color="auto" w:sz="8" w:space="0"/>
              <w:right w:val="single" w:color="auto" w:sz="8" w:space="0"/>
            </w:tcBorders>
            <w:vAlign w:val="center"/>
          </w:tcPr>
          <w:p w14:paraId="1E50D992">
            <w:pPr>
              <w:widowControl/>
              <w:jc w:val="left"/>
              <w:rPr>
                <w:rFonts w:hint="eastAsia" w:ascii="宋体" w:hAnsi="宋体" w:cs="宋体"/>
                <w:kern w:val="0"/>
                <w:sz w:val="24"/>
                <w:szCs w:val="24"/>
              </w:rPr>
            </w:pPr>
          </w:p>
        </w:tc>
        <w:tc>
          <w:tcPr>
            <w:tcW w:w="4044" w:type="dxa"/>
            <w:tcBorders>
              <w:top w:val="single" w:color="auto" w:sz="8" w:space="0"/>
              <w:left w:val="single" w:color="auto" w:sz="8" w:space="0"/>
              <w:bottom w:val="single" w:color="auto" w:sz="8" w:space="0"/>
              <w:right w:val="single" w:color="auto" w:sz="8" w:space="0"/>
            </w:tcBorders>
            <w:vAlign w:val="center"/>
          </w:tcPr>
          <w:p w14:paraId="1EB78654">
            <w:pPr>
              <w:widowControl/>
              <w:jc w:val="left"/>
              <w:rPr>
                <w:rFonts w:hint="eastAsia" w:ascii="宋体" w:hAnsi="宋体" w:cs="宋体"/>
                <w:kern w:val="0"/>
                <w:sz w:val="24"/>
                <w:szCs w:val="24"/>
              </w:rPr>
            </w:pPr>
          </w:p>
        </w:tc>
        <w:tc>
          <w:tcPr>
            <w:tcW w:w="722" w:type="dxa"/>
            <w:tcBorders>
              <w:top w:val="single" w:color="auto" w:sz="8" w:space="0"/>
              <w:left w:val="single" w:color="auto" w:sz="8" w:space="0"/>
              <w:bottom w:val="single" w:color="auto" w:sz="8" w:space="0"/>
              <w:right w:val="single" w:color="auto" w:sz="8" w:space="0"/>
            </w:tcBorders>
            <w:vAlign w:val="center"/>
          </w:tcPr>
          <w:p w14:paraId="01A8FCE7">
            <w:pPr>
              <w:widowControl/>
              <w:jc w:val="left"/>
              <w:rPr>
                <w:rFonts w:hint="eastAsia" w:ascii="宋体" w:hAnsi="宋体" w:cs="宋体"/>
                <w:kern w:val="0"/>
                <w:sz w:val="24"/>
                <w:szCs w:val="24"/>
              </w:rPr>
            </w:pPr>
          </w:p>
        </w:tc>
        <w:tc>
          <w:tcPr>
            <w:tcW w:w="722" w:type="dxa"/>
            <w:tcBorders>
              <w:top w:val="single" w:color="auto" w:sz="8" w:space="0"/>
              <w:left w:val="single" w:color="auto" w:sz="8" w:space="0"/>
              <w:bottom w:val="single" w:color="auto" w:sz="8" w:space="0"/>
              <w:right w:val="single" w:color="auto" w:sz="8" w:space="0"/>
            </w:tcBorders>
            <w:vAlign w:val="center"/>
          </w:tcPr>
          <w:p w14:paraId="4AFAE479">
            <w:pPr>
              <w:widowControl/>
              <w:jc w:val="left"/>
              <w:rPr>
                <w:rFonts w:hint="eastAsia" w:ascii="宋体" w:hAnsi="宋体" w:cs="宋体"/>
                <w:kern w:val="0"/>
                <w:sz w:val="24"/>
                <w:szCs w:val="24"/>
              </w:rPr>
            </w:pPr>
          </w:p>
        </w:tc>
        <w:tc>
          <w:tcPr>
            <w:tcW w:w="722" w:type="dxa"/>
            <w:tcBorders>
              <w:top w:val="single" w:color="auto" w:sz="8" w:space="0"/>
              <w:left w:val="single" w:color="auto" w:sz="8" w:space="0"/>
              <w:bottom w:val="single" w:color="auto" w:sz="8" w:space="0"/>
              <w:right w:val="single" w:color="auto" w:sz="8" w:space="0"/>
            </w:tcBorders>
            <w:vAlign w:val="center"/>
          </w:tcPr>
          <w:p w14:paraId="161BE125">
            <w:pPr>
              <w:widowControl/>
              <w:jc w:val="left"/>
              <w:rPr>
                <w:rFonts w:hint="eastAsia" w:ascii="宋体" w:hAnsi="宋体" w:cs="宋体"/>
                <w:kern w:val="0"/>
                <w:sz w:val="24"/>
                <w:szCs w:val="24"/>
              </w:rPr>
            </w:pPr>
          </w:p>
        </w:tc>
        <w:tc>
          <w:tcPr>
            <w:tcW w:w="722" w:type="dxa"/>
            <w:tcBorders>
              <w:top w:val="single" w:color="auto" w:sz="8" w:space="0"/>
              <w:left w:val="single" w:color="auto" w:sz="8" w:space="0"/>
              <w:bottom w:val="single" w:color="auto" w:sz="8" w:space="0"/>
              <w:right w:val="single" w:color="auto" w:sz="8" w:space="0"/>
            </w:tcBorders>
            <w:vAlign w:val="center"/>
          </w:tcPr>
          <w:p w14:paraId="46991458">
            <w:pPr>
              <w:widowControl/>
              <w:jc w:val="left"/>
              <w:rPr>
                <w:rFonts w:hint="eastAsia" w:ascii="宋体" w:hAnsi="宋体" w:cs="宋体"/>
                <w:kern w:val="0"/>
                <w:sz w:val="24"/>
                <w:szCs w:val="24"/>
              </w:rPr>
            </w:pPr>
          </w:p>
        </w:tc>
        <w:tc>
          <w:tcPr>
            <w:tcW w:w="722" w:type="dxa"/>
            <w:tcBorders>
              <w:top w:val="single" w:color="auto" w:sz="8" w:space="0"/>
              <w:left w:val="single" w:color="auto" w:sz="8" w:space="0"/>
              <w:bottom w:val="single" w:color="auto" w:sz="8" w:space="0"/>
              <w:right w:val="single" w:color="auto" w:sz="8" w:space="0"/>
            </w:tcBorders>
            <w:vAlign w:val="center"/>
          </w:tcPr>
          <w:p w14:paraId="79AE4DE1">
            <w:pPr>
              <w:widowControl/>
              <w:jc w:val="left"/>
              <w:rPr>
                <w:rFonts w:hint="eastAsia" w:ascii="宋体" w:hAnsi="宋体" w:cs="宋体"/>
                <w:kern w:val="0"/>
                <w:sz w:val="24"/>
                <w:szCs w:val="24"/>
              </w:rPr>
            </w:pPr>
          </w:p>
        </w:tc>
        <w:tc>
          <w:tcPr>
            <w:tcW w:w="722" w:type="dxa"/>
            <w:tcBorders>
              <w:top w:val="single" w:color="auto" w:sz="8" w:space="0"/>
              <w:left w:val="single" w:color="auto" w:sz="8" w:space="0"/>
              <w:bottom w:val="single" w:color="auto" w:sz="8" w:space="0"/>
              <w:right w:val="single" w:color="auto" w:sz="8" w:space="0"/>
            </w:tcBorders>
            <w:vAlign w:val="center"/>
          </w:tcPr>
          <w:p w14:paraId="2EEEAFBE">
            <w:pPr>
              <w:widowControl/>
              <w:jc w:val="left"/>
              <w:rPr>
                <w:rFonts w:hint="eastAsia" w:ascii="宋体" w:hAnsi="宋体" w:cs="宋体"/>
                <w:kern w:val="0"/>
                <w:sz w:val="24"/>
                <w:szCs w:val="24"/>
              </w:rPr>
            </w:pPr>
          </w:p>
        </w:tc>
      </w:tr>
      <w:tr w14:paraId="353CDD10">
        <w:tblPrEx>
          <w:tblCellMar>
            <w:top w:w="0" w:type="dxa"/>
            <w:left w:w="0" w:type="dxa"/>
            <w:bottom w:w="0" w:type="dxa"/>
            <w:right w:w="0" w:type="dxa"/>
          </w:tblCellMar>
        </w:tblPrEx>
        <w:trPr>
          <w:jc w:val="center"/>
        </w:trPr>
        <w:tc>
          <w:tcPr>
            <w:tcW w:w="886" w:type="dxa"/>
            <w:tcBorders>
              <w:top w:val="single" w:color="auto" w:sz="8" w:space="0"/>
              <w:left w:val="single" w:color="auto" w:sz="8" w:space="0"/>
              <w:bottom w:val="single" w:color="auto" w:sz="8" w:space="0"/>
              <w:right w:val="single" w:color="auto" w:sz="8" w:space="0"/>
            </w:tcBorders>
            <w:vAlign w:val="center"/>
          </w:tcPr>
          <w:p w14:paraId="3C4AA8B8">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4044" w:type="dxa"/>
            <w:tcBorders>
              <w:top w:val="single" w:color="auto" w:sz="8" w:space="0"/>
              <w:left w:val="single" w:color="auto" w:sz="8" w:space="0"/>
              <w:bottom w:val="single" w:color="auto" w:sz="8" w:space="0"/>
              <w:right w:val="single" w:color="auto" w:sz="8" w:space="0"/>
            </w:tcBorders>
            <w:vAlign w:val="center"/>
          </w:tcPr>
          <w:p w14:paraId="17375EF5">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424294C0">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0F5168FD">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41356037">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37B90190">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4F7DB426">
            <w:pPr>
              <w:widowControl/>
              <w:jc w:val="left"/>
              <w:rPr>
                <w:rFonts w:hint="eastAsia" w:ascii="宋体" w:hAnsi="宋体" w:cs="宋体"/>
                <w:kern w:val="0"/>
                <w:sz w:val="24"/>
                <w:szCs w:val="24"/>
              </w:rPr>
            </w:pPr>
            <w:r>
              <w:rPr>
                <w:rFonts w:hint="eastAsia" w:ascii="宋体" w:hAnsi="宋体" w:cs="宋体"/>
                <w:kern w:val="0"/>
                <w:sz w:val="24"/>
                <w:szCs w:val="24"/>
              </w:rPr>
              <w:t> </w:t>
            </w:r>
          </w:p>
        </w:tc>
        <w:tc>
          <w:tcPr>
            <w:tcW w:w="722" w:type="dxa"/>
            <w:tcBorders>
              <w:top w:val="single" w:color="auto" w:sz="8" w:space="0"/>
              <w:left w:val="single" w:color="auto" w:sz="8" w:space="0"/>
              <w:bottom w:val="single" w:color="auto" w:sz="8" w:space="0"/>
              <w:right w:val="single" w:color="auto" w:sz="8" w:space="0"/>
            </w:tcBorders>
            <w:vAlign w:val="center"/>
          </w:tcPr>
          <w:p w14:paraId="2474F08B">
            <w:pPr>
              <w:widowControl/>
              <w:jc w:val="left"/>
              <w:rPr>
                <w:rFonts w:hint="eastAsia" w:ascii="宋体" w:hAnsi="宋体" w:cs="宋体"/>
                <w:kern w:val="0"/>
                <w:sz w:val="24"/>
                <w:szCs w:val="24"/>
              </w:rPr>
            </w:pPr>
            <w:r>
              <w:rPr>
                <w:rFonts w:hint="eastAsia" w:ascii="宋体" w:hAnsi="宋体" w:cs="宋体"/>
                <w:kern w:val="0"/>
                <w:sz w:val="24"/>
                <w:szCs w:val="24"/>
              </w:rPr>
              <w:t> </w:t>
            </w:r>
          </w:p>
        </w:tc>
      </w:tr>
    </w:tbl>
    <w:p w14:paraId="7AF97D1C">
      <w:pPr>
        <w:widowControl/>
        <w:shd w:val="clear" w:color="auto" w:fill="FFFFFF"/>
        <w:ind w:firstLine="320"/>
        <w:jc w:val="left"/>
        <w:rPr>
          <w:rFonts w:hint="eastAsia" w:ascii="宋体" w:hAnsi="宋体" w:cs="宋体"/>
          <w:color w:val="333333"/>
          <w:kern w:val="0"/>
          <w:sz w:val="24"/>
          <w:szCs w:val="24"/>
        </w:rPr>
      </w:pPr>
      <w:r>
        <w:rPr>
          <w:rFonts w:hint="eastAsia" w:ascii="宋体" w:hAnsi="宋体" w:cs="宋体"/>
          <w:color w:val="333333"/>
          <w:kern w:val="0"/>
          <w:sz w:val="24"/>
          <w:szCs w:val="24"/>
        </w:rPr>
        <w:t>3、合同总金额</w:t>
      </w:r>
    </w:p>
    <w:p w14:paraId="50419441">
      <w:pPr>
        <w:widowControl/>
        <w:shd w:val="clear" w:color="auto" w:fill="FFFFFF"/>
        <w:ind w:firstLine="320"/>
        <w:jc w:val="left"/>
        <w:rPr>
          <w:rFonts w:hint="eastAsia" w:ascii="宋体" w:hAnsi="宋体" w:cs="宋体"/>
          <w:color w:val="333333"/>
          <w:kern w:val="0"/>
          <w:sz w:val="24"/>
          <w:szCs w:val="24"/>
        </w:rPr>
      </w:pPr>
      <w:r>
        <w:rPr>
          <w:rFonts w:hint="eastAsia" w:ascii="宋体" w:hAnsi="宋体" w:cs="宋体"/>
          <w:color w:val="333333"/>
          <w:kern w:val="0"/>
          <w:sz w:val="24"/>
          <w:szCs w:val="24"/>
        </w:rPr>
        <w:t>3.1 中标价格：</w:t>
      </w:r>
      <w:r>
        <w:rPr>
          <w:rFonts w:hint="eastAsia" w:ascii="宋体" w:hAnsi="宋体" w:cs="宋体"/>
          <w:color w:val="333333"/>
          <w:kern w:val="0"/>
          <w:sz w:val="24"/>
          <w:szCs w:val="24"/>
          <w:u w:val="single"/>
        </w:rPr>
        <w:t>大写          元小写¥         </w:t>
      </w:r>
      <w:r>
        <w:rPr>
          <w:rFonts w:hint="eastAsia" w:ascii="宋体" w:hAnsi="宋体" w:cs="宋体"/>
          <w:color w:val="333333"/>
          <w:kern w:val="0"/>
          <w:sz w:val="24"/>
          <w:szCs w:val="24"/>
        </w:rPr>
        <w:t>；</w:t>
      </w:r>
    </w:p>
    <w:p w14:paraId="7EE16FD4">
      <w:pPr>
        <w:widowControl/>
        <w:shd w:val="clear" w:color="auto" w:fill="FFFFFF"/>
        <w:ind w:firstLine="320"/>
        <w:jc w:val="left"/>
        <w:rPr>
          <w:rFonts w:hint="eastAsia" w:ascii="宋体" w:hAnsi="宋体" w:cs="宋体"/>
          <w:color w:val="333333"/>
          <w:kern w:val="0"/>
          <w:sz w:val="24"/>
          <w:szCs w:val="24"/>
        </w:rPr>
      </w:pPr>
      <w:r>
        <w:rPr>
          <w:rFonts w:hint="eastAsia" w:ascii="宋体" w:hAnsi="宋体" w:cs="宋体"/>
          <w:color w:val="333333"/>
          <w:kern w:val="0"/>
          <w:sz w:val="24"/>
          <w:szCs w:val="24"/>
        </w:rPr>
        <w:t>4、合同标的交付时间、地点和条件</w:t>
      </w:r>
    </w:p>
    <w:p w14:paraId="298C1FA3">
      <w:pPr>
        <w:widowControl/>
        <w:shd w:val="clear" w:color="auto" w:fill="FFFFFF"/>
        <w:ind w:firstLine="240"/>
        <w:jc w:val="left"/>
        <w:rPr>
          <w:rFonts w:hint="eastAsia" w:ascii="宋体" w:hAnsi="宋体" w:cs="宋体"/>
          <w:color w:val="333333"/>
          <w:kern w:val="0"/>
          <w:sz w:val="24"/>
          <w:szCs w:val="24"/>
        </w:rPr>
      </w:pPr>
      <w:r>
        <w:rPr>
          <w:rFonts w:hint="eastAsia" w:ascii="宋体" w:hAnsi="宋体" w:cs="宋体"/>
          <w:color w:val="333333"/>
          <w:kern w:val="0"/>
          <w:sz w:val="24"/>
          <w:szCs w:val="24"/>
        </w:rPr>
        <w:t>4.1、交付时间：</w:t>
      </w:r>
      <w:r>
        <w:rPr>
          <w:rFonts w:hint="eastAsia" w:ascii="宋体" w:hAnsi="宋体" w:cs="宋体"/>
          <w:color w:val="333333"/>
          <w:kern w:val="0"/>
          <w:sz w:val="24"/>
          <w:szCs w:val="24"/>
          <w:u w:val="single"/>
        </w:rPr>
        <w:t>合同签订后10日内完成供货并安装完毕。</w:t>
      </w:r>
    </w:p>
    <w:p w14:paraId="7FA6815C">
      <w:pPr>
        <w:widowControl/>
        <w:shd w:val="clear" w:color="auto" w:fill="FFFFFF"/>
        <w:ind w:firstLine="240"/>
        <w:jc w:val="left"/>
        <w:rPr>
          <w:rFonts w:hint="eastAsia" w:ascii="宋体" w:hAnsi="宋体" w:cs="宋体"/>
          <w:color w:val="333333"/>
          <w:kern w:val="0"/>
          <w:sz w:val="24"/>
          <w:szCs w:val="24"/>
        </w:rPr>
      </w:pPr>
      <w:r>
        <w:rPr>
          <w:rFonts w:hint="eastAsia" w:ascii="宋体" w:hAnsi="宋体" w:cs="宋体"/>
          <w:color w:val="333333"/>
          <w:kern w:val="0"/>
          <w:sz w:val="24"/>
          <w:szCs w:val="24"/>
        </w:rPr>
        <w:t>4.2、交付地点：</w:t>
      </w:r>
      <w:r>
        <w:rPr>
          <w:rFonts w:hint="eastAsia" w:ascii="宋体" w:hAnsi="宋体" w:cs="宋体"/>
          <w:color w:val="333333"/>
          <w:kern w:val="0"/>
          <w:sz w:val="24"/>
          <w:szCs w:val="24"/>
          <w:u w:val="single"/>
        </w:rPr>
        <w:t> 连城县。</w:t>
      </w:r>
    </w:p>
    <w:p w14:paraId="31BD9BC3">
      <w:pPr>
        <w:widowControl/>
        <w:shd w:val="clear" w:color="auto" w:fill="FFFFFF"/>
        <w:ind w:firstLine="240"/>
        <w:jc w:val="left"/>
        <w:rPr>
          <w:rFonts w:hint="eastAsia" w:ascii="宋体" w:hAnsi="宋体" w:cs="宋体"/>
          <w:color w:val="333333"/>
          <w:kern w:val="0"/>
          <w:sz w:val="24"/>
          <w:szCs w:val="24"/>
        </w:rPr>
      </w:pPr>
      <w:r>
        <w:rPr>
          <w:rFonts w:hint="eastAsia" w:ascii="宋体" w:hAnsi="宋体" w:cs="宋体"/>
          <w:color w:val="333333"/>
          <w:kern w:val="0"/>
          <w:sz w:val="24"/>
          <w:szCs w:val="24"/>
        </w:rPr>
        <w:t>4.3、交付条件：</w:t>
      </w:r>
      <w:r>
        <w:rPr>
          <w:rFonts w:hint="eastAsia" w:ascii="宋体" w:hAnsi="宋体" w:cs="宋体"/>
          <w:color w:val="333333"/>
          <w:kern w:val="0"/>
          <w:sz w:val="24"/>
          <w:szCs w:val="24"/>
          <w:u w:val="single"/>
        </w:rPr>
        <w:t>验收合格。</w:t>
      </w:r>
    </w:p>
    <w:p w14:paraId="520D4CB3">
      <w:pPr>
        <w:widowControl/>
        <w:shd w:val="clear" w:color="auto" w:fill="FFFFFF"/>
        <w:ind w:firstLine="320"/>
        <w:jc w:val="left"/>
        <w:rPr>
          <w:rFonts w:hint="eastAsia" w:ascii="宋体" w:hAnsi="宋体" w:cs="宋体"/>
          <w:color w:val="333333"/>
          <w:kern w:val="0"/>
          <w:sz w:val="24"/>
          <w:szCs w:val="24"/>
        </w:rPr>
      </w:pPr>
      <w:r>
        <w:rPr>
          <w:rFonts w:hint="eastAsia" w:ascii="宋体" w:hAnsi="宋体" w:cs="宋体"/>
          <w:color w:val="333333"/>
          <w:kern w:val="0"/>
          <w:sz w:val="24"/>
          <w:szCs w:val="24"/>
        </w:rPr>
        <w:t>5、合同标的应符合竞价文件、乙方响应文件的规定或约定，具体如下：</w:t>
      </w:r>
    </w:p>
    <w:p w14:paraId="63444618">
      <w:pPr>
        <w:widowControl/>
        <w:shd w:val="clear" w:color="auto" w:fill="FFFFFF"/>
        <w:ind w:firstLine="480"/>
        <w:jc w:val="left"/>
        <w:rPr>
          <w:rFonts w:hint="eastAsia" w:ascii="宋体" w:hAnsi="宋体" w:cs="宋体"/>
          <w:color w:val="333333"/>
          <w:kern w:val="0"/>
          <w:sz w:val="24"/>
          <w:szCs w:val="24"/>
        </w:rPr>
      </w:pPr>
      <w:r>
        <w:rPr>
          <w:rFonts w:hint="eastAsia" w:ascii="宋体" w:hAnsi="宋体" w:cs="宋体"/>
          <w:color w:val="333333"/>
          <w:kern w:val="0"/>
          <w:sz w:val="24"/>
          <w:szCs w:val="24"/>
          <w:u w:val="single"/>
        </w:rPr>
        <w:t>详见竞价文件相关要求，乙方保证严格按照《</w:t>
      </w:r>
      <w:r>
        <w:rPr>
          <w:rFonts w:hint="eastAsia" w:ascii="宋体" w:hAnsi="宋体" w:cs="仿宋_GB2312"/>
          <w:sz w:val="24"/>
          <w:szCs w:val="24"/>
          <w:u w:val="single"/>
        </w:rPr>
        <w:t>福建连城豸龙旅游集团有限公司</w:t>
      </w:r>
      <w:r>
        <w:rPr>
          <w:rFonts w:hint="eastAsia" w:ascii="宋体" w:hAnsi="宋体" w:cs="宋体"/>
          <w:color w:val="333333"/>
          <w:kern w:val="0"/>
          <w:sz w:val="24"/>
          <w:szCs w:val="24"/>
          <w:u w:val="single"/>
        </w:rPr>
        <w:t>》（项目编号          ）竞价文件和乙方的响应文件执行。</w:t>
      </w:r>
    </w:p>
    <w:p w14:paraId="4D41E31B">
      <w:pPr>
        <w:widowControl/>
        <w:shd w:val="clear" w:color="auto" w:fill="FFFFFF"/>
        <w:ind w:firstLine="240"/>
        <w:jc w:val="left"/>
        <w:rPr>
          <w:rFonts w:hint="eastAsia" w:ascii="宋体" w:hAnsi="宋体" w:cs="宋体"/>
          <w:color w:val="333333"/>
          <w:kern w:val="0"/>
          <w:sz w:val="24"/>
          <w:szCs w:val="24"/>
        </w:rPr>
      </w:pPr>
      <w:r>
        <w:rPr>
          <w:rFonts w:hint="eastAsia" w:ascii="宋体" w:hAnsi="宋体" w:cs="宋体"/>
          <w:color w:val="333333"/>
          <w:kern w:val="0"/>
          <w:sz w:val="24"/>
          <w:szCs w:val="24"/>
        </w:rPr>
        <w:t>6、验收标准：根据本竞价文件、成交人的响应文件、承诺及有关国家、行业规定进行验收。</w:t>
      </w:r>
    </w:p>
    <w:p w14:paraId="73B25B39">
      <w:pPr>
        <w:widowControl/>
        <w:shd w:val="clear" w:color="auto" w:fill="FFFFFF"/>
        <w:ind w:firstLine="320"/>
        <w:jc w:val="left"/>
        <w:rPr>
          <w:rFonts w:hint="eastAsia" w:ascii="宋体" w:hAnsi="宋体" w:cs="宋体"/>
          <w:color w:val="333333"/>
          <w:kern w:val="0"/>
          <w:sz w:val="24"/>
          <w:szCs w:val="24"/>
        </w:rPr>
      </w:pPr>
      <w:r>
        <w:rPr>
          <w:rFonts w:hint="eastAsia" w:ascii="宋体" w:hAnsi="宋体" w:cs="宋体"/>
          <w:color w:val="333333"/>
          <w:kern w:val="0"/>
          <w:sz w:val="24"/>
          <w:szCs w:val="24"/>
        </w:rPr>
        <w:t>7、支付方式：</w:t>
      </w:r>
    </w:p>
    <w:tbl>
      <w:tblPr>
        <w:tblStyle w:val="14"/>
        <w:tblW w:w="9410" w:type="dxa"/>
        <w:jc w:val="center"/>
        <w:tblLayout w:type="autofit"/>
        <w:tblCellMar>
          <w:top w:w="0" w:type="dxa"/>
          <w:left w:w="0" w:type="dxa"/>
          <w:bottom w:w="0" w:type="dxa"/>
          <w:right w:w="0" w:type="dxa"/>
        </w:tblCellMar>
      </w:tblPr>
      <w:tblGrid>
        <w:gridCol w:w="1232"/>
        <w:gridCol w:w="1819"/>
        <w:gridCol w:w="6359"/>
      </w:tblGrid>
      <w:tr w14:paraId="404F2A1A">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1C628070">
            <w:pPr>
              <w:widowControl/>
              <w:jc w:val="left"/>
              <w:rPr>
                <w:rFonts w:hint="eastAsia" w:ascii="宋体" w:hAnsi="宋体" w:cs="宋体"/>
                <w:kern w:val="0"/>
                <w:sz w:val="24"/>
                <w:szCs w:val="24"/>
              </w:rPr>
            </w:pPr>
            <w:r>
              <w:rPr>
                <w:rFonts w:hint="eastAsia" w:ascii="宋体" w:hAnsi="宋体" w:cs="宋体"/>
                <w:kern w:val="0"/>
                <w:sz w:val="24"/>
                <w:szCs w:val="24"/>
              </w:rPr>
              <w:t>支付期次</w:t>
            </w:r>
          </w:p>
        </w:tc>
        <w:tc>
          <w:tcPr>
            <w:tcW w:w="1819" w:type="dxa"/>
            <w:tcBorders>
              <w:top w:val="inset" w:color="auto" w:sz="8" w:space="0"/>
              <w:left w:val="inset" w:color="auto" w:sz="8" w:space="0"/>
              <w:bottom w:val="inset" w:color="auto" w:sz="8" w:space="0"/>
              <w:right w:val="inset" w:color="auto" w:sz="8" w:space="0"/>
            </w:tcBorders>
            <w:vAlign w:val="center"/>
          </w:tcPr>
          <w:p w14:paraId="09E5FD5E">
            <w:pPr>
              <w:widowControl/>
              <w:ind w:firstLine="240"/>
              <w:jc w:val="left"/>
              <w:rPr>
                <w:rFonts w:hint="eastAsia" w:ascii="宋体" w:hAnsi="宋体" w:cs="宋体"/>
                <w:kern w:val="0"/>
                <w:sz w:val="24"/>
                <w:szCs w:val="24"/>
              </w:rPr>
            </w:pPr>
            <w:r>
              <w:rPr>
                <w:rFonts w:hint="eastAsia" w:ascii="宋体" w:hAnsi="宋体" w:cs="宋体"/>
                <w:kern w:val="0"/>
                <w:sz w:val="24"/>
                <w:szCs w:val="24"/>
              </w:rPr>
              <w:t>支付比例(%)</w:t>
            </w:r>
          </w:p>
        </w:tc>
        <w:tc>
          <w:tcPr>
            <w:tcW w:w="6359" w:type="dxa"/>
            <w:tcBorders>
              <w:top w:val="inset" w:color="auto" w:sz="8" w:space="0"/>
              <w:left w:val="inset" w:color="auto" w:sz="8" w:space="0"/>
              <w:bottom w:val="inset" w:color="auto" w:sz="8" w:space="0"/>
              <w:right w:val="inset" w:color="auto" w:sz="8" w:space="0"/>
            </w:tcBorders>
            <w:vAlign w:val="center"/>
          </w:tcPr>
          <w:p w14:paraId="5735A6DC">
            <w:pPr>
              <w:widowControl/>
              <w:jc w:val="left"/>
              <w:rPr>
                <w:rFonts w:hint="eastAsia" w:ascii="宋体" w:hAnsi="宋体" w:cs="宋体"/>
                <w:kern w:val="0"/>
                <w:sz w:val="24"/>
                <w:szCs w:val="24"/>
              </w:rPr>
            </w:pPr>
            <w:r>
              <w:rPr>
                <w:rFonts w:hint="eastAsia" w:ascii="宋体" w:hAnsi="宋体" w:cs="宋体"/>
                <w:kern w:val="0"/>
                <w:sz w:val="24"/>
                <w:szCs w:val="24"/>
              </w:rPr>
              <w:t>支付期次说明</w:t>
            </w:r>
          </w:p>
        </w:tc>
      </w:tr>
      <w:tr w14:paraId="2B48CAD2">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380EFBAA">
            <w:pPr>
              <w:widowControl/>
              <w:jc w:val="left"/>
              <w:rPr>
                <w:rFonts w:hint="eastAsia" w:ascii="宋体" w:hAnsi="宋体" w:cs="宋体"/>
                <w:kern w:val="0"/>
                <w:sz w:val="24"/>
                <w:szCs w:val="24"/>
              </w:rPr>
            </w:pPr>
            <w:r>
              <w:rPr>
                <w:rFonts w:hint="eastAsia" w:ascii="宋体" w:hAnsi="宋体" w:cs="宋体"/>
                <w:kern w:val="0"/>
                <w:sz w:val="24"/>
                <w:szCs w:val="24"/>
              </w:rPr>
              <w:t>1</w:t>
            </w:r>
          </w:p>
        </w:tc>
        <w:tc>
          <w:tcPr>
            <w:tcW w:w="1819" w:type="dxa"/>
            <w:tcBorders>
              <w:top w:val="inset" w:color="auto" w:sz="8" w:space="0"/>
              <w:left w:val="inset" w:color="auto" w:sz="8" w:space="0"/>
              <w:bottom w:val="inset" w:color="auto" w:sz="8" w:space="0"/>
              <w:right w:val="inset" w:color="auto" w:sz="8" w:space="0"/>
            </w:tcBorders>
            <w:vAlign w:val="center"/>
          </w:tcPr>
          <w:p w14:paraId="31D988E4">
            <w:pPr>
              <w:widowControl/>
              <w:jc w:val="left"/>
              <w:rPr>
                <w:rFonts w:hint="eastAsia" w:ascii="宋体" w:hAnsi="宋体" w:cs="宋体"/>
                <w:kern w:val="0"/>
                <w:sz w:val="24"/>
                <w:szCs w:val="24"/>
              </w:rPr>
            </w:pPr>
            <w:r>
              <w:rPr>
                <w:rFonts w:hint="eastAsia" w:ascii="宋体" w:hAnsi="宋体" w:cs="宋体"/>
                <w:kern w:val="0"/>
                <w:sz w:val="24"/>
                <w:szCs w:val="24"/>
              </w:rPr>
              <w:t>70</w:t>
            </w:r>
          </w:p>
        </w:tc>
        <w:tc>
          <w:tcPr>
            <w:tcW w:w="6359" w:type="dxa"/>
            <w:tcBorders>
              <w:top w:val="inset" w:color="auto" w:sz="8" w:space="0"/>
              <w:left w:val="inset" w:color="auto" w:sz="8" w:space="0"/>
              <w:bottom w:val="inset" w:color="auto" w:sz="8" w:space="0"/>
              <w:right w:val="inset" w:color="auto" w:sz="8" w:space="0"/>
            </w:tcBorders>
            <w:vAlign w:val="center"/>
          </w:tcPr>
          <w:p w14:paraId="01656E65">
            <w:pPr>
              <w:widowControl/>
              <w:jc w:val="left"/>
              <w:rPr>
                <w:rFonts w:hint="eastAsia" w:ascii="宋体" w:hAnsi="宋体" w:cs="宋体"/>
                <w:kern w:val="0"/>
                <w:sz w:val="24"/>
                <w:szCs w:val="24"/>
              </w:rPr>
            </w:pPr>
            <w:r>
              <w:rPr>
                <w:rFonts w:hint="eastAsia" w:ascii="宋体" w:hAnsi="宋体" w:cs="宋体"/>
                <w:kern w:val="0"/>
                <w:sz w:val="24"/>
                <w:szCs w:val="24"/>
              </w:rPr>
              <w:t>所有产品安装完成后且乙方提供相关票据的，7个工作日内支付至合同价款的70%；</w:t>
            </w:r>
          </w:p>
        </w:tc>
      </w:tr>
      <w:tr w14:paraId="0BB1A46B">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2299A1A0">
            <w:pPr>
              <w:widowControl/>
              <w:jc w:val="left"/>
              <w:rPr>
                <w:rFonts w:hint="eastAsia" w:ascii="宋体" w:hAnsi="宋体" w:cs="宋体"/>
                <w:kern w:val="0"/>
                <w:sz w:val="24"/>
                <w:szCs w:val="24"/>
              </w:rPr>
            </w:pPr>
            <w:r>
              <w:rPr>
                <w:rFonts w:hint="eastAsia" w:ascii="宋体" w:hAnsi="宋体" w:cs="宋体"/>
                <w:kern w:val="0"/>
                <w:sz w:val="24"/>
                <w:szCs w:val="24"/>
              </w:rPr>
              <w:t>2</w:t>
            </w:r>
          </w:p>
        </w:tc>
        <w:tc>
          <w:tcPr>
            <w:tcW w:w="1819" w:type="dxa"/>
            <w:tcBorders>
              <w:top w:val="inset" w:color="auto" w:sz="8" w:space="0"/>
              <w:left w:val="inset" w:color="auto" w:sz="8" w:space="0"/>
              <w:bottom w:val="inset" w:color="auto" w:sz="8" w:space="0"/>
              <w:right w:val="inset" w:color="auto" w:sz="8" w:space="0"/>
            </w:tcBorders>
            <w:vAlign w:val="center"/>
          </w:tcPr>
          <w:p w14:paraId="7ADA331A">
            <w:pPr>
              <w:widowControl/>
              <w:jc w:val="left"/>
              <w:rPr>
                <w:rFonts w:hint="eastAsia" w:ascii="宋体" w:hAnsi="宋体" w:cs="宋体"/>
                <w:kern w:val="0"/>
                <w:sz w:val="24"/>
                <w:szCs w:val="24"/>
              </w:rPr>
            </w:pPr>
            <w:r>
              <w:rPr>
                <w:rFonts w:hint="eastAsia" w:ascii="宋体" w:hAnsi="宋体" w:cs="宋体"/>
                <w:kern w:val="0"/>
                <w:sz w:val="24"/>
                <w:szCs w:val="24"/>
              </w:rPr>
              <w:t>27</w:t>
            </w:r>
          </w:p>
        </w:tc>
        <w:tc>
          <w:tcPr>
            <w:tcW w:w="6359" w:type="dxa"/>
            <w:tcBorders>
              <w:top w:val="inset" w:color="auto" w:sz="8" w:space="0"/>
              <w:left w:val="inset" w:color="auto" w:sz="8" w:space="0"/>
              <w:bottom w:val="inset" w:color="auto" w:sz="8" w:space="0"/>
              <w:right w:val="inset" w:color="auto" w:sz="8" w:space="0"/>
            </w:tcBorders>
            <w:vAlign w:val="center"/>
          </w:tcPr>
          <w:p w14:paraId="1FE768F1">
            <w:pPr>
              <w:widowControl/>
              <w:jc w:val="left"/>
              <w:rPr>
                <w:rFonts w:hint="eastAsia" w:ascii="宋体" w:hAnsi="宋体" w:cs="宋体"/>
                <w:kern w:val="0"/>
                <w:sz w:val="24"/>
                <w:szCs w:val="24"/>
              </w:rPr>
            </w:pPr>
            <w:r>
              <w:rPr>
                <w:rFonts w:hint="eastAsia" w:ascii="宋体" w:hAnsi="宋体" w:cs="宋体"/>
                <w:kern w:val="0"/>
                <w:sz w:val="24"/>
                <w:szCs w:val="24"/>
              </w:rPr>
              <w:t>经甲方最终验收合格后且乙方提供相关票据的，7个工作日内支付至合同价款的97%；</w:t>
            </w:r>
          </w:p>
        </w:tc>
      </w:tr>
      <w:tr w14:paraId="5CC3EE80">
        <w:tblPrEx>
          <w:tblCellMar>
            <w:top w:w="0" w:type="dxa"/>
            <w:left w:w="0" w:type="dxa"/>
            <w:bottom w:w="0" w:type="dxa"/>
            <w:right w:w="0" w:type="dxa"/>
          </w:tblCellMar>
        </w:tblPrEx>
        <w:trPr>
          <w:jc w:val="center"/>
        </w:trPr>
        <w:tc>
          <w:tcPr>
            <w:tcW w:w="1232" w:type="dxa"/>
            <w:tcBorders>
              <w:top w:val="inset" w:color="auto" w:sz="8" w:space="0"/>
              <w:left w:val="inset" w:color="auto" w:sz="8" w:space="0"/>
              <w:bottom w:val="inset" w:color="auto" w:sz="8" w:space="0"/>
              <w:right w:val="inset" w:color="auto" w:sz="8" w:space="0"/>
            </w:tcBorders>
            <w:vAlign w:val="center"/>
          </w:tcPr>
          <w:p w14:paraId="38FD5F8F">
            <w:pPr>
              <w:widowControl/>
              <w:jc w:val="left"/>
              <w:rPr>
                <w:rFonts w:hint="eastAsia" w:ascii="宋体" w:hAnsi="宋体" w:cs="宋体"/>
                <w:kern w:val="0"/>
                <w:sz w:val="24"/>
                <w:szCs w:val="24"/>
              </w:rPr>
            </w:pPr>
            <w:r>
              <w:rPr>
                <w:rFonts w:hint="eastAsia" w:ascii="宋体" w:hAnsi="宋体" w:cs="宋体"/>
                <w:kern w:val="0"/>
                <w:sz w:val="24"/>
                <w:szCs w:val="24"/>
              </w:rPr>
              <w:t>3</w:t>
            </w:r>
          </w:p>
        </w:tc>
        <w:tc>
          <w:tcPr>
            <w:tcW w:w="1819" w:type="dxa"/>
            <w:tcBorders>
              <w:top w:val="inset" w:color="auto" w:sz="8" w:space="0"/>
              <w:left w:val="inset" w:color="auto" w:sz="8" w:space="0"/>
              <w:bottom w:val="inset" w:color="auto" w:sz="8" w:space="0"/>
              <w:right w:val="inset" w:color="auto" w:sz="8" w:space="0"/>
            </w:tcBorders>
            <w:vAlign w:val="center"/>
          </w:tcPr>
          <w:p w14:paraId="6B47BDC0">
            <w:pPr>
              <w:widowControl/>
              <w:jc w:val="left"/>
              <w:rPr>
                <w:rFonts w:hint="eastAsia" w:ascii="宋体" w:hAnsi="宋体" w:cs="宋体"/>
                <w:kern w:val="0"/>
                <w:sz w:val="24"/>
                <w:szCs w:val="24"/>
              </w:rPr>
            </w:pPr>
            <w:r>
              <w:rPr>
                <w:rFonts w:hint="eastAsia" w:ascii="宋体" w:hAnsi="宋体" w:cs="宋体"/>
                <w:kern w:val="0"/>
                <w:sz w:val="24"/>
                <w:szCs w:val="24"/>
              </w:rPr>
              <w:t>3</w:t>
            </w:r>
          </w:p>
        </w:tc>
        <w:tc>
          <w:tcPr>
            <w:tcW w:w="6359" w:type="dxa"/>
            <w:tcBorders>
              <w:top w:val="inset" w:color="auto" w:sz="8" w:space="0"/>
              <w:left w:val="inset" w:color="auto" w:sz="8" w:space="0"/>
              <w:bottom w:val="inset" w:color="auto" w:sz="8" w:space="0"/>
              <w:right w:val="inset" w:color="auto" w:sz="8" w:space="0"/>
            </w:tcBorders>
            <w:vAlign w:val="center"/>
          </w:tcPr>
          <w:p w14:paraId="3A474F8F">
            <w:pPr>
              <w:widowControl/>
              <w:jc w:val="left"/>
              <w:rPr>
                <w:rFonts w:hint="eastAsia" w:ascii="宋体" w:hAnsi="宋体" w:cs="宋体"/>
                <w:kern w:val="0"/>
                <w:sz w:val="24"/>
                <w:szCs w:val="24"/>
              </w:rPr>
            </w:pPr>
            <w:r>
              <w:rPr>
                <w:rFonts w:hint="eastAsia" w:ascii="宋体" w:hAnsi="宋体" w:cs="宋体"/>
                <w:kern w:val="0"/>
                <w:sz w:val="24"/>
                <w:szCs w:val="24"/>
              </w:rPr>
              <w:t>设备质保期满后且提供相关票据的，7个工作日内支付剩余合同价款（如乙方未能按相关约定按时做好保修而使甲方不得不自行组织返修或请第三方进行维修的，则发生费用应在此次支付费用中扣除，剩余款项再由甲方支付给乙方）。</w:t>
            </w:r>
          </w:p>
        </w:tc>
      </w:tr>
    </w:tbl>
    <w:p w14:paraId="63A17E43">
      <w:pPr>
        <w:widowControl/>
        <w:shd w:val="clear" w:color="auto" w:fill="FFFFFF"/>
        <w:ind w:firstLine="480"/>
        <w:jc w:val="left"/>
        <w:rPr>
          <w:rFonts w:hint="eastAsia" w:ascii="宋体" w:hAnsi="宋体" w:cs="宋体"/>
          <w:color w:val="333333"/>
          <w:kern w:val="0"/>
          <w:sz w:val="24"/>
          <w:szCs w:val="24"/>
        </w:rPr>
      </w:pPr>
      <w:r>
        <w:rPr>
          <w:rFonts w:hint="eastAsia" w:ascii="宋体" w:hAnsi="宋体" w:cs="宋体"/>
          <w:color w:val="333333"/>
          <w:kern w:val="0"/>
          <w:sz w:val="24"/>
          <w:szCs w:val="24"/>
        </w:rPr>
        <w:t>备注：（1）乙方自行承担参加竞价会有关的全部费用（包括但不限于差旅费、邮寄费、资料费等）。</w:t>
      </w:r>
    </w:p>
    <w:p w14:paraId="4575C168">
      <w:pPr>
        <w:widowControl/>
        <w:shd w:val="clear" w:color="auto" w:fill="FFFFFF"/>
        <w:ind w:firstLine="480"/>
        <w:jc w:val="left"/>
        <w:rPr>
          <w:rFonts w:hint="eastAsia" w:ascii="宋体" w:hAnsi="宋体" w:cs="宋体"/>
          <w:color w:val="333333"/>
          <w:kern w:val="0"/>
          <w:sz w:val="24"/>
          <w:szCs w:val="24"/>
        </w:rPr>
      </w:pPr>
      <w:r>
        <w:rPr>
          <w:rFonts w:hint="eastAsia" w:ascii="宋体" w:hAnsi="宋体" w:cs="宋体"/>
          <w:color w:val="333333"/>
          <w:kern w:val="0"/>
          <w:sz w:val="24"/>
          <w:szCs w:val="24"/>
        </w:rPr>
        <w:t>（2）成交价包含货物经甲方验收合格并交付使用所有可能发生的费用，包括货物（含货物主体、辅助材料、配件）供应、运输、供货保管、安装调试、产品检验检测、操作人员培训、人工费、税收、保修费、售后服务以及可能漏项漏报等的一切费用，甲方不再支付其他任何费用。乙方应向甲方按成交金额开具增值税普通发票。</w:t>
      </w:r>
    </w:p>
    <w:p w14:paraId="5189904A">
      <w:pPr>
        <w:widowControl/>
        <w:shd w:val="clear" w:color="auto" w:fill="FFFFFF"/>
        <w:ind w:firstLine="240"/>
        <w:jc w:val="left"/>
        <w:rPr>
          <w:rFonts w:hint="eastAsia" w:ascii="宋体" w:hAnsi="宋体" w:cs="宋体"/>
          <w:color w:val="333333"/>
          <w:kern w:val="0"/>
          <w:sz w:val="24"/>
          <w:szCs w:val="24"/>
        </w:rPr>
      </w:pPr>
      <w:r>
        <w:rPr>
          <w:rFonts w:hint="eastAsia" w:ascii="宋体" w:hAnsi="宋体" w:cs="宋体"/>
          <w:color w:val="333333"/>
          <w:kern w:val="0"/>
          <w:sz w:val="24"/>
          <w:szCs w:val="24"/>
        </w:rPr>
        <w:t>8、保密条款：</w:t>
      </w:r>
    </w:p>
    <w:p w14:paraId="25715B19">
      <w:pPr>
        <w:widowControl/>
        <w:shd w:val="clear" w:color="auto" w:fill="FFFFFF"/>
        <w:ind w:firstLine="240"/>
        <w:jc w:val="left"/>
        <w:rPr>
          <w:rFonts w:hint="eastAsia" w:ascii="宋体" w:hAnsi="宋体" w:cs="宋体"/>
          <w:color w:val="333333"/>
          <w:kern w:val="0"/>
          <w:sz w:val="24"/>
          <w:szCs w:val="24"/>
        </w:rPr>
      </w:pPr>
      <w:r>
        <w:rPr>
          <w:rFonts w:hint="eastAsia" w:ascii="宋体" w:hAnsi="宋体" w:cs="宋体"/>
          <w:color w:val="333333"/>
          <w:kern w:val="0"/>
          <w:sz w:val="24"/>
          <w:szCs w:val="24"/>
        </w:rPr>
        <w:t>8.1甲方与乙方对因履行本合同而知悉的对方商业秘密互负保密的责任，未经对方书面同意不得向第三方泄露。双方保证为了对方的利益仅在项目推广的确必要的情况下，并且经过对方书面同意之后，将这些秘密透露给为实施本合同而必须了解相关秘密的本方人员或第三方及依法有权强制得到该秘密的机关。并保证其职员或第三方与其一样履行本合同规定的保密义务。</w:t>
      </w:r>
    </w:p>
    <w:p w14:paraId="08C09D5C">
      <w:pPr>
        <w:widowControl/>
        <w:shd w:val="clear" w:color="auto" w:fill="FFFFFF"/>
        <w:ind w:firstLine="240"/>
        <w:jc w:val="left"/>
        <w:rPr>
          <w:rFonts w:hint="eastAsia" w:ascii="宋体" w:hAnsi="宋体" w:cs="宋体"/>
          <w:color w:val="333333"/>
          <w:kern w:val="0"/>
          <w:sz w:val="24"/>
          <w:szCs w:val="24"/>
        </w:rPr>
      </w:pPr>
      <w:r>
        <w:rPr>
          <w:rFonts w:hint="eastAsia" w:ascii="宋体" w:hAnsi="宋体" w:cs="宋体"/>
          <w:color w:val="333333"/>
          <w:kern w:val="0"/>
          <w:sz w:val="24"/>
          <w:szCs w:val="24"/>
        </w:rPr>
        <w:t>8.2商业秘密指双方有关项目设计信息、作品创意构思及其它技术信息。</w:t>
      </w:r>
    </w:p>
    <w:p w14:paraId="60618CA4">
      <w:pPr>
        <w:widowControl/>
        <w:shd w:val="clear" w:color="auto" w:fill="FFFFFF"/>
        <w:ind w:firstLine="240"/>
        <w:jc w:val="left"/>
        <w:rPr>
          <w:rFonts w:hint="eastAsia" w:ascii="宋体" w:hAnsi="宋体" w:cs="宋体"/>
          <w:color w:val="333333"/>
          <w:kern w:val="0"/>
          <w:sz w:val="24"/>
          <w:szCs w:val="24"/>
        </w:rPr>
      </w:pPr>
      <w:r>
        <w:rPr>
          <w:rFonts w:hint="eastAsia" w:ascii="宋体" w:hAnsi="宋体" w:cs="宋体"/>
          <w:color w:val="333333"/>
          <w:kern w:val="0"/>
          <w:sz w:val="24"/>
          <w:szCs w:val="24"/>
        </w:rPr>
        <w:t>8.3此保密条款在本合同期内及本合同终止后叁年内有效。任何一方违反保密条款，给另一方造成损失，应当承担赔偿责任。</w:t>
      </w:r>
    </w:p>
    <w:p w14:paraId="195D4E97">
      <w:pPr>
        <w:widowControl/>
        <w:shd w:val="clear" w:color="auto" w:fill="FFFFFF"/>
        <w:ind w:firstLine="320"/>
        <w:jc w:val="left"/>
        <w:rPr>
          <w:rFonts w:hint="eastAsia" w:ascii="宋体" w:hAnsi="宋体" w:cs="宋体"/>
          <w:color w:val="333333"/>
          <w:kern w:val="0"/>
          <w:sz w:val="24"/>
          <w:szCs w:val="24"/>
        </w:rPr>
      </w:pPr>
      <w:r>
        <w:rPr>
          <w:rFonts w:hint="eastAsia" w:ascii="宋体" w:hAnsi="宋体" w:cs="宋体"/>
          <w:color w:val="333333"/>
          <w:kern w:val="0"/>
          <w:sz w:val="24"/>
          <w:szCs w:val="24"/>
        </w:rPr>
        <w:t>9、合同有效期：</w:t>
      </w:r>
      <w:r>
        <w:rPr>
          <w:rFonts w:hint="eastAsia" w:ascii="宋体" w:hAnsi="宋体" w:cs="宋体"/>
          <w:color w:val="333333"/>
          <w:kern w:val="0"/>
          <w:sz w:val="24"/>
          <w:szCs w:val="24"/>
          <w:u w:val="single"/>
        </w:rPr>
        <w:t>                        。</w:t>
      </w:r>
    </w:p>
    <w:p w14:paraId="2B9CB69F">
      <w:pPr>
        <w:widowControl/>
        <w:shd w:val="clear" w:color="auto" w:fill="FFFFFF"/>
        <w:ind w:firstLine="320"/>
        <w:jc w:val="left"/>
        <w:rPr>
          <w:rFonts w:hint="eastAsia" w:ascii="宋体" w:hAnsi="宋体" w:cs="宋体"/>
          <w:color w:val="333333"/>
          <w:kern w:val="0"/>
          <w:sz w:val="24"/>
          <w:szCs w:val="24"/>
        </w:rPr>
      </w:pPr>
      <w:r>
        <w:rPr>
          <w:rFonts w:hint="eastAsia" w:ascii="宋体" w:hAnsi="宋体" w:cs="宋体"/>
          <w:color w:val="333333"/>
          <w:kern w:val="0"/>
          <w:sz w:val="24"/>
          <w:szCs w:val="24"/>
        </w:rPr>
        <w:t>10、违约责任</w:t>
      </w:r>
    </w:p>
    <w:p w14:paraId="3616BB58">
      <w:pPr>
        <w:widowControl/>
        <w:shd w:val="clear" w:color="auto" w:fill="FFFFFF"/>
        <w:ind w:firstLine="240"/>
        <w:jc w:val="left"/>
        <w:rPr>
          <w:rFonts w:hint="eastAsia" w:ascii="宋体" w:hAnsi="宋体" w:cs="宋体"/>
          <w:color w:val="333333"/>
          <w:kern w:val="0"/>
          <w:sz w:val="24"/>
          <w:szCs w:val="24"/>
        </w:rPr>
      </w:pPr>
      <w:r>
        <w:rPr>
          <w:rFonts w:hint="eastAsia" w:ascii="宋体" w:hAnsi="宋体" w:cs="宋体"/>
          <w:color w:val="333333"/>
          <w:kern w:val="0"/>
          <w:sz w:val="24"/>
          <w:szCs w:val="24"/>
        </w:rPr>
        <w:t>10.1若甲方认为乙方的成品不符合甲方要求的，甲方有权要求乙方返工，乙方应于收到甲方的返工要求后七个工作日内或双方商定的时间内重新设计提交。</w:t>
      </w:r>
    </w:p>
    <w:p w14:paraId="211DE0AF">
      <w:pPr>
        <w:widowControl/>
        <w:shd w:val="clear" w:color="auto" w:fill="FFFFFF"/>
        <w:ind w:firstLine="240"/>
        <w:jc w:val="left"/>
        <w:rPr>
          <w:rFonts w:hint="eastAsia" w:ascii="宋体" w:hAnsi="宋体" w:cs="宋体"/>
          <w:color w:val="333333"/>
          <w:kern w:val="0"/>
          <w:sz w:val="24"/>
          <w:szCs w:val="24"/>
        </w:rPr>
      </w:pPr>
      <w:r>
        <w:rPr>
          <w:rFonts w:hint="eastAsia" w:ascii="宋体" w:hAnsi="宋体" w:cs="宋体"/>
          <w:color w:val="333333"/>
          <w:kern w:val="0"/>
          <w:sz w:val="24"/>
          <w:szCs w:val="24"/>
        </w:rPr>
        <w:t>10.2如甲方未能按本合同或各分项合同约定的时间内付款，使乙方不能及时开展各项工作，因此而给甲方造成的工作延误或影响，乙方不承担任何损失或责任。</w:t>
      </w:r>
    </w:p>
    <w:p w14:paraId="12415884">
      <w:pPr>
        <w:widowControl/>
        <w:shd w:val="clear" w:color="auto" w:fill="FFFFFF"/>
        <w:ind w:firstLine="240"/>
        <w:jc w:val="left"/>
        <w:rPr>
          <w:rFonts w:hint="eastAsia" w:ascii="宋体" w:hAnsi="宋体" w:cs="宋体"/>
          <w:color w:val="333333"/>
          <w:kern w:val="0"/>
          <w:sz w:val="24"/>
          <w:szCs w:val="24"/>
        </w:rPr>
      </w:pPr>
      <w:r>
        <w:rPr>
          <w:rFonts w:hint="eastAsia" w:ascii="宋体" w:hAnsi="宋体" w:cs="宋体"/>
          <w:color w:val="333333"/>
          <w:kern w:val="0"/>
          <w:sz w:val="24"/>
          <w:szCs w:val="24"/>
        </w:rPr>
        <w:t>10.3如因乙方原因未能在规定的计划时间内完成工作内容及工作量，</w:t>
      </w:r>
      <w:r>
        <w:rPr>
          <w:rFonts w:hint="eastAsia" w:ascii="宋体" w:hAnsi="宋体" w:cs="宋体"/>
          <w:color w:val="333333"/>
          <w:kern w:val="0"/>
          <w:sz w:val="24"/>
          <w:szCs w:val="24"/>
          <w:highlight w:val="green"/>
        </w:rPr>
        <w:t>乙方按合同价款总额20%计算支付违约金</w:t>
      </w:r>
      <w:r>
        <w:rPr>
          <w:rFonts w:hint="eastAsia" w:ascii="宋体" w:hAnsi="宋体" w:cs="宋体"/>
          <w:color w:val="333333"/>
          <w:kern w:val="0"/>
          <w:sz w:val="24"/>
          <w:szCs w:val="24"/>
        </w:rPr>
        <w:t>，甲方有权单方面行使合同解除权并且不承担违约责任，甲方以书面形式向乙方送达解除合同函件，并以送达之日为合同解除日。</w:t>
      </w:r>
    </w:p>
    <w:p w14:paraId="6FED899B">
      <w:pPr>
        <w:widowControl/>
        <w:shd w:val="clear" w:color="auto" w:fill="FFFFFF"/>
        <w:ind w:firstLine="240"/>
        <w:jc w:val="left"/>
        <w:rPr>
          <w:rFonts w:hint="eastAsia" w:ascii="宋体" w:hAnsi="宋体" w:cs="宋体"/>
          <w:color w:val="333333"/>
          <w:kern w:val="0"/>
          <w:sz w:val="24"/>
          <w:szCs w:val="24"/>
        </w:rPr>
      </w:pPr>
      <w:r>
        <w:rPr>
          <w:rFonts w:hint="eastAsia" w:ascii="宋体" w:hAnsi="宋体" w:cs="宋体"/>
          <w:color w:val="333333"/>
          <w:kern w:val="0"/>
          <w:sz w:val="24"/>
          <w:szCs w:val="24"/>
        </w:rPr>
        <w:t>10.4因不可抗力致使本合同无法继续履行的，任何一方均可书面提出终止本合同。双方互不承担责任。</w:t>
      </w:r>
    </w:p>
    <w:p w14:paraId="06C4EE5B">
      <w:pPr>
        <w:widowControl/>
        <w:shd w:val="clear" w:color="auto" w:fill="FFFFFF"/>
        <w:ind w:firstLine="240"/>
        <w:jc w:val="left"/>
        <w:rPr>
          <w:rFonts w:hint="eastAsia" w:ascii="宋体" w:hAnsi="宋体" w:cs="宋体"/>
          <w:color w:val="333333"/>
          <w:kern w:val="0"/>
          <w:sz w:val="24"/>
          <w:szCs w:val="24"/>
        </w:rPr>
      </w:pPr>
      <w:r>
        <w:rPr>
          <w:rFonts w:hint="eastAsia" w:ascii="宋体" w:hAnsi="宋体" w:cs="宋体"/>
          <w:color w:val="333333"/>
          <w:kern w:val="0"/>
          <w:sz w:val="24"/>
          <w:szCs w:val="24"/>
        </w:rPr>
        <w:t>10.5如甲方因自身原因单方面提前解约，应按实际已完成的服务时间向成交人结算并支付费用。</w:t>
      </w:r>
    </w:p>
    <w:p w14:paraId="4BF8D407">
      <w:pPr>
        <w:widowControl/>
        <w:shd w:val="clear" w:color="auto" w:fill="FFFFFF"/>
        <w:ind w:firstLine="240"/>
        <w:jc w:val="left"/>
        <w:rPr>
          <w:rFonts w:hint="eastAsia" w:ascii="宋体" w:hAnsi="宋体" w:cs="宋体"/>
          <w:color w:val="333333"/>
          <w:kern w:val="0"/>
          <w:sz w:val="24"/>
          <w:szCs w:val="24"/>
        </w:rPr>
      </w:pPr>
      <w:r>
        <w:rPr>
          <w:rFonts w:hint="eastAsia" w:ascii="宋体" w:hAnsi="宋体" w:cs="宋体"/>
          <w:color w:val="333333"/>
          <w:kern w:val="0"/>
          <w:sz w:val="24"/>
          <w:szCs w:val="24"/>
        </w:rPr>
        <w:t>10.6如乙方因自身原因单方面提前解约，甲方即可扣除成交人该阶段服务费。</w:t>
      </w:r>
    </w:p>
    <w:p w14:paraId="23EAE883">
      <w:pPr>
        <w:widowControl/>
        <w:shd w:val="clear" w:color="auto" w:fill="FFFFFF"/>
        <w:ind w:firstLine="240"/>
        <w:jc w:val="left"/>
        <w:rPr>
          <w:rFonts w:hint="eastAsia" w:ascii="宋体" w:hAnsi="宋体" w:cs="宋体"/>
          <w:color w:val="333333"/>
          <w:kern w:val="0"/>
          <w:sz w:val="24"/>
          <w:szCs w:val="24"/>
        </w:rPr>
      </w:pPr>
      <w:r>
        <w:rPr>
          <w:rFonts w:hint="eastAsia" w:ascii="宋体" w:hAnsi="宋体" w:cs="宋体"/>
          <w:color w:val="333333"/>
          <w:kern w:val="0"/>
          <w:sz w:val="24"/>
          <w:szCs w:val="24"/>
        </w:rPr>
        <w:t>10.7如甲方与乙方其中一方未按本合同约定履行职责，则</w:t>
      </w:r>
      <w:r>
        <w:rPr>
          <w:rFonts w:hint="eastAsia" w:ascii="宋体" w:hAnsi="宋体" w:cs="宋体"/>
          <w:color w:val="333333"/>
          <w:kern w:val="0"/>
          <w:sz w:val="24"/>
          <w:szCs w:val="24"/>
          <w:highlight w:val="green"/>
        </w:rPr>
        <w:t>违约方按合同价款总额20%计算支付违约金，守约方</w:t>
      </w:r>
      <w:r>
        <w:rPr>
          <w:rFonts w:hint="eastAsia" w:ascii="宋体" w:hAnsi="宋体" w:cs="宋体"/>
          <w:color w:val="333333"/>
          <w:kern w:val="0"/>
          <w:sz w:val="24"/>
          <w:szCs w:val="24"/>
        </w:rPr>
        <w:t>可单方解除合同，</w:t>
      </w:r>
      <w:r>
        <w:rPr>
          <w:rFonts w:hint="eastAsia" w:ascii="宋体" w:hAnsi="宋体" w:cs="宋体"/>
          <w:color w:val="333333"/>
          <w:kern w:val="0"/>
          <w:sz w:val="24"/>
          <w:szCs w:val="24"/>
          <w:highlight w:val="green"/>
        </w:rPr>
        <w:t>要求赔偿损失</w:t>
      </w:r>
      <w:r>
        <w:rPr>
          <w:rFonts w:hint="eastAsia" w:ascii="宋体" w:hAnsi="宋体" w:cs="宋体"/>
          <w:color w:val="333333"/>
          <w:kern w:val="0"/>
          <w:sz w:val="24"/>
          <w:szCs w:val="24"/>
        </w:rPr>
        <w:t>。</w:t>
      </w:r>
    </w:p>
    <w:p w14:paraId="05E6A683">
      <w:pPr>
        <w:widowControl/>
        <w:shd w:val="clear" w:color="auto" w:fill="FFFFFF"/>
        <w:ind w:firstLine="240"/>
        <w:jc w:val="left"/>
        <w:rPr>
          <w:rFonts w:hint="eastAsia" w:ascii="宋体" w:hAnsi="宋体" w:cs="宋体"/>
          <w:color w:val="333333"/>
          <w:kern w:val="0"/>
          <w:sz w:val="24"/>
          <w:szCs w:val="24"/>
        </w:rPr>
      </w:pPr>
      <w:r>
        <w:rPr>
          <w:rFonts w:hint="eastAsia" w:ascii="宋体" w:hAnsi="宋体" w:cs="宋体"/>
          <w:color w:val="333333"/>
          <w:kern w:val="0"/>
          <w:sz w:val="24"/>
          <w:szCs w:val="24"/>
        </w:rPr>
        <w:t>10.8对于因违约而引起的诉讼产生的费用（包括但不限于：法院判决的赔偿费用、诉讼费、律师费、鉴定费、公证费、差旅费等），应由违约方承担。</w:t>
      </w:r>
    </w:p>
    <w:p w14:paraId="7C8E968D">
      <w:pPr>
        <w:widowControl/>
        <w:shd w:val="clear" w:color="auto" w:fill="FFFFFF"/>
        <w:ind w:firstLine="240"/>
        <w:jc w:val="left"/>
        <w:rPr>
          <w:rFonts w:hint="eastAsia" w:ascii="宋体" w:hAnsi="宋体" w:cs="宋体"/>
          <w:color w:val="333333"/>
          <w:kern w:val="0"/>
          <w:sz w:val="24"/>
          <w:szCs w:val="24"/>
        </w:rPr>
      </w:pPr>
      <w:r>
        <w:rPr>
          <w:rFonts w:hint="eastAsia" w:ascii="宋体" w:hAnsi="宋体" w:cs="宋体"/>
          <w:color w:val="333333"/>
          <w:kern w:val="0"/>
          <w:sz w:val="24"/>
          <w:szCs w:val="24"/>
        </w:rPr>
        <w:t>10.9乙方未按本合同约定的时间向甲方交付成果的，乙方</w:t>
      </w:r>
      <w:r>
        <w:rPr>
          <w:rFonts w:hint="eastAsia" w:ascii="宋体" w:hAnsi="宋体" w:cs="宋体"/>
          <w:color w:val="333333"/>
          <w:kern w:val="0"/>
          <w:sz w:val="24"/>
          <w:szCs w:val="24"/>
          <w:highlight w:val="green"/>
        </w:rPr>
        <w:t>按合同价款总额20%计算支付违约金</w:t>
      </w:r>
      <w:r>
        <w:rPr>
          <w:rFonts w:hint="eastAsia" w:ascii="宋体" w:hAnsi="宋体" w:cs="宋体"/>
          <w:color w:val="333333"/>
          <w:kern w:val="0"/>
          <w:sz w:val="24"/>
          <w:szCs w:val="24"/>
        </w:rPr>
        <w:t>，甲方有权解除合同。</w:t>
      </w:r>
    </w:p>
    <w:p w14:paraId="05328A73">
      <w:pPr>
        <w:widowControl/>
        <w:shd w:val="clear" w:color="auto" w:fill="FFFFFF"/>
        <w:ind w:firstLine="240"/>
        <w:jc w:val="left"/>
        <w:rPr>
          <w:rFonts w:hint="eastAsia" w:ascii="宋体" w:hAnsi="宋体" w:cs="宋体"/>
          <w:color w:val="333333"/>
          <w:kern w:val="0"/>
          <w:sz w:val="24"/>
          <w:szCs w:val="24"/>
        </w:rPr>
      </w:pPr>
      <w:r>
        <w:rPr>
          <w:rFonts w:hint="eastAsia" w:ascii="宋体" w:hAnsi="宋体" w:cs="宋体"/>
          <w:color w:val="333333"/>
          <w:kern w:val="0"/>
          <w:sz w:val="24"/>
          <w:szCs w:val="24"/>
        </w:rPr>
        <w:t>11、知识产权</w:t>
      </w:r>
    </w:p>
    <w:p w14:paraId="7EF60E8D">
      <w:pPr>
        <w:widowControl/>
        <w:shd w:val="clear" w:color="auto" w:fill="FFFFFF"/>
        <w:ind w:firstLine="240"/>
        <w:jc w:val="left"/>
        <w:rPr>
          <w:rFonts w:hint="eastAsia" w:ascii="宋体" w:hAnsi="宋体" w:cs="宋体"/>
          <w:color w:val="333333"/>
          <w:kern w:val="0"/>
          <w:sz w:val="24"/>
          <w:szCs w:val="24"/>
        </w:rPr>
      </w:pPr>
      <w:r>
        <w:rPr>
          <w:rFonts w:hint="eastAsia" w:ascii="宋体" w:hAnsi="宋体" w:cs="宋体"/>
          <w:color w:val="333333"/>
          <w:kern w:val="0"/>
          <w:sz w:val="24"/>
          <w:szCs w:val="24"/>
        </w:rPr>
        <w:t>11.1甲方最后确认交付的项目规划和品牌内容，其知识产权永久性归甲方所有，未经甲方同意，乙方不得交由其他任何第三方使用。</w:t>
      </w:r>
    </w:p>
    <w:p w14:paraId="409940F1">
      <w:pPr>
        <w:widowControl/>
        <w:shd w:val="clear" w:color="auto" w:fill="FFFFFF"/>
        <w:ind w:firstLine="240"/>
        <w:jc w:val="left"/>
        <w:rPr>
          <w:rFonts w:hint="eastAsia" w:ascii="宋体" w:hAnsi="宋体" w:cs="宋体"/>
          <w:color w:val="333333"/>
          <w:kern w:val="0"/>
          <w:sz w:val="24"/>
          <w:szCs w:val="24"/>
        </w:rPr>
      </w:pPr>
      <w:r>
        <w:rPr>
          <w:rFonts w:hint="eastAsia" w:ascii="宋体" w:hAnsi="宋体" w:cs="宋体"/>
          <w:color w:val="333333"/>
          <w:kern w:val="0"/>
          <w:sz w:val="24"/>
          <w:szCs w:val="24"/>
        </w:rPr>
        <w:t>11.2乙方为履行本合同而完成的有关工作成果以及作品，凡经甲方采用的，其知识产权归甲方所有；凡未经甲方采用但甲方对此工作成果以及作品有保留或使用可能的，未经甲方同意，成交人在3个月内不得交由任何其他第三方使用。</w:t>
      </w:r>
    </w:p>
    <w:p w14:paraId="525D31FF">
      <w:pPr>
        <w:widowControl/>
        <w:shd w:val="clear" w:color="auto" w:fill="FFFFFF"/>
        <w:ind w:firstLine="240"/>
        <w:jc w:val="left"/>
        <w:rPr>
          <w:rFonts w:hint="eastAsia" w:ascii="宋体" w:hAnsi="宋体" w:cs="宋体"/>
          <w:color w:val="333333"/>
          <w:kern w:val="0"/>
          <w:sz w:val="24"/>
          <w:szCs w:val="24"/>
        </w:rPr>
      </w:pPr>
      <w:r>
        <w:rPr>
          <w:rFonts w:hint="eastAsia" w:ascii="宋体" w:hAnsi="宋体" w:cs="宋体"/>
          <w:color w:val="333333"/>
          <w:kern w:val="0"/>
          <w:sz w:val="24"/>
          <w:szCs w:val="24"/>
        </w:rPr>
        <w:t>11.3乙方向甲方提交的工作成果及作品，不得涉及侵犯第三方的知识产权、财产权或人身权，如涉及到或甲方在使用中确认因乙方原因而导致设计作品侵犯第三方的知识产权、财产权或人身权的，所由此产生的所有责任概由乙方承担。</w:t>
      </w:r>
    </w:p>
    <w:p w14:paraId="5C53D24F">
      <w:pPr>
        <w:widowControl/>
        <w:shd w:val="clear" w:color="auto" w:fill="FFFFFF"/>
        <w:ind w:firstLine="240"/>
        <w:jc w:val="left"/>
        <w:rPr>
          <w:rFonts w:hint="eastAsia" w:ascii="宋体" w:hAnsi="宋体" w:cs="宋体"/>
          <w:color w:val="333333"/>
          <w:kern w:val="0"/>
          <w:sz w:val="24"/>
          <w:szCs w:val="24"/>
        </w:rPr>
      </w:pPr>
      <w:r>
        <w:rPr>
          <w:rFonts w:hint="eastAsia" w:ascii="宋体" w:hAnsi="宋体" w:cs="宋体"/>
          <w:color w:val="333333"/>
          <w:kern w:val="0"/>
          <w:sz w:val="24"/>
          <w:szCs w:val="24"/>
        </w:rPr>
        <w:t>11.4经甲方同意，乙方可将本合同所完成的工作成果及作品，用于为乙方自身宣传和专业研究的目的。</w:t>
      </w:r>
    </w:p>
    <w:p w14:paraId="16B81644">
      <w:pPr>
        <w:widowControl/>
        <w:shd w:val="clear" w:color="auto" w:fill="FFFFFF"/>
        <w:ind w:firstLine="320"/>
        <w:jc w:val="left"/>
        <w:rPr>
          <w:rFonts w:hint="eastAsia" w:ascii="宋体" w:hAnsi="宋体" w:cs="宋体"/>
          <w:color w:val="333333"/>
          <w:kern w:val="0"/>
          <w:sz w:val="24"/>
          <w:szCs w:val="24"/>
        </w:rPr>
      </w:pPr>
      <w:r>
        <w:rPr>
          <w:rFonts w:hint="eastAsia" w:ascii="宋体" w:hAnsi="宋体" w:cs="宋体"/>
          <w:color w:val="333333"/>
          <w:kern w:val="0"/>
          <w:sz w:val="24"/>
          <w:szCs w:val="24"/>
        </w:rPr>
        <w:t>12、解决争议的方法</w:t>
      </w:r>
    </w:p>
    <w:p w14:paraId="2F3AE1F5">
      <w:pPr>
        <w:widowControl/>
        <w:shd w:val="clear" w:color="auto" w:fill="FFFFFF"/>
        <w:ind w:firstLine="320"/>
        <w:jc w:val="left"/>
        <w:rPr>
          <w:rFonts w:hint="eastAsia" w:ascii="宋体" w:hAnsi="宋体" w:cs="宋体"/>
          <w:color w:val="333333"/>
          <w:kern w:val="0"/>
          <w:sz w:val="24"/>
          <w:szCs w:val="24"/>
        </w:rPr>
      </w:pPr>
      <w:r>
        <w:rPr>
          <w:rFonts w:hint="eastAsia" w:ascii="宋体" w:hAnsi="宋体" w:cs="宋体"/>
          <w:color w:val="333333"/>
          <w:kern w:val="0"/>
          <w:sz w:val="24"/>
          <w:szCs w:val="24"/>
        </w:rPr>
        <w:t>12.1甲、乙双方协商解决。</w:t>
      </w:r>
    </w:p>
    <w:p w14:paraId="00FB30C6">
      <w:pPr>
        <w:widowControl/>
        <w:shd w:val="clear" w:color="auto" w:fill="FFFFFF"/>
        <w:ind w:firstLine="320"/>
        <w:jc w:val="left"/>
        <w:rPr>
          <w:rFonts w:hint="eastAsia" w:ascii="宋体" w:hAnsi="宋体" w:cs="宋体"/>
          <w:color w:val="333333"/>
          <w:kern w:val="0"/>
          <w:sz w:val="24"/>
          <w:szCs w:val="24"/>
        </w:rPr>
      </w:pPr>
      <w:r>
        <w:rPr>
          <w:rFonts w:hint="eastAsia" w:ascii="宋体" w:hAnsi="宋体" w:cs="宋体"/>
          <w:color w:val="333333"/>
          <w:kern w:val="0"/>
          <w:sz w:val="24"/>
          <w:szCs w:val="24"/>
        </w:rPr>
        <w:t>12.2若协商解决不成，则通过下列途径之一解决：</w:t>
      </w:r>
    </w:p>
    <w:p w14:paraId="3F8ADB52">
      <w:pPr>
        <w:widowControl/>
        <w:shd w:val="clear" w:color="auto" w:fill="FFFFFF"/>
        <w:ind w:firstLine="320"/>
        <w:jc w:val="left"/>
        <w:rPr>
          <w:rFonts w:hint="eastAsia" w:ascii="宋体" w:hAnsi="宋体" w:cs="宋体"/>
          <w:color w:val="333333"/>
          <w:kern w:val="0"/>
          <w:sz w:val="24"/>
          <w:szCs w:val="24"/>
        </w:rPr>
      </w:pPr>
      <w:r>
        <w:rPr>
          <w:rFonts w:ascii="Segoe UI Symbol" w:hAnsi="Segoe UI Symbol" w:cs="Segoe UI Symbol"/>
          <w:color w:val="333333"/>
          <w:kern w:val="0"/>
          <w:sz w:val="24"/>
          <w:szCs w:val="24"/>
        </w:rPr>
        <w:t>☑</w:t>
      </w:r>
      <w:r>
        <w:rPr>
          <w:rFonts w:hint="eastAsia" w:ascii="宋体" w:hAnsi="宋体" w:cs="微软雅黑"/>
          <w:color w:val="333333"/>
          <w:kern w:val="0"/>
          <w:sz w:val="24"/>
          <w:szCs w:val="24"/>
        </w:rPr>
        <w:t>向人民法院提起诉讼，具体如下：</w:t>
      </w:r>
      <w:r>
        <w:rPr>
          <w:rFonts w:hint="eastAsia" w:ascii="宋体" w:hAnsi="宋体" w:cs="宋体"/>
          <w:color w:val="333333"/>
          <w:kern w:val="0"/>
          <w:sz w:val="24"/>
          <w:szCs w:val="24"/>
          <w:u w:val="single"/>
        </w:rPr>
        <w:t>向连城县人民法院提起诉讼</w:t>
      </w:r>
      <w:r>
        <w:rPr>
          <w:rFonts w:hint="eastAsia" w:ascii="宋体" w:hAnsi="宋体" w:cs="宋体"/>
          <w:color w:val="333333"/>
          <w:kern w:val="0"/>
          <w:sz w:val="24"/>
          <w:szCs w:val="24"/>
        </w:rPr>
        <w:t>。败诉方承担包括但不限于诉讼费、交通费、财产保全保险费、保全费、律师代理费等相关费用。</w:t>
      </w:r>
    </w:p>
    <w:p w14:paraId="4D0CA5E4">
      <w:pPr>
        <w:widowControl/>
        <w:shd w:val="clear" w:color="auto" w:fill="FFFFFF"/>
        <w:ind w:firstLine="320"/>
        <w:jc w:val="left"/>
        <w:rPr>
          <w:rFonts w:hint="eastAsia" w:ascii="宋体" w:hAnsi="宋体" w:cs="宋体"/>
          <w:color w:val="333333"/>
          <w:kern w:val="0"/>
          <w:sz w:val="24"/>
          <w:szCs w:val="24"/>
        </w:rPr>
      </w:pPr>
      <w:r>
        <w:rPr>
          <w:rFonts w:hint="eastAsia" w:ascii="宋体" w:hAnsi="宋体" w:cs="宋体"/>
          <w:color w:val="333333"/>
          <w:kern w:val="0"/>
          <w:sz w:val="24"/>
          <w:szCs w:val="24"/>
        </w:rPr>
        <w:t>13、不可抗力</w:t>
      </w:r>
    </w:p>
    <w:p w14:paraId="7944FD9B">
      <w:pPr>
        <w:widowControl/>
        <w:shd w:val="clear" w:color="auto" w:fill="FFFFFF"/>
        <w:ind w:firstLine="320"/>
        <w:jc w:val="left"/>
        <w:rPr>
          <w:rFonts w:hint="eastAsia" w:ascii="宋体" w:hAnsi="宋体" w:cs="宋体"/>
          <w:color w:val="333333"/>
          <w:kern w:val="0"/>
          <w:sz w:val="24"/>
          <w:szCs w:val="24"/>
        </w:rPr>
      </w:pPr>
      <w:r>
        <w:rPr>
          <w:rFonts w:hint="eastAsia" w:ascii="宋体" w:hAnsi="宋体" w:cs="宋体"/>
          <w:color w:val="333333"/>
          <w:kern w:val="0"/>
          <w:sz w:val="24"/>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66C22515">
      <w:pPr>
        <w:widowControl/>
        <w:shd w:val="clear" w:color="auto" w:fill="FFFFFF"/>
        <w:ind w:firstLine="320"/>
        <w:jc w:val="left"/>
        <w:rPr>
          <w:rFonts w:hint="eastAsia" w:ascii="宋体" w:hAnsi="宋体" w:cs="宋体"/>
          <w:color w:val="333333"/>
          <w:kern w:val="0"/>
          <w:sz w:val="24"/>
          <w:szCs w:val="24"/>
        </w:rPr>
      </w:pPr>
      <w:r>
        <w:rPr>
          <w:rFonts w:hint="eastAsia" w:ascii="宋体" w:hAnsi="宋体" w:cs="宋体"/>
          <w:color w:val="333333"/>
          <w:kern w:val="0"/>
          <w:sz w:val="24"/>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4115878C">
      <w:pPr>
        <w:widowControl/>
        <w:shd w:val="clear" w:color="auto" w:fill="FFFFFF"/>
        <w:ind w:firstLine="320"/>
        <w:jc w:val="left"/>
        <w:rPr>
          <w:rFonts w:hint="eastAsia" w:ascii="宋体" w:hAnsi="宋体" w:cs="宋体"/>
          <w:color w:val="333333"/>
          <w:kern w:val="0"/>
          <w:sz w:val="24"/>
          <w:szCs w:val="24"/>
        </w:rPr>
      </w:pPr>
      <w:r>
        <w:rPr>
          <w:rFonts w:hint="eastAsia" w:ascii="宋体" w:hAnsi="宋体" w:cs="宋体"/>
          <w:color w:val="333333"/>
          <w:kern w:val="0"/>
          <w:sz w:val="24"/>
          <w:szCs w:val="24"/>
        </w:rPr>
        <w:t>14、合同条款</w:t>
      </w:r>
    </w:p>
    <w:p w14:paraId="71FDD56E">
      <w:pPr>
        <w:widowControl/>
        <w:shd w:val="clear" w:color="auto" w:fill="FFFFFF"/>
        <w:ind w:firstLine="320"/>
        <w:jc w:val="left"/>
        <w:rPr>
          <w:rFonts w:hint="eastAsia" w:ascii="宋体" w:hAnsi="宋体" w:cs="宋体"/>
          <w:color w:val="333333"/>
          <w:kern w:val="0"/>
          <w:sz w:val="24"/>
          <w:szCs w:val="24"/>
        </w:rPr>
      </w:pPr>
      <w:r>
        <w:rPr>
          <w:rFonts w:hint="eastAsia" w:ascii="宋体" w:hAnsi="宋体" w:cs="宋体"/>
          <w:color w:val="333333"/>
          <w:kern w:val="0"/>
          <w:sz w:val="24"/>
          <w:szCs w:val="24"/>
          <w:u w:val="single"/>
        </w:rPr>
        <w:t>按照实际情况编制填写。竞价文件第三章已有规定的，双方均不得变更或调整；竞价文件第三章未作规定的，双方可通过友好协商进行约定</w:t>
      </w:r>
      <w:r>
        <w:rPr>
          <w:rFonts w:hint="eastAsia" w:ascii="宋体" w:hAnsi="宋体" w:cs="宋体"/>
          <w:color w:val="333333"/>
          <w:kern w:val="0"/>
          <w:sz w:val="24"/>
          <w:szCs w:val="24"/>
        </w:rPr>
        <w:t>。</w:t>
      </w:r>
    </w:p>
    <w:p w14:paraId="31F1D96B">
      <w:pPr>
        <w:widowControl/>
        <w:shd w:val="clear" w:color="auto" w:fill="FFFFFF"/>
        <w:ind w:firstLine="320"/>
        <w:jc w:val="left"/>
        <w:rPr>
          <w:rFonts w:hint="eastAsia" w:ascii="宋体" w:hAnsi="宋体" w:cs="宋体"/>
          <w:color w:val="333333"/>
          <w:kern w:val="0"/>
          <w:sz w:val="24"/>
          <w:szCs w:val="24"/>
        </w:rPr>
      </w:pPr>
      <w:r>
        <w:rPr>
          <w:rFonts w:hint="eastAsia" w:ascii="宋体" w:hAnsi="宋体" w:cs="宋体"/>
          <w:color w:val="333333"/>
          <w:kern w:val="0"/>
          <w:sz w:val="24"/>
          <w:szCs w:val="24"/>
        </w:rPr>
        <w:t>15、其他约定</w:t>
      </w:r>
    </w:p>
    <w:p w14:paraId="262EAC79">
      <w:pPr>
        <w:widowControl/>
        <w:shd w:val="clear" w:color="auto" w:fill="FFFFFF"/>
        <w:ind w:firstLine="320"/>
        <w:jc w:val="left"/>
        <w:rPr>
          <w:rFonts w:hint="eastAsia" w:ascii="宋体" w:hAnsi="宋体" w:cs="宋体"/>
          <w:color w:val="333333"/>
          <w:kern w:val="0"/>
          <w:sz w:val="24"/>
          <w:szCs w:val="24"/>
        </w:rPr>
      </w:pPr>
      <w:r>
        <w:rPr>
          <w:rFonts w:hint="eastAsia" w:ascii="宋体" w:hAnsi="宋体" w:cs="宋体"/>
          <w:color w:val="333333"/>
          <w:kern w:val="0"/>
          <w:sz w:val="24"/>
          <w:szCs w:val="24"/>
        </w:rPr>
        <w:t>15.1合同文件与本合同具有同等法律效力。</w:t>
      </w:r>
    </w:p>
    <w:p w14:paraId="679B6630">
      <w:pPr>
        <w:widowControl/>
        <w:shd w:val="clear" w:color="auto" w:fill="FFFFFF"/>
        <w:ind w:firstLine="320"/>
        <w:jc w:val="left"/>
        <w:rPr>
          <w:rFonts w:hint="eastAsia" w:ascii="宋体" w:hAnsi="宋体" w:cs="宋体"/>
          <w:color w:val="333333"/>
          <w:kern w:val="0"/>
          <w:sz w:val="24"/>
          <w:szCs w:val="24"/>
        </w:rPr>
      </w:pPr>
      <w:r>
        <w:rPr>
          <w:rFonts w:hint="eastAsia" w:ascii="宋体" w:hAnsi="宋体" w:cs="宋体"/>
          <w:color w:val="333333"/>
          <w:kern w:val="0"/>
          <w:sz w:val="24"/>
          <w:szCs w:val="24"/>
        </w:rPr>
        <w:t>15.2本合同未尽事宜，双方可另行签订补充协议。</w:t>
      </w:r>
    </w:p>
    <w:p w14:paraId="4FAC1D2C">
      <w:pPr>
        <w:widowControl/>
        <w:shd w:val="clear" w:color="auto" w:fill="FFFFFF"/>
        <w:ind w:firstLine="320"/>
        <w:jc w:val="left"/>
        <w:rPr>
          <w:rFonts w:hint="eastAsia" w:ascii="宋体" w:hAnsi="宋体" w:cs="宋体"/>
          <w:color w:val="333333"/>
          <w:kern w:val="0"/>
          <w:sz w:val="24"/>
          <w:szCs w:val="24"/>
        </w:rPr>
      </w:pPr>
      <w:r>
        <w:rPr>
          <w:rFonts w:hint="eastAsia" w:ascii="宋体" w:hAnsi="宋体" w:cs="宋体"/>
          <w:color w:val="333333"/>
          <w:kern w:val="0"/>
          <w:sz w:val="24"/>
          <w:szCs w:val="24"/>
        </w:rPr>
        <w:t>15.3合同生效：自签订之日起生效。</w:t>
      </w:r>
    </w:p>
    <w:p w14:paraId="18E803BE">
      <w:pPr>
        <w:widowControl/>
        <w:shd w:val="clear" w:color="auto" w:fill="FFFFFF"/>
        <w:ind w:firstLine="320"/>
        <w:jc w:val="left"/>
        <w:rPr>
          <w:rFonts w:hint="eastAsia" w:ascii="宋体" w:hAnsi="宋体" w:cs="宋体"/>
          <w:color w:val="333333"/>
          <w:kern w:val="0"/>
          <w:sz w:val="24"/>
          <w:szCs w:val="24"/>
        </w:rPr>
      </w:pPr>
      <w:r>
        <w:rPr>
          <w:rFonts w:hint="eastAsia" w:ascii="宋体" w:hAnsi="宋体" w:cs="宋体"/>
          <w:color w:val="333333"/>
          <w:kern w:val="0"/>
          <w:sz w:val="24"/>
          <w:szCs w:val="24"/>
        </w:rPr>
        <w:t>15.4本合同一式</w:t>
      </w:r>
      <w:r>
        <w:rPr>
          <w:rFonts w:hint="eastAsia" w:ascii="宋体" w:hAnsi="宋体" w:cs="宋体"/>
          <w:color w:val="333333"/>
          <w:kern w:val="0"/>
          <w:sz w:val="24"/>
          <w:szCs w:val="24"/>
          <w:u w:val="single"/>
        </w:rPr>
        <w:t> 肆 </w:t>
      </w:r>
      <w:r>
        <w:rPr>
          <w:rFonts w:hint="eastAsia" w:ascii="宋体" w:hAnsi="宋体" w:cs="宋体"/>
          <w:color w:val="333333"/>
          <w:kern w:val="0"/>
          <w:sz w:val="24"/>
          <w:szCs w:val="24"/>
        </w:rPr>
        <w:t>份，经双方签字并盖章后生效。甲、乙双方各执</w:t>
      </w:r>
      <w:r>
        <w:rPr>
          <w:rFonts w:hint="eastAsia" w:ascii="宋体" w:hAnsi="宋体" w:cs="宋体"/>
          <w:color w:val="333333"/>
          <w:kern w:val="0"/>
          <w:sz w:val="24"/>
          <w:szCs w:val="24"/>
          <w:u w:val="single"/>
        </w:rPr>
        <w:t> 贰 </w:t>
      </w:r>
      <w:r>
        <w:rPr>
          <w:rFonts w:hint="eastAsia" w:ascii="宋体" w:hAnsi="宋体" w:cs="宋体"/>
          <w:color w:val="333333"/>
          <w:kern w:val="0"/>
          <w:sz w:val="24"/>
          <w:szCs w:val="24"/>
        </w:rPr>
        <w:t>份，具有同等效力。</w:t>
      </w:r>
    </w:p>
    <w:p w14:paraId="17E452F0">
      <w:pPr>
        <w:widowControl/>
        <w:shd w:val="clear" w:color="auto" w:fill="FFFFFF"/>
        <w:ind w:firstLine="320"/>
        <w:jc w:val="left"/>
        <w:rPr>
          <w:rFonts w:hint="eastAsia" w:ascii="宋体" w:hAnsi="宋体" w:cs="宋体"/>
          <w:color w:val="333333"/>
          <w:kern w:val="0"/>
          <w:sz w:val="24"/>
          <w:szCs w:val="24"/>
        </w:rPr>
      </w:pPr>
      <w:r>
        <w:rPr>
          <w:rFonts w:hint="eastAsia" w:ascii="宋体" w:hAnsi="宋体" w:cs="宋体"/>
          <w:color w:val="333333"/>
          <w:kern w:val="0"/>
          <w:sz w:val="24"/>
          <w:szCs w:val="24"/>
        </w:rPr>
        <w:t>15.5其他：</w:t>
      </w:r>
      <w:r>
        <w:rPr>
          <w:rFonts w:ascii="Segoe UI Symbol" w:hAnsi="Segoe UI Symbol" w:cs="Segoe UI Symbol"/>
          <w:color w:val="333333"/>
          <w:kern w:val="0"/>
          <w:sz w:val="24"/>
          <w:szCs w:val="24"/>
        </w:rPr>
        <w:t>☑</w:t>
      </w:r>
      <w:r>
        <w:rPr>
          <w:rFonts w:hint="eastAsia" w:ascii="宋体" w:hAnsi="宋体" w:cs="微软雅黑"/>
          <w:color w:val="333333"/>
          <w:kern w:val="0"/>
          <w:sz w:val="24"/>
          <w:szCs w:val="24"/>
        </w:rPr>
        <w:t>无。□</w:t>
      </w:r>
      <w:r>
        <w:rPr>
          <w:rFonts w:hint="eastAsia" w:ascii="宋体" w:hAnsi="宋体" w:cs="宋体"/>
          <w:color w:val="333333"/>
          <w:kern w:val="0"/>
          <w:sz w:val="24"/>
          <w:szCs w:val="24"/>
          <w:u w:val="single"/>
        </w:rPr>
        <w:t>（按照实际情况编制填写需要增加的内容）</w:t>
      </w:r>
      <w:r>
        <w:rPr>
          <w:rFonts w:hint="eastAsia" w:ascii="宋体" w:hAnsi="宋体" w:cs="宋体"/>
          <w:color w:val="333333"/>
          <w:kern w:val="0"/>
          <w:sz w:val="24"/>
          <w:szCs w:val="24"/>
        </w:rPr>
        <w:t>。</w:t>
      </w:r>
    </w:p>
    <w:p w14:paraId="2D4E7C88">
      <w:pPr>
        <w:widowControl/>
        <w:shd w:val="clear" w:color="auto" w:fill="FFFFFF"/>
        <w:jc w:val="left"/>
        <w:rPr>
          <w:rFonts w:hint="eastAsia" w:ascii="宋体" w:hAnsi="宋体" w:cs="宋体"/>
          <w:color w:val="333333"/>
          <w:kern w:val="0"/>
          <w:sz w:val="24"/>
          <w:szCs w:val="24"/>
        </w:rPr>
      </w:pPr>
      <w:r>
        <w:rPr>
          <w:rFonts w:hint="eastAsia" w:ascii="宋体" w:hAnsi="宋体" w:cs="宋体"/>
          <w:color w:val="333333"/>
          <w:kern w:val="0"/>
          <w:sz w:val="24"/>
          <w:szCs w:val="24"/>
        </w:rPr>
        <w:t>（以下无正文）</w:t>
      </w:r>
    </w:p>
    <w:p w14:paraId="370C41DA">
      <w:pPr>
        <w:widowControl/>
        <w:shd w:val="clear" w:color="auto" w:fill="FFFFFF"/>
        <w:jc w:val="left"/>
        <w:rPr>
          <w:rFonts w:hint="eastAsia" w:ascii="宋体" w:hAnsi="宋体" w:cs="宋体"/>
          <w:color w:val="333333"/>
          <w:kern w:val="0"/>
          <w:sz w:val="24"/>
          <w:szCs w:val="24"/>
        </w:rPr>
      </w:pPr>
      <w:r>
        <w:rPr>
          <w:rFonts w:hint="eastAsia" w:ascii="宋体" w:hAnsi="宋体" w:cs="宋体"/>
          <w:color w:val="333333"/>
          <w:kern w:val="0"/>
          <w:sz w:val="24"/>
          <w:szCs w:val="24"/>
        </w:rPr>
        <w:t>甲方：                      乙方：</w:t>
      </w:r>
    </w:p>
    <w:p w14:paraId="6C4716DE">
      <w:pPr>
        <w:widowControl/>
        <w:shd w:val="clear" w:color="auto" w:fill="FFFFFF"/>
        <w:jc w:val="left"/>
        <w:rPr>
          <w:rFonts w:hint="eastAsia" w:ascii="宋体" w:hAnsi="宋体" w:cs="宋体"/>
          <w:color w:val="333333"/>
          <w:kern w:val="0"/>
          <w:sz w:val="24"/>
          <w:szCs w:val="24"/>
        </w:rPr>
      </w:pPr>
      <w:r>
        <w:rPr>
          <w:rFonts w:hint="eastAsia" w:ascii="宋体" w:hAnsi="宋体" w:cs="宋体"/>
          <w:color w:val="333333"/>
          <w:kern w:val="0"/>
          <w:sz w:val="24"/>
          <w:szCs w:val="24"/>
        </w:rPr>
        <w:t>住所：                住所：</w:t>
      </w:r>
    </w:p>
    <w:p w14:paraId="7E453835">
      <w:pPr>
        <w:widowControl/>
        <w:shd w:val="clear" w:color="auto" w:fill="FFFFFF"/>
        <w:jc w:val="left"/>
        <w:rPr>
          <w:rFonts w:hint="eastAsia" w:ascii="宋体" w:hAnsi="宋体" w:cs="宋体"/>
          <w:color w:val="333333"/>
          <w:kern w:val="0"/>
          <w:sz w:val="24"/>
          <w:szCs w:val="24"/>
        </w:rPr>
      </w:pPr>
      <w:r>
        <w:rPr>
          <w:rFonts w:hint="eastAsia" w:ascii="宋体" w:hAnsi="宋体" w:cs="宋体"/>
          <w:color w:val="333333"/>
          <w:kern w:val="0"/>
          <w:sz w:val="24"/>
          <w:szCs w:val="24"/>
        </w:rPr>
        <w:t>统一社会信用代码：              统一社会信用代码：</w:t>
      </w:r>
    </w:p>
    <w:p w14:paraId="408A494F">
      <w:pPr>
        <w:widowControl/>
        <w:shd w:val="clear" w:color="auto" w:fill="FFFFFF"/>
        <w:jc w:val="left"/>
        <w:rPr>
          <w:rFonts w:hint="eastAsia" w:ascii="宋体" w:hAnsi="宋体" w:cs="宋体"/>
          <w:color w:val="333333"/>
          <w:kern w:val="0"/>
          <w:sz w:val="24"/>
          <w:szCs w:val="24"/>
        </w:rPr>
      </w:pPr>
      <w:r>
        <w:rPr>
          <w:rFonts w:hint="eastAsia" w:ascii="宋体" w:hAnsi="宋体" w:cs="宋体"/>
          <w:color w:val="333333"/>
          <w:kern w:val="0"/>
          <w:sz w:val="24"/>
          <w:szCs w:val="24"/>
        </w:rPr>
        <w:t>法定代表人：                法定代表人：</w:t>
      </w:r>
    </w:p>
    <w:p w14:paraId="142B1F83">
      <w:pPr>
        <w:widowControl/>
        <w:shd w:val="clear" w:color="auto" w:fill="FFFFFF"/>
        <w:jc w:val="left"/>
        <w:rPr>
          <w:rFonts w:hint="eastAsia" w:ascii="宋体" w:hAnsi="宋体" w:cs="宋体"/>
          <w:color w:val="333333"/>
          <w:kern w:val="0"/>
          <w:sz w:val="24"/>
          <w:szCs w:val="24"/>
        </w:rPr>
      </w:pPr>
      <w:r>
        <w:rPr>
          <w:rFonts w:hint="eastAsia" w:ascii="宋体" w:hAnsi="宋体" w:cs="宋体"/>
          <w:color w:val="333333"/>
          <w:kern w:val="0"/>
          <w:sz w:val="24"/>
          <w:szCs w:val="24"/>
        </w:rPr>
        <w:t>联系方法：              联系方法：</w:t>
      </w:r>
    </w:p>
    <w:p w14:paraId="5564A6D3">
      <w:pPr>
        <w:widowControl/>
        <w:shd w:val="clear" w:color="auto" w:fill="FFFFFF"/>
        <w:jc w:val="left"/>
        <w:rPr>
          <w:rFonts w:hint="eastAsia" w:ascii="宋体" w:hAnsi="宋体" w:cs="宋体"/>
          <w:color w:val="333333"/>
          <w:kern w:val="0"/>
          <w:sz w:val="24"/>
          <w:szCs w:val="24"/>
        </w:rPr>
      </w:pPr>
      <w:r>
        <w:rPr>
          <w:rFonts w:hint="eastAsia" w:ascii="宋体" w:hAnsi="宋体" w:cs="宋体"/>
          <w:color w:val="333333"/>
          <w:kern w:val="0"/>
          <w:sz w:val="24"/>
          <w:szCs w:val="24"/>
        </w:rPr>
        <w:t>开户银行：              开户银行</w:t>
      </w:r>
    </w:p>
    <w:p w14:paraId="1160DC60">
      <w:pPr>
        <w:widowControl/>
        <w:shd w:val="clear" w:color="auto" w:fill="FFFFFF"/>
        <w:jc w:val="left"/>
        <w:rPr>
          <w:rFonts w:hint="eastAsia" w:ascii="宋体" w:hAnsi="宋体" w:cs="宋体"/>
          <w:color w:val="333333"/>
          <w:kern w:val="0"/>
          <w:sz w:val="24"/>
          <w:szCs w:val="24"/>
        </w:rPr>
      </w:pPr>
      <w:r>
        <w:rPr>
          <w:rFonts w:hint="eastAsia" w:ascii="宋体" w:hAnsi="宋体" w:cs="宋体"/>
          <w:color w:val="333333"/>
          <w:kern w:val="0"/>
          <w:sz w:val="24"/>
          <w:szCs w:val="24"/>
        </w:rPr>
        <w:t>账号：                账号：</w:t>
      </w:r>
    </w:p>
    <w:p w14:paraId="4BF2FBAF">
      <w:pPr>
        <w:widowControl/>
        <w:shd w:val="clear" w:color="auto" w:fill="FFFFFF"/>
        <w:jc w:val="left"/>
        <w:rPr>
          <w:rFonts w:hint="eastAsia" w:ascii="宋体" w:hAnsi="宋体" w:cs="宋体"/>
          <w:color w:val="333333"/>
          <w:kern w:val="0"/>
          <w:sz w:val="24"/>
          <w:szCs w:val="24"/>
        </w:rPr>
      </w:pPr>
      <w:r>
        <w:rPr>
          <w:rFonts w:hint="eastAsia" w:ascii="宋体" w:hAnsi="宋体" w:cs="宋体"/>
          <w:color w:val="333333"/>
          <w:kern w:val="0"/>
          <w:sz w:val="24"/>
          <w:szCs w:val="24"/>
        </w:rPr>
        <w:t> </w:t>
      </w:r>
    </w:p>
    <w:p w14:paraId="43AE33E1">
      <w:pPr>
        <w:widowControl/>
        <w:shd w:val="clear" w:color="auto" w:fill="FFFFFF"/>
        <w:jc w:val="left"/>
        <w:rPr>
          <w:rFonts w:hint="eastAsia" w:ascii="宋体" w:hAnsi="宋体" w:cs="宋体"/>
          <w:color w:val="333333"/>
          <w:kern w:val="0"/>
          <w:sz w:val="24"/>
          <w:szCs w:val="24"/>
        </w:rPr>
      </w:pPr>
      <w:r>
        <w:rPr>
          <w:rFonts w:hint="eastAsia" w:ascii="宋体" w:hAnsi="宋体" w:cs="宋体"/>
          <w:color w:val="333333"/>
          <w:kern w:val="0"/>
          <w:sz w:val="24"/>
          <w:szCs w:val="24"/>
        </w:rPr>
        <w:t>签订地点：</w:t>
      </w:r>
      <w:r>
        <w:rPr>
          <w:rFonts w:hint="eastAsia" w:ascii="宋体" w:hAnsi="宋体" w:cs="宋体"/>
          <w:color w:val="333333"/>
          <w:kern w:val="0"/>
          <w:sz w:val="24"/>
          <w:szCs w:val="24"/>
          <w:u w:val="single"/>
        </w:rPr>
        <w:t>              </w:t>
      </w:r>
    </w:p>
    <w:p w14:paraId="0D090746">
      <w:pPr>
        <w:widowControl/>
        <w:shd w:val="clear" w:color="auto" w:fill="FFFFFF"/>
        <w:jc w:val="left"/>
      </w:pPr>
      <w:r>
        <w:rPr>
          <w:rFonts w:hint="eastAsia" w:ascii="宋体" w:hAnsi="宋体" w:cs="宋体"/>
          <w:color w:val="333333"/>
          <w:kern w:val="0"/>
          <w:sz w:val="24"/>
          <w:szCs w:val="24"/>
        </w:rPr>
        <w:t>签订日期：</w:t>
      </w:r>
      <w:r>
        <w:rPr>
          <w:rFonts w:hint="eastAsia" w:ascii="宋体" w:hAnsi="宋体" w:cs="宋体"/>
          <w:color w:val="333333"/>
          <w:kern w:val="0"/>
          <w:sz w:val="24"/>
          <w:szCs w:val="24"/>
          <w:u w:val="single"/>
        </w:rPr>
        <w:t>    </w:t>
      </w:r>
      <w:r>
        <w:rPr>
          <w:rFonts w:hint="eastAsia" w:ascii="宋体" w:hAnsi="宋体" w:cs="宋体"/>
          <w:color w:val="333333"/>
          <w:kern w:val="0"/>
          <w:sz w:val="24"/>
          <w:szCs w:val="24"/>
        </w:rPr>
        <w:t>年</w:t>
      </w:r>
      <w:r>
        <w:rPr>
          <w:rFonts w:hint="eastAsia" w:ascii="宋体" w:hAnsi="宋体" w:cs="宋体"/>
          <w:color w:val="333333"/>
          <w:kern w:val="0"/>
          <w:sz w:val="24"/>
          <w:szCs w:val="24"/>
          <w:u w:val="single"/>
        </w:rPr>
        <w:t>   </w:t>
      </w:r>
      <w:r>
        <w:rPr>
          <w:rFonts w:hint="eastAsia" w:ascii="宋体" w:hAnsi="宋体" w:cs="宋体"/>
          <w:color w:val="333333"/>
          <w:kern w:val="0"/>
          <w:sz w:val="24"/>
          <w:szCs w:val="24"/>
        </w:rPr>
        <w:t>月</w:t>
      </w:r>
      <w:r>
        <w:rPr>
          <w:rFonts w:hint="eastAsia" w:ascii="宋体" w:hAnsi="宋体" w:cs="宋体"/>
          <w:color w:val="333333"/>
          <w:kern w:val="0"/>
          <w:sz w:val="24"/>
          <w:szCs w:val="24"/>
          <w:u w:val="single"/>
        </w:rPr>
        <w:t>   </w:t>
      </w:r>
      <w:r>
        <w:rPr>
          <w:rFonts w:hint="eastAsia" w:ascii="宋体" w:hAnsi="宋体" w:cs="宋体"/>
          <w:color w:val="333333"/>
          <w:kern w:val="0"/>
          <w:sz w:val="24"/>
          <w:szCs w:val="24"/>
        </w:rPr>
        <w:t>日</w:t>
      </w:r>
    </w:p>
    <w:p w14:paraId="2E68B550">
      <w:pPr>
        <w:pStyle w:val="12"/>
        <w:spacing w:before="75" w:after="75" w:line="360" w:lineRule="auto"/>
        <w:rPr>
          <w:rFonts w:hint="eastAsia" w:asciiTheme="minorEastAsia" w:hAnsiTheme="minorEastAsia" w:eastAsiaTheme="minorEastAsia" w:cstheme="minor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BD22E">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0831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D30831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E23CD">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abstractNum w:abstractNumId="1">
    <w:nsid w:val="0A45C6E6"/>
    <w:multiLevelType w:val="singleLevel"/>
    <w:tmpl w:val="0A45C6E6"/>
    <w:lvl w:ilvl="0" w:tentative="0">
      <w:start w:val="4"/>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1MDAzMWJmMzEyMjg5OTQyNjFkNDcyNDU5ZGM1Y2YifQ=="/>
    <w:docVar w:name="KSO_WPS_MARK_KEY" w:val="36b8acbf-cf64-4cd1-b9a6-4edb4ecc0d53"/>
  </w:docVars>
  <w:rsids>
    <w:rsidRoot w:val="1F986481"/>
    <w:rsid w:val="000B44D3"/>
    <w:rsid w:val="00252535"/>
    <w:rsid w:val="006A5706"/>
    <w:rsid w:val="00A8167C"/>
    <w:rsid w:val="00B13D26"/>
    <w:rsid w:val="0114696D"/>
    <w:rsid w:val="025874A5"/>
    <w:rsid w:val="02AE00E7"/>
    <w:rsid w:val="034677B9"/>
    <w:rsid w:val="039B541A"/>
    <w:rsid w:val="0580501B"/>
    <w:rsid w:val="05DA79C7"/>
    <w:rsid w:val="07100621"/>
    <w:rsid w:val="073315E1"/>
    <w:rsid w:val="07D50D0A"/>
    <w:rsid w:val="08174AFA"/>
    <w:rsid w:val="08F12A2E"/>
    <w:rsid w:val="09AA4CD4"/>
    <w:rsid w:val="0A2F0DBE"/>
    <w:rsid w:val="0C9876E7"/>
    <w:rsid w:val="0CF839A8"/>
    <w:rsid w:val="0E97237F"/>
    <w:rsid w:val="0FE577B4"/>
    <w:rsid w:val="0FFC33FA"/>
    <w:rsid w:val="1001144E"/>
    <w:rsid w:val="12437AFC"/>
    <w:rsid w:val="13182D37"/>
    <w:rsid w:val="13761663"/>
    <w:rsid w:val="14117786"/>
    <w:rsid w:val="166C0A45"/>
    <w:rsid w:val="169B0C29"/>
    <w:rsid w:val="18A920E9"/>
    <w:rsid w:val="19C85E8A"/>
    <w:rsid w:val="1A07140F"/>
    <w:rsid w:val="1BCC2910"/>
    <w:rsid w:val="1C6E4E9F"/>
    <w:rsid w:val="1E3D18A3"/>
    <w:rsid w:val="1F986481"/>
    <w:rsid w:val="21E169EA"/>
    <w:rsid w:val="26396DF4"/>
    <w:rsid w:val="27AA5AD0"/>
    <w:rsid w:val="290520D8"/>
    <w:rsid w:val="2AEB24EE"/>
    <w:rsid w:val="2BDB5197"/>
    <w:rsid w:val="2CFF5994"/>
    <w:rsid w:val="2DEA4E78"/>
    <w:rsid w:val="2E821554"/>
    <w:rsid w:val="2ED2428A"/>
    <w:rsid w:val="303411DC"/>
    <w:rsid w:val="31BC6B2B"/>
    <w:rsid w:val="31D67EB0"/>
    <w:rsid w:val="32FD11AA"/>
    <w:rsid w:val="33136E97"/>
    <w:rsid w:val="36323860"/>
    <w:rsid w:val="368340BC"/>
    <w:rsid w:val="3802063D"/>
    <w:rsid w:val="38BE762D"/>
    <w:rsid w:val="3AF410E4"/>
    <w:rsid w:val="3CC179FF"/>
    <w:rsid w:val="3E467EA9"/>
    <w:rsid w:val="3E7A4524"/>
    <w:rsid w:val="406B3BF6"/>
    <w:rsid w:val="411B561D"/>
    <w:rsid w:val="42F851B8"/>
    <w:rsid w:val="43BD0C0D"/>
    <w:rsid w:val="44A21BB1"/>
    <w:rsid w:val="455530C7"/>
    <w:rsid w:val="475A5FE3"/>
    <w:rsid w:val="484D62D8"/>
    <w:rsid w:val="487E46E3"/>
    <w:rsid w:val="48DC7D87"/>
    <w:rsid w:val="4A174A8F"/>
    <w:rsid w:val="4AD86409"/>
    <w:rsid w:val="4B58121B"/>
    <w:rsid w:val="4BA426B2"/>
    <w:rsid w:val="4C0D3FFB"/>
    <w:rsid w:val="50BA005B"/>
    <w:rsid w:val="51316796"/>
    <w:rsid w:val="51BD6537"/>
    <w:rsid w:val="52623FB6"/>
    <w:rsid w:val="52896FF7"/>
    <w:rsid w:val="534F31D7"/>
    <w:rsid w:val="538A6ABE"/>
    <w:rsid w:val="550A7A2A"/>
    <w:rsid w:val="558C043F"/>
    <w:rsid w:val="563B1BAA"/>
    <w:rsid w:val="58393655"/>
    <w:rsid w:val="59C52172"/>
    <w:rsid w:val="59E940B2"/>
    <w:rsid w:val="5A3B0686"/>
    <w:rsid w:val="5A8D4B2E"/>
    <w:rsid w:val="5C732614"/>
    <w:rsid w:val="5D081E82"/>
    <w:rsid w:val="5D1C319C"/>
    <w:rsid w:val="5D211DB5"/>
    <w:rsid w:val="5DFD637E"/>
    <w:rsid w:val="5F8B79B9"/>
    <w:rsid w:val="61AF4C4A"/>
    <w:rsid w:val="63EE0517"/>
    <w:rsid w:val="646023AE"/>
    <w:rsid w:val="65FC516D"/>
    <w:rsid w:val="660C7EBD"/>
    <w:rsid w:val="66154481"/>
    <w:rsid w:val="67393D61"/>
    <w:rsid w:val="69913E1E"/>
    <w:rsid w:val="699D27C3"/>
    <w:rsid w:val="6A9C2A7B"/>
    <w:rsid w:val="6B4A616F"/>
    <w:rsid w:val="6B916358"/>
    <w:rsid w:val="6C327132"/>
    <w:rsid w:val="6FA523D2"/>
    <w:rsid w:val="6FA63AB6"/>
    <w:rsid w:val="7160340E"/>
    <w:rsid w:val="728B4E57"/>
    <w:rsid w:val="72CA214F"/>
    <w:rsid w:val="73625832"/>
    <w:rsid w:val="740022CC"/>
    <w:rsid w:val="75B01893"/>
    <w:rsid w:val="76B40C43"/>
    <w:rsid w:val="77B04009"/>
    <w:rsid w:val="7C2A25D8"/>
    <w:rsid w:val="7E483361"/>
    <w:rsid w:val="7E790340"/>
    <w:rsid w:val="7F0361DD"/>
    <w:rsid w:val="7F9C651C"/>
    <w:rsid w:val="7FAA5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3">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6">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1"/>
    <w:qFormat/>
    <w:uiPriority w:val="0"/>
    <w:pPr>
      <w:spacing w:line="380" w:lineRule="exact"/>
    </w:pPr>
    <w:rPr>
      <w:sz w:val="24"/>
    </w:rPr>
  </w:style>
  <w:style w:type="paragraph" w:styleId="6">
    <w:name w:val="Plain Text"/>
    <w:basedOn w:val="1"/>
    <w:next w:val="1"/>
    <w:qFormat/>
    <w:uiPriority w:val="0"/>
    <w:rPr>
      <w:rFonts w:ascii="宋体" w:hAnsi="Courier New"/>
      <w:szCs w:val="20"/>
    </w:rPr>
  </w:style>
  <w:style w:type="paragraph" w:styleId="7">
    <w:name w:val="Body Text Indent 2"/>
    <w:basedOn w:val="1"/>
    <w:qFormat/>
    <w:uiPriority w:val="0"/>
    <w:pPr>
      <w:spacing w:line="20" w:lineRule="atLeast"/>
      <w:ind w:firstLine="199" w:firstLineChars="199"/>
      <w:jc w:val="left"/>
    </w:pPr>
    <w:rPr>
      <w:rFonts w:ascii="宋体"/>
      <w:sz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2"/>
    <w:qFormat/>
    <w:uiPriority w:val="0"/>
    <w:pPr>
      <w:tabs>
        <w:tab w:val="center" w:pos="4153"/>
        <w:tab w:val="right" w:pos="8306"/>
      </w:tabs>
      <w:snapToGrid w:val="0"/>
      <w:jc w:val="center"/>
    </w:pPr>
    <w:rPr>
      <w:sz w:val="18"/>
      <w:szCs w:val="18"/>
    </w:rPr>
  </w:style>
  <w:style w:type="paragraph" w:styleId="10">
    <w:name w:val="toc 1"/>
    <w:basedOn w:val="1"/>
    <w:next w:val="1"/>
    <w:qFormat/>
    <w:uiPriority w:val="39"/>
    <w:pPr>
      <w:spacing w:before="120" w:after="120"/>
      <w:jc w:val="left"/>
    </w:pPr>
    <w:rPr>
      <w:b/>
      <w:bCs/>
      <w:caps/>
      <w:sz w:val="20"/>
    </w:rPr>
  </w:style>
  <w:style w:type="paragraph" w:styleId="11">
    <w:name w:val="Body Text Indent 3"/>
    <w:basedOn w:val="1"/>
    <w:unhideWhenUsed/>
    <w:qFormat/>
    <w:uiPriority w:val="99"/>
    <w:pPr>
      <w:spacing w:after="120"/>
      <w:ind w:left="420" w:leftChars="200"/>
    </w:pPr>
    <w:rPr>
      <w:sz w:val="16"/>
      <w:szCs w:val="16"/>
    </w:rPr>
  </w:style>
  <w:style w:type="paragraph" w:styleId="12">
    <w:name w:val="Normal (Web)"/>
    <w:basedOn w:val="1"/>
    <w:next w:val="13"/>
    <w:qFormat/>
    <w:uiPriority w:val="0"/>
    <w:pPr>
      <w:jc w:val="left"/>
    </w:pPr>
    <w:rPr>
      <w:rFonts w:ascii="微软雅黑" w:hAnsi="微软雅黑" w:eastAsia="微软雅黑" w:cs="Times New Roman"/>
      <w:kern w:val="0"/>
      <w:sz w:val="24"/>
    </w:rPr>
  </w:style>
  <w:style w:type="paragraph" w:customStyle="1" w:styleId="13">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paragraph" w:customStyle="1" w:styleId="18">
    <w:name w:val="Fließtext"/>
    <w:basedOn w:val="1"/>
    <w:qFormat/>
    <w:uiPriority w:val="0"/>
    <w:pPr>
      <w:overflowPunct w:val="0"/>
      <w:autoSpaceDE w:val="0"/>
      <w:autoSpaceDN w:val="0"/>
      <w:adjustRightInd w:val="0"/>
      <w:textAlignment w:val="baseline"/>
    </w:pPr>
    <w:rPr>
      <w:kern w:val="28"/>
      <w:szCs w:val="20"/>
    </w:rPr>
  </w:style>
  <w:style w:type="paragraph" w:customStyle="1" w:styleId="19">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0">
    <w:name w:val="样式3"/>
    <w:basedOn w:val="6"/>
    <w:qFormat/>
    <w:uiPriority w:val="0"/>
    <w:pPr>
      <w:spacing w:line="0" w:lineRule="atLeast"/>
      <w:outlineLvl w:val="0"/>
    </w:pPr>
    <w:rPr>
      <w:sz w:val="28"/>
    </w:rPr>
  </w:style>
  <w:style w:type="paragraph" w:customStyle="1" w:styleId="21">
    <w:name w:val="Other|1"/>
    <w:basedOn w:val="1"/>
    <w:qFormat/>
    <w:uiPriority w:val="0"/>
    <w:pPr>
      <w:spacing w:after="40" w:line="293" w:lineRule="auto"/>
    </w:pPr>
    <w:rPr>
      <w:rFonts w:ascii="宋体" w:hAnsi="宋体" w:cs="宋体"/>
      <w:sz w:val="22"/>
      <w:lang w:val="zh-TW" w:eastAsia="zh-TW" w:bidi="zh-TW"/>
    </w:rPr>
  </w:style>
  <w:style w:type="character" w:customStyle="1" w:styleId="22">
    <w:name w:val="页眉 字符"/>
    <w:basedOn w:val="16"/>
    <w:link w:val="9"/>
    <w:qFormat/>
    <w:uiPriority w:val="0"/>
    <w:rPr>
      <w:rFonts w:ascii="Calibri" w:hAnsi="Calibri" w:cs="Arial"/>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8058</Words>
  <Characters>8665</Characters>
  <Lines>386</Lines>
  <Paragraphs>312</Paragraphs>
  <TotalTime>0</TotalTime>
  <ScaleCrop>false</ScaleCrop>
  <LinksUpToDate>false</LinksUpToDate>
  <CharactersWithSpaces>8994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2025-10-27T01:52:00Z</dcterms:created>
  <dc:creator>土豆排骨的滋味</dc:creator>
  <cp:lastModifiedBy>Administrator</cp:lastModifiedBy>
  <cp:lastPrinted>2024-04-12T07:29:00Z</cp:lastPrinted>
  <dcterms:modified xsi:type="dcterms:W3CDTF">2025-10-27T06:57:07Z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