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LCCQJJ20251103-1</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连城工业园区各厂房及生活区电梯维保服务采购项目（2025-2027年）</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工业园区各厂房及生活区约29台电梯的维保服务（包含货梯及客梯），具体数量以实际维保数量为准。合同期服务内涉及新增或减少电梯数量的，维保服务费用按实际维保电梯数量*成交单价进行结算。</w:t>
      </w:r>
    </w:p>
    <w:tbl>
      <w:tblPr>
        <w:tblStyle w:val="10"/>
        <w:tblW w:w="98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1"/>
        <w:gridCol w:w="1155"/>
        <w:gridCol w:w="1425"/>
        <w:gridCol w:w="1230"/>
        <w:gridCol w:w="1515"/>
        <w:gridCol w:w="3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9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b/>
                <w:bCs/>
                <w:i w:val="0"/>
                <w:iCs w:val="0"/>
                <w:color w:val="000000" w:themeColor="text1"/>
                <w:kern w:val="0"/>
                <w:sz w:val="21"/>
                <w:szCs w:val="21"/>
                <w:u w:val="none"/>
                <w:lang w:val="en-US" w:eastAsia="zh-CN" w:bidi="ar"/>
              </w:rPr>
            </w:pPr>
            <w:r>
              <w:rPr>
                <w:rFonts w:hint="eastAsia" w:ascii="宋体" w:hAnsi="宋体" w:cs="宋体"/>
                <w:b/>
                <w:bCs/>
                <w:i w:val="0"/>
                <w:iCs w:val="0"/>
                <w:color w:val="000000" w:themeColor="text1"/>
                <w:kern w:val="0"/>
                <w:sz w:val="21"/>
                <w:szCs w:val="21"/>
                <w:u w:val="none"/>
                <w:lang w:val="en-US" w:eastAsia="zh-CN" w:bidi="ar"/>
              </w:rPr>
              <w:t>现有</w:t>
            </w:r>
            <w:r>
              <w:rPr>
                <w:rFonts w:hint="eastAsia" w:ascii="宋体" w:hAnsi="宋体" w:eastAsia="宋体" w:cs="宋体"/>
                <w:b/>
                <w:bCs/>
                <w:i w:val="0"/>
                <w:iCs w:val="0"/>
                <w:color w:val="000000" w:themeColor="text1"/>
                <w:kern w:val="0"/>
                <w:sz w:val="21"/>
                <w:szCs w:val="21"/>
                <w:u w:val="none"/>
                <w:lang w:val="en-US" w:eastAsia="zh-CN" w:bidi="ar"/>
              </w:rPr>
              <w:t>电梯清单明细表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b/>
                <w:bCs/>
                <w:i w:val="0"/>
                <w:iCs w:val="0"/>
                <w:color w:val="000000" w:themeColor="text1"/>
                <w:sz w:val="21"/>
                <w:szCs w:val="21"/>
                <w:u w:val="none"/>
              </w:rPr>
            </w:pPr>
            <w:r>
              <w:rPr>
                <w:rFonts w:hint="eastAsia" w:ascii="宋体" w:hAnsi="宋体" w:eastAsia="宋体" w:cs="宋体"/>
                <w:b/>
                <w:bCs/>
                <w:i w:val="0"/>
                <w:iCs w:val="0"/>
                <w:color w:val="000000" w:themeColor="text1"/>
                <w:kern w:val="0"/>
                <w:sz w:val="21"/>
                <w:szCs w:val="21"/>
                <w:u w:val="none"/>
                <w:lang w:val="en-US" w:eastAsia="zh-CN" w:bidi="ar"/>
              </w:rPr>
              <w:t>设备识别码</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b/>
                <w:bCs/>
                <w:i w:val="0"/>
                <w:iCs w:val="0"/>
                <w:color w:val="000000" w:themeColor="text1"/>
                <w:sz w:val="21"/>
                <w:szCs w:val="21"/>
                <w:u w:val="none"/>
              </w:rPr>
            </w:pPr>
            <w:r>
              <w:rPr>
                <w:rFonts w:hint="eastAsia" w:ascii="宋体" w:hAnsi="宋体" w:eastAsia="宋体" w:cs="宋体"/>
                <w:b/>
                <w:bCs/>
                <w:i w:val="0"/>
                <w:iCs w:val="0"/>
                <w:color w:val="000000" w:themeColor="text1"/>
                <w:kern w:val="0"/>
                <w:sz w:val="21"/>
                <w:szCs w:val="21"/>
                <w:u w:val="none"/>
                <w:lang w:val="en-US" w:eastAsia="zh-CN" w:bidi="ar"/>
              </w:rPr>
              <w:t>设备名称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b/>
                <w:bCs/>
                <w:i w:val="0"/>
                <w:iCs w:val="0"/>
                <w:color w:val="000000" w:themeColor="text1"/>
                <w:sz w:val="21"/>
                <w:szCs w:val="21"/>
                <w:u w:val="none"/>
              </w:rPr>
            </w:pPr>
            <w:r>
              <w:rPr>
                <w:rFonts w:hint="eastAsia" w:ascii="宋体" w:hAnsi="宋体" w:eastAsia="宋体" w:cs="宋体"/>
                <w:b/>
                <w:bCs/>
                <w:i w:val="0"/>
                <w:iCs w:val="0"/>
                <w:color w:val="000000" w:themeColor="text1"/>
                <w:kern w:val="0"/>
                <w:sz w:val="21"/>
                <w:szCs w:val="21"/>
                <w:u w:val="none"/>
                <w:lang w:val="en-US" w:eastAsia="zh-CN" w:bidi="ar"/>
              </w:rPr>
              <w:t>设备型号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b/>
                <w:bCs/>
                <w:i w:val="0"/>
                <w:iCs w:val="0"/>
                <w:color w:val="000000" w:themeColor="text1"/>
                <w:sz w:val="21"/>
                <w:szCs w:val="21"/>
                <w:u w:val="none"/>
              </w:rPr>
            </w:pPr>
            <w:r>
              <w:rPr>
                <w:rFonts w:hint="eastAsia" w:ascii="宋体" w:hAnsi="宋体" w:eastAsia="宋体" w:cs="宋体"/>
                <w:b/>
                <w:bCs/>
                <w:i w:val="0"/>
                <w:iCs w:val="0"/>
                <w:color w:val="000000" w:themeColor="text1"/>
                <w:kern w:val="0"/>
                <w:sz w:val="21"/>
                <w:szCs w:val="21"/>
                <w:u w:val="none"/>
                <w:lang w:val="en-US" w:eastAsia="zh-CN" w:bidi="ar"/>
              </w:rPr>
              <w:t>出厂编号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b/>
                <w:bCs/>
                <w:i w:val="0"/>
                <w:iCs w:val="0"/>
                <w:color w:val="000000" w:themeColor="text1"/>
                <w:sz w:val="21"/>
                <w:szCs w:val="21"/>
                <w:u w:val="none"/>
              </w:rPr>
            </w:pPr>
            <w:r>
              <w:rPr>
                <w:rFonts w:hint="eastAsia" w:ascii="宋体" w:hAnsi="宋体" w:eastAsia="宋体" w:cs="宋体"/>
                <w:b/>
                <w:bCs/>
                <w:i w:val="0"/>
                <w:iCs w:val="0"/>
                <w:color w:val="000000" w:themeColor="text1"/>
                <w:kern w:val="0"/>
                <w:sz w:val="21"/>
                <w:szCs w:val="21"/>
                <w:u w:val="none"/>
                <w:lang w:val="en-US" w:eastAsia="zh-CN" w:bidi="ar"/>
              </w:rPr>
              <w:t>单位内部编号</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b/>
                <w:bCs/>
                <w:i w:val="0"/>
                <w:iCs w:val="0"/>
                <w:color w:val="000000" w:themeColor="text1"/>
                <w:kern w:val="0"/>
                <w:sz w:val="21"/>
                <w:szCs w:val="21"/>
                <w:u w:val="none"/>
                <w:lang w:val="en-US" w:eastAsia="zh-CN" w:bidi="ar"/>
              </w:rPr>
            </w:pPr>
            <w:r>
              <w:rPr>
                <w:rFonts w:hint="eastAsia" w:ascii="宋体" w:hAnsi="宋体" w:eastAsia="宋体" w:cs="宋体"/>
                <w:b/>
                <w:bCs/>
                <w:i w:val="0"/>
                <w:iCs w:val="0"/>
                <w:color w:val="000000" w:themeColor="text1"/>
                <w:kern w:val="0"/>
                <w:sz w:val="21"/>
                <w:szCs w:val="21"/>
                <w:u w:val="none"/>
                <w:lang w:val="en-US" w:eastAsia="zh-CN" w:bidi="ar"/>
              </w:rPr>
              <w:t>使用地点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TF05224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FOVF</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F8N89401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C梯</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TF05688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FOVF</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F8N89402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D梯</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TF08086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LF-2000-2S30(单开门)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14G047819</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2#厂区1#厂房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TF08087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LF-2000-2S30(单开门)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14G047818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L2</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连城县海峡光电产业园2#厂区1#厂房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TF08088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LF-2000-2S30(单开门)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14G047817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连城县海峡光电产业园1#厂区2#厂房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TF08228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14G047798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L2</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连城县海峡光电产业园生活区3#楼西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TF08229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14G047799</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连城县海峡光电产业园生活区3#楼东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TF08230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L4</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连城县海峡光电产业园生活区3#楼东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TF08231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14G047801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连城县海峡光电产业园生活区4#楼西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TF08232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14G047802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L6</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连城县海峡光电产业园生活区4#楼西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TF08233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14G047803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连城县海峡光电产业园生活区4#楼东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14G047804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L8</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连城县海峡光电产业园生活区4#楼东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TF08235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MCA-825-CO105(单开门)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14G047797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连城县海峡光电产业园生活区3#楼西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TF16238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LTK</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18K004035</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海峡光电产业园二期多功能厂区1#厂房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TF16241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LTHX</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18H002596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海峡光电产业园二期多功能厂区1#厂房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TF16242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LTHX</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18H002597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海峡光电产业园二期多功能厂区1#厂房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TF16245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LTHX</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18H002600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海峡光电产业园二期多功能厂区2#厂房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TF17443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S100MMR</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21J47602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海峡光电产业园二期二号厂区二号厂房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TF17444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S100MMR</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21J47603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海峡光电产业园二期二号厂区二号厂房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TF18439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S830-JE</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21J47601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一号厂区4号厂房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TF18440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S100MMR</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21J47607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一号厂区4号厂房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TF18441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S100MMR</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21J47606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一号厂区4号厂房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TF19986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AEF210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22252599</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B-L1</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连城县现代甘薯产业园B栋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TF19988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AEF210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22252600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B-L2</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连城县现代甘薯产业园B栋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TF19990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载货电梯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AEF210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22252602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C-L2</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连城县现代甘薯产业园C栋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TF20002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ZEXIA-H</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ZHA2490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海峡光电产业园首期生活区9#楼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TF20003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ZEXIA-H</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ZHA2491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海峡光电产业园首期生活区9#楼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TF20004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ZEXIA-H</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ZHA2492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海峡光电产业园首期生活区9#楼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TF20005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ZEXIA-H</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ZHA2493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海峡光电产业园首期生活区9#楼</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本项目最高控制价为300元/台/月（含税包干）。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4000元。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b w:val="0"/>
          <w:bCs w:val="0"/>
          <w:sz w:val="28"/>
          <w:szCs w:val="28"/>
          <w:lang w:val="en-US" w:eastAsia="zh-CN"/>
        </w:rPr>
        <w:t>本项目合同期限为自合同签订起24个月。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eastAsia="宋体" w:cs="宋体"/>
          <w:b/>
          <w:bCs/>
          <w:color w:val="0000FF"/>
          <w:sz w:val="28"/>
          <w:szCs w:val="28"/>
          <w:lang w:val="en-US" w:eastAsia="zh-CN"/>
        </w:rPr>
        <w:t>服务合同》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（1）合同要求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highlight w:val="none"/>
          <w:lang w:val="en-US" w:eastAsia="zh-CN"/>
        </w:rPr>
        <w:t>本项目维保人员办公场所由委托人提供。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2）服务期内成交人服务质量应满足国家相关规定和委托人的要求并做好每月维保记录。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3）服务期内成交人应承担所维保电梯的年检工作。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4）当电梯发生困人故障，成交人应在接到委托人通知后15分钟内赶赴现场实施紧急救援；电梯发生其他故障，成交人应在接到委托人通知后30分钟内赶到现场实施抢修。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5）成交人应承诺中标后在项目所在地成立分公司。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6）成交人拟派本项目维保人员月工作时间应天天打卡。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（2）工作目标及要求-电梯维保服务项目及要求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表A-1  半月维保项目（内容）和要求（半月保养时间为40分钟）</w:t>
      </w:r>
    </w:p>
    <w:tbl>
      <w:tblPr>
        <w:tblStyle w:val="10"/>
        <w:tblW w:w="9049"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4017"/>
        <w:gridCol w:w="3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116"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序号</w:t>
            </w:r>
          </w:p>
        </w:tc>
        <w:tc>
          <w:tcPr>
            <w:tcW w:w="4017"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维保项目（内容）</w:t>
            </w:r>
          </w:p>
        </w:tc>
        <w:tc>
          <w:tcPr>
            <w:tcW w:w="3916"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机房、滑轮间环境</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清洁，门窗完好、照明正常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手动紧急操作装置</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齐全，在指定位置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曳引机</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运行时无异常振动和异常声响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制动器各销轴部位</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润滑，动作灵活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制动器间隙</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打开时制动衬与制动轮不应发生摩擦，制动可靠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编码器</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清洁，安装牢固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限速器各销轴部位</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清洁、润滑，转动灵活；电气开关正常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轿顶</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清洁，防护拦安全可靠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轿顶检修开关、急停开关</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导靴上油杯</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吸油毛毡齐全，油量适宜，油杯无泄漏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对重块及其压板</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对重块无松动，压板紧固。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井道照明</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齐全、正常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轿厢照明、风扇、应急照明</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完好、工作正常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轿厢检修开关、急停开关</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轿内报警装置、对讲系统</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16</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轿内显示、指令按钮</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齐全、有效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轿门安全装置（安全触板，光幕、光电等）</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灵活、功能有效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18</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轿门门锁电气触点</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 触点接触良好，接线可靠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轿门运行</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开启和关闭工作正常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轿厢平层精度</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21</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层站召唤、层楼显示</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齐全、有效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22</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层门地坎</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23</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层门自动关门装置</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层门门锁自动复位</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用层门钥匙打开手动开锁装置释放后，层门门锁能自动复位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25</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层门门锁电气触点</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 触点接触良好，接线可靠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26</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层门锁紧元件啮合深度</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不小于7mm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27</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底坑环境</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清洁，无渗水、积水，照明正常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28</w:t>
            </w:r>
          </w:p>
        </w:tc>
        <w:tc>
          <w:tcPr>
            <w:tcW w:w="40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底坑急停开关</w:t>
            </w:r>
          </w:p>
        </w:tc>
        <w:tc>
          <w:tcPr>
            <w:tcW w:w="3916"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清洁、工作正常</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表A-2  季度维保项目（内容）和要求（季度保养时间为45分钟）</w:t>
      </w:r>
    </w:p>
    <w:tbl>
      <w:tblPr>
        <w:tblStyle w:val="10"/>
        <w:tblW w:w="9066"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9"/>
        <w:gridCol w:w="3934"/>
        <w:gridCol w:w="3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1199"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序号</w:t>
            </w:r>
          </w:p>
        </w:tc>
        <w:tc>
          <w:tcPr>
            <w:tcW w:w="3934"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维保项目（内容）</w:t>
            </w:r>
          </w:p>
        </w:tc>
        <w:tc>
          <w:tcPr>
            <w:tcW w:w="3933"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减速机润滑油</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油量适宜，除蜗杆伸出端外均无渗漏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制动衬</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清洁，磨损量不超过制造单位要求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位置脉冲发生器</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选层器动静触点</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清洁，无烧蚀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曳引轮槽、曳引钢丝绳</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清洁，无严重油腻，张力均匀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限速器轮槽、限速器钢丝绳</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清洁，无严重油腻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靴衬、滚轮</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清洁，磨损量不超过制造单位要求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验证轿门关闭的电气安全装置</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层门、轿门系统中传动钢丝绳、链条、胶带</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按照制造单位要求进行清洁、调整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层门门导靴</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磨损量不超过制造单位要求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消防开关</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工作正常，功能有效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耗能缓冲器</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电气安全装置功能有效，油量适宜，柱塞无锈蚀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99" w:type="dxa"/>
            <w:tcBorders>
              <w:top w:val="nil"/>
              <w:left w:val="single" w:color="auto" w:sz="12" w:space="0"/>
              <w:bottom w:val="single" w:color="auto" w:sz="12"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w:t>
            </w:r>
          </w:p>
        </w:tc>
        <w:tc>
          <w:tcPr>
            <w:tcW w:w="3934" w:type="dxa"/>
            <w:tcBorders>
              <w:top w:val="nil"/>
              <w:left w:val="nil"/>
              <w:bottom w:val="single" w:color="auto" w:sz="12"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限速器张紧轮装置和电气安全装置</w:t>
            </w:r>
          </w:p>
        </w:tc>
        <w:tc>
          <w:tcPr>
            <w:tcW w:w="3933"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表A-3  半年维保项目（内容）和要求（半年保养时间为50分钟）</w:t>
      </w:r>
    </w:p>
    <w:tbl>
      <w:tblPr>
        <w:tblStyle w:val="10"/>
        <w:tblW w:w="9083"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9"/>
        <w:gridCol w:w="3934"/>
        <w:gridCol w:w="3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序号</w:t>
            </w:r>
          </w:p>
        </w:tc>
        <w:tc>
          <w:tcPr>
            <w:tcW w:w="3934"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维保项目（内容）</w:t>
            </w:r>
          </w:p>
        </w:tc>
        <w:tc>
          <w:tcPr>
            <w:tcW w:w="3950"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电动机与减速机联轴器螺栓</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无松动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曳引轮、导向轮轴承部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无异常声，无振动，润滑良好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曳引轮槽</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磨损量不超过制造单位要求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制动器上检测开关</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工作正常，制动器动作可靠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控制柜内各接线端子</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各接线紧固、整齐，线号齐全清晰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控制柜各仪表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显示正确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井道、对重、轿顶各反绳轮轴承部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无异常声，无振动，润滑良好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曳引绳、补偿绳</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磨损量、断丝数不超过要求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曳引绳绳头组合</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螺母无松动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限速器钢丝绳</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磨损量、断丝数不超过制造单位要求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层门、轿门门扇</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门扇各相关间隙符合标准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对重缓冲距</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补偿链（绳）与轿厢、对重接合处</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固定、无松动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99" w:type="dxa"/>
            <w:tcBorders>
              <w:top w:val="nil"/>
              <w:left w:val="single" w:color="auto" w:sz="12" w:space="0"/>
              <w:bottom w:val="single" w:color="auto" w:sz="12"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w:t>
            </w:r>
          </w:p>
        </w:tc>
        <w:tc>
          <w:tcPr>
            <w:tcW w:w="3934" w:type="dxa"/>
            <w:tcBorders>
              <w:top w:val="nil"/>
              <w:left w:val="nil"/>
              <w:bottom w:val="single" w:color="auto" w:sz="12"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上下极限开关</w:t>
            </w:r>
          </w:p>
        </w:tc>
        <w:tc>
          <w:tcPr>
            <w:tcW w:w="3950"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表A-4  年度维保项目（内容）和要求（年度保养时间为60分钟）</w:t>
      </w:r>
    </w:p>
    <w:tbl>
      <w:tblPr>
        <w:tblStyle w:val="10"/>
        <w:tblW w:w="9099"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3"/>
        <w:gridCol w:w="3966"/>
        <w:gridCol w:w="3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83"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序号</w:t>
            </w:r>
          </w:p>
        </w:tc>
        <w:tc>
          <w:tcPr>
            <w:tcW w:w="3966"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维保项目（内容）</w:t>
            </w:r>
          </w:p>
        </w:tc>
        <w:tc>
          <w:tcPr>
            <w:tcW w:w="3950"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维保基本要求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减速机润滑油</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按照制造单位要求适时更换，保证油质符合要求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控制柜接触器，继电器触点</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接触良好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制动器铁芯（柱塞）</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进行清洁、润滑、检查，磨损量不超过制造单位要求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制动器制动弹簧压缩量</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符合制造单位要求，保持有足够的制动力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导电回路绝缘性能测试</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限速器安全钳联动试验（每2年进行一次限速器动作速度校验）</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上行超速保护装置动作试验</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轿顶、轿厢架、轿门及其附件安装螺栓</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紧固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轿厢和对重的导轨支架</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固定，无松动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轿厢和对重的导轨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清洁，压板牢固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随行电缆</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无损伤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层门装置和地坎</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无影响正常使用的变形，各安装螺栓紧固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轿厢称重装置</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准确有效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安全钳钳座</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固定，无松动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轿底各安装螺栓</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紧固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83" w:type="dxa"/>
            <w:tcBorders>
              <w:top w:val="nil"/>
              <w:left w:val="single" w:color="auto" w:sz="12" w:space="0"/>
              <w:bottom w:val="single" w:color="auto" w:sz="12"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16</w:t>
            </w:r>
          </w:p>
        </w:tc>
        <w:tc>
          <w:tcPr>
            <w:tcW w:w="3966" w:type="dxa"/>
            <w:tcBorders>
              <w:top w:val="nil"/>
              <w:left w:val="nil"/>
              <w:bottom w:val="single" w:color="auto" w:sz="12"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缓冲器</w:t>
            </w:r>
          </w:p>
        </w:tc>
        <w:tc>
          <w:tcPr>
            <w:tcW w:w="3950"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固定，无松动</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（3）对成交人（电梯维保服务公司）的要求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1）有健全的项目管理人员及员工配备，科学合理，有切实可行的服务承诺。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2）成交人必须重视安全，确保承包期内做好安全生产工作，因成交人失误造成重大人员伤亡或财产损失等，委托人有权随时终止合同。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3）成交人及其雇用的员工应严格遵守国家的法律、法规、村规民约，如果成交人及其所雇用的工人违反法律、法规和相关规定，所造成的后果由其自行负责，与委托人无关。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4）成交人应当服从委托人的管理，每季结算费用根据考核凭成交人开具的发票结算。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委托人与电梯维保服务人员不存在劳动关系。成交人负责承担本公司人员的工伤保险、社会劳动保险、雇主责任险、生活福利等一切费用。电梯维保服务人员因公或意外伤亡，由成交人负责办理保险索赔及劳动诉讼、仲裁并承担本项目服务期间所致电梯维保服务人员自身、委托人所辖项目小区、他人的人身、财产损害等全部赔偿责任。委托人不承担任何经济赔偿责任和连带责任。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6）派驻本项目的维保人员月工作时间不少于20天且应天天打卡；委托人发现维保人员月打卡记录少于20天两次的，视为成交人违约，委托人有权解除合同。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7）维保人员在出现电梯困人故障时未在15分钟内赶赴现场排除故障，按500元/次扣罚服务费；若出现3次及以上的投诉情况发生的，视为视为成交人违约，委托人有权解除合同。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8）维保人员在出现电梯其他故障时未在30分钟内赶赴现场排除故障，按500元/次扣罚服务费；若出现3次及以上的投诉情况发生的，视为视为成交人违约，委托人有权解除合同。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为保证电梯维保服务队伍稳定，电梯维保服务公司更换电梯维保服务人员时，须提前三个工作日报告委托人所辖项目负责人并提供新上岗电梯维保服务人员登记审批表、电梯维保服务公司与电梯维保服务人员签订的劳务合同副本，经委托人所辖项目负责人同意后方可更换。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10）成交人自行配备所有电梯维保服务用品及电梯维保服务用设施设备，并对装备进行及时更新和维护，保证其工作状态良好。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11）成交人应做好日常电梯维保服务记录，自查自检制度、各职能部门的管理制度、遇突击活动及重大活动时的应急方案，及时做好道路保洁工作。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12）服务期内成交人应承担所维保电梯的年检工作。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13）成交人合同签订前应在项目所在地成立分公司，否则委托人有权拒签合同。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14）按采购单位现有维保合约到期时间为准，原合约到期后，中标供应商开始电梯维保服务，费用以实际开始服务起计算。</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3.竞价人必须是委托人邀请的单位。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4.竞价人必须是龙岩市市场监督管理局最新公布的《龙岩市电梯维保单位名单》中的龙岩市电梯维护保养单位或外地派驻龙岩维保机构。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eastAsia="宋体" w:cs="宋体"/>
          <w:color w:val="0000FF"/>
          <w:sz w:val="28"/>
          <w:szCs w:val="28"/>
          <w:lang w:val="en-US" w:eastAsia="zh-CN"/>
        </w:rPr>
        <w:t>4000元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2.竞价成交后，成交人必须在成交之日起2个工作日内与本公司签订《竞价结果通知书》，并在签订《竞价结果通知书》2个工作日内向委托人提供《服务合同》，由委托人经过相应审批程序后签订。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(5)通过“信用中国”网（www.creditchina.gov.cn）或中国政府采购网（www.ccgp.gov.cn）信用信息查询无严重违法失信行为信息记录的打印件（或截图）。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（6）提供是龙岩市市场监督管理局最新公布的《龙岩市电梯维保单位名单》的龙岩市电梯维护保养单位或外地派驻龙岩维保机构的证明材料。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pageBreakBefore w:val="0"/>
        <w:widowControl/>
        <w:shd w:val="clear"/>
        <w:kinsoku/>
        <w:wordWrap/>
        <w:overflowPunct/>
        <w:topLinePunct w:val="0"/>
        <w:autoSpaceDE/>
        <w:autoSpaceDN/>
        <w:bidi w:val="0"/>
        <w:adjustRightInd/>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pageBreakBefore w:val="0"/>
        <w:widowControl/>
        <w:shd w:val="clear"/>
        <w:kinsoku/>
        <w:wordWrap/>
        <w:overflowPunct/>
        <w:topLinePunct w:val="0"/>
        <w:autoSpaceDE/>
        <w:autoSpaceDN/>
        <w:bidi w:val="0"/>
        <w:adjustRightInd/>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pageBreakBefore w:val="0"/>
        <w:widowControl/>
        <w:shd w:val="clear"/>
        <w:kinsoku/>
        <w:wordWrap/>
        <w:overflowPunct/>
        <w:topLinePunct w:val="0"/>
        <w:autoSpaceDE/>
        <w:autoSpaceDN/>
        <w:bidi w:val="0"/>
        <w:adjustRightInd/>
        <w:snapToGrid/>
        <w:spacing w:line="360" w:lineRule="auto"/>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kern w:val="2"/>
          <w:sz w:val="28"/>
          <w:szCs w:val="28"/>
          <w:highlight w:val="none"/>
          <w:shd w:val="clear"/>
          <w:lang w:val="en-US" w:eastAsia="zh-CN"/>
        </w:rPr>
        <w:t>每部电梯每月维护单价</w:t>
      </w:r>
      <w:r>
        <w:rPr>
          <w:rFonts w:hint="eastAsia" w:ascii="宋体" w:hAnsi="宋体" w:eastAsia="宋体" w:cs="宋体"/>
          <w:color w:val="000000"/>
          <w:sz w:val="28"/>
          <w:szCs w:val="28"/>
          <w:lang w:val="en-US" w:eastAsia="zh-CN"/>
        </w:rPr>
        <w:t>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包括但不限于200元（含）/台以内电梯零部件、劳务费、工作服、社医保、意外险、税费、用品用具、税费、服务费、文印费、差旅费、交通费、住宿费等所有相关费用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pageBreakBefore w:val="0"/>
        <w:widowControl/>
        <w:shd w:val="clear"/>
        <w:kinsoku/>
        <w:wordWrap/>
        <w:overflowPunct/>
        <w:topLinePunct w:val="0"/>
        <w:autoSpaceDE/>
        <w:autoSpaceDN/>
        <w:bidi w:val="0"/>
        <w:adjustRightInd/>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pageBreakBefore w:val="0"/>
        <w:widowControl/>
        <w:shd w:val="clear"/>
        <w:kinsoku/>
        <w:wordWrap/>
        <w:overflowPunct/>
        <w:topLinePunct w:val="0"/>
        <w:autoSpaceDE/>
        <w:autoSpaceDN/>
        <w:bidi w:val="0"/>
        <w:adjustRightInd/>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每部电梯每月维护单价形式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单价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w:t>
      </w:r>
      <w:r>
        <w:rPr>
          <w:rFonts w:hint="eastAsia" w:ascii="宋体" w:hAnsi="宋体" w:cs="宋体"/>
          <w:color w:val="000000" w:themeColor="text1"/>
          <w:sz w:val="28"/>
          <w:szCs w:val="28"/>
          <w:lang w:val="en-US" w:eastAsia="zh-CN"/>
        </w:rPr>
        <w:t>成交价=</w:t>
      </w:r>
      <w:r>
        <w:rPr>
          <w:rFonts w:hint="eastAsia" w:ascii="宋体" w:hAnsi="宋体" w:eastAsia="宋体" w:cs="宋体"/>
          <w:b w:val="0"/>
          <w:bCs w:val="0"/>
          <w:color w:val="000000" w:themeColor="text1"/>
          <w:sz w:val="28"/>
          <w:szCs w:val="28"/>
        </w:rPr>
        <w:t>成交</w:t>
      </w:r>
      <w:r>
        <w:rPr>
          <w:rFonts w:hint="eastAsia" w:ascii="宋体" w:hAnsi="宋体" w:eastAsia="宋体" w:cs="宋体"/>
          <w:b w:val="0"/>
          <w:bCs w:val="0"/>
          <w:color w:val="000000" w:themeColor="text1"/>
          <w:sz w:val="28"/>
          <w:szCs w:val="28"/>
          <w:lang w:val="en-US" w:eastAsia="zh-CN"/>
        </w:rPr>
        <w:t>单</w:t>
      </w:r>
      <w:r>
        <w:rPr>
          <w:rFonts w:hint="eastAsia" w:ascii="宋体" w:hAnsi="宋体" w:eastAsia="宋体" w:cs="宋体"/>
          <w:b w:val="0"/>
          <w:bCs w:val="0"/>
          <w:color w:val="000000" w:themeColor="text1"/>
          <w:sz w:val="28"/>
          <w:szCs w:val="28"/>
        </w:rPr>
        <w:t>价×</w:t>
      </w:r>
      <w:r>
        <w:rPr>
          <w:rFonts w:hint="eastAsia" w:ascii="宋体" w:hAnsi="宋体" w:eastAsia="宋体" w:cs="宋体"/>
          <w:b w:val="0"/>
          <w:bCs w:val="0"/>
          <w:color w:val="000000" w:themeColor="text1"/>
          <w:sz w:val="28"/>
          <w:szCs w:val="28"/>
          <w:lang w:val="en-US" w:eastAsia="zh-CN"/>
        </w:rPr>
        <w:t>29</w:t>
      </w:r>
      <w:r>
        <w:rPr>
          <w:rFonts w:hint="eastAsia" w:ascii="宋体" w:hAnsi="宋体" w:eastAsia="宋体" w:cs="宋体"/>
          <w:b w:val="0"/>
          <w:bCs w:val="0"/>
          <w:color w:val="000000" w:themeColor="text1"/>
          <w:sz w:val="28"/>
          <w:szCs w:val="28"/>
        </w:rPr>
        <w:t>×</w:t>
      </w:r>
      <w:r>
        <w:rPr>
          <w:rFonts w:hint="eastAsia" w:ascii="宋体" w:hAnsi="宋体" w:cs="宋体"/>
          <w:b w:val="0"/>
          <w:bCs w:val="0"/>
          <w:color w:val="000000" w:themeColor="text1"/>
          <w:sz w:val="28"/>
          <w:szCs w:val="28"/>
          <w:lang w:val="en-US" w:eastAsia="zh-CN"/>
        </w:rPr>
        <w:t>12</w:t>
      </w:r>
      <w:r>
        <w:rPr>
          <w:rFonts w:hint="eastAsia" w:ascii="宋体" w:hAnsi="宋体" w:eastAsia="宋体" w:cs="宋体"/>
          <w:b w:val="0"/>
          <w:bCs w:val="0"/>
          <w:color w:val="000000" w:themeColor="text1"/>
          <w:sz w:val="28"/>
          <w:szCs w:val="28"/>
        </w:rPr>
        <w:t>×</w:t>
      </w:r>
      <w:r>
        <w:rPr>
          <w:rFonts w:hint="eastAsia" w:ascii="宋体" w:hAnsi="宋体" w:cs="宋体"/>
          <w:b w:val="0"/>
          <w:bCs w:val="0"/>
          <w:color w:val="000000" w:themeColor="text1"/>
          <w:sz w:val="28"/>
          <w:szCs w:val="28"/>
          <w:lang w:val="en-US" w:eastAsia="zh-CN"/>
        </w:rPr>
        <w:t>2，</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b/>
          <w:bCs/>
          <w:color w:val="0000FF"/>
          <w:sz w:val="28"/>
          <w:szCs w:val="28"/>
          <w:lang w:val="en-US" w:eastAsia="zh-CN"/>
        </w:rPr>
        <w:t>根据双方合同及实际服务内容按季进行结算。成交人需凭增值税专用发票向委托人申请支付相应款项。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200元（含）/台以内电梯零部件、劳务费、工作服、社医保、意外险、税费、用品用具、</w:t>
      </w:r>
      <w:r>
        <w:rPr>
          <w:rFonts w:hint="eastAsia" w:ascii="宋体" w:hAnsi="宋体" w:eastAsia="宋体" w:cs="宋体"/>
          <w:color w:val="auto"/>
          <w:sz w:val="28"/>
          <w:szCs w:val="28"/>
          <w:lang w:val="en-US" w:eastAsia="zh-CN"/>
        </w:rPr>
        <w:t>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360" w:lineRule="auto"/>
        <w:ind w:firstLine="883"/>
        <w:jc w:val="both"/>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ind w:firstLine="883"/>
        <w:jc w:val="both"/>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360" w:lineRule="auto"/>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3</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“权益云</w:t>
      </w:r>
      <w:r>
        <w:rPr>
          <w:rFonts w:hint="eastAsia" w:ascii="宋体" w:hAnsi="宋体" w:eastAsia="宋体" w:cs="宋体"/>
          <w:color w:val="0000FF"/>
          <w:sz w:val="28"/>
          <w:szCs w:val="28"/>
          <w:lang w:val="en-US" w:eastAsia="zh-CN"/>
        </w:rPr>
        <w:t>反</w:t>
      </w:r>
      <w:r>
        <w:rPr>
          <w:rFonts w:hint="eastAsia" w:ascii="宋体" w:hAnsi="宋体" w:eastAsia="宋体" w:cs="宋体"/>
          <w:color w:val="0000FF"/>
          <w:sz w:val="28"/>
          <w:szCs w:val="28"/>
        </w:rPr>
        <w:t>向</w:t>
      </w:r>
      <w:r>
        <w:rPr>
          <w:rFonts w:hint="eastAsia" w:ascii="宋体" w:hAnsi="宋体" w:eastAsia="宋体" w:cs="宋体"/>
          <w:color w:val="000000"/>
          <w:sz w:val="28"/>
          <w:szCs w:val="28"/>
        </w:rPr>
        <w:t>一次报价”</w:t>
      </w:r>
      <w:r>
        <w:rPr>
          <w:rFonts w:hint="eastAsia" w:ascii="宋体" w:hAnsi="宋体" w:eastAsia="宋体" w:cs="宋体"/>
          <w:color w:val="auto"/>
          <w:sz w:val="28"/>
          <w:szCs w:val="28"/>
          <w:u w:val="single"/>
          <w:lang w:val="en-US" w:eastAsia="zh-CN"/>
        </w:rPr>
        <w:t>连城工业园区各厂房及生活区电梯维保服务采购项目（2025-2027年）</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LCCQJJ20251103-1</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w:t>
      </w:r>
      <w:bookmarkStart w:id="0" w:name="_GoBack"/>
      <w:bookmarkEnd w:id="0"/>
      <w:r>
        <w:rPr>
          <w:rFonts w:hint="eastAsia" w:ascii="宋体" w:hAnsi="宋体" w:eastAsia="宋体" w:cs="宋体"/>
          <w:color w:val="000000"/>
          <w:sz w:val="28"/>
          <w:szCs w:val="28"/>
        </w:rPr>
        <w:t>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pageBreakBefore w:val="0"/>
        <w:kinsoku/>
        <w:wordWrap/>
        <w:overflowPunct/>
        <w:topLinePunct w:val="0"/>
        <w:autoSpaceDE/>
        <w:autoSpaceDN/>
        <w:bidi w:val="0"/>
        <w:adjustRightInd/>
        <w:spacing w:before="0" w:after="0" w:line="360" w:lineRule="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rPr>
          <w:rFonts w:hint="eastAsia" w:ascii="宋体" w:hAnsi="宋体" w:eastAsia="宋体" w:cs="宋体"/>
          <w:color w:val="000000"/>
          <w:sz w:val="28"/>
          <w:szCs w:val="28"/>
        </w:rPr>
      </w:pPr>
    </w:p>
    <w:p>
      <w:pPr>
        <w:pStyle w:val="2"/>
        <w:pageBreakBefore w:val="0"/>
        <w:kinsoku/>
        <w:wordWrap/>
        <w:overflowPunct/>
        <w:topLinePunct w:val="0"/>
        <w:autoSpaceDE/>
        <w:autoSpaceDN/>
        <w:bidi w:val="0"/>
        <w:adjustRightInd/>
        <w:spacing w:before="0" w:after="0" w:line="360" w:lineRule="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rPr>
          <w:rFonts w:hint="eastAsia" w:ascii="宋体" w:hAnsi="宋体" w:eastAsia="宋体" w:cs="宋体"/>
          <w:color w:val="000000"/>
          <w:sz w:val="28"/>
          <w:szCs w:val="28"/>
        </w:rPr>
      </w:pPr>
    </w:p>
    <w:p>
      <w:pPr>
        <w:pStyle w:val="2"/>
        <w:pageBreakBefore w:val="0"/>
        <w:kinsoku/>
        <w:wordWrap/>
        <w:overflowPunct/>
        <w:topLinePunct w:val="0"/>
        <w:autoSpaceDE/>
        <w:autoSpaceDN/>
        <w:bidi w:val="0"/>
        <w:adjustRightInd/>
        <w:spacing w:before="0" w:after="0" w:line="360" w:lineRule="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服务合同</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签订合同应遵守《中华人民共和国民法典》等法律法规。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使用单位（甲方）：连城县工贸发展有限公司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维保单位（乙方）：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为贯彻“安全生产，预防为主”的方针，保障电梯安全运行，防止事故发生，依照《中华人民共和民法典》、《中华人民共和国特种设备安全法》、《特种设备安全监察条例》、《电梯维护保养规则》（TSG T5002-2017）等规定，遵循平等、自愿、公平和诚实信用的原则，经甲乙双方协商订立本合同。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第一条  乙方为本合同《电梯保养时间和保养费明细表》（附件1）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第二条  双方约定维护保养的电梯的具体处所：工业园区各厂房及生活区约29台电梯的维保服务（包含货梯及客梯），具体数量以实际维保数量为准。合同期服务内涉及新增或减少电梯数量的，维保服务费用按实际维保电梯数量*成交单价进行结算。</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第三条  乙方提供维保服务的方式：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半包：提供维保所需工具和劳务，并免费提供200元（含）/台以内电梯零部件，进水及人为损坏除外。</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乙方应提供本合同电梯设备保养和维修所需零部件的价格和人工费用明细表，经甲方确认后作为合同附件。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第四条  维保期限：</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本合同约定维保期限自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日止。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第五条  维保费用</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暂定29台电梯，合同期维保费：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元/月/台，总计人民币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元整。合同期服务内涉及新增或减少电梯数量的，维保服务费用按实际维保电梯数量*成交单价进行结算。</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第六条 结算</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1、甲方按季支付维保费，具体支付时间和金额为：每三个月为一期，每期费用为人民币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元整（详见附件1），支付时间为每一期的最后一个月收到乙方出具的发票的10个工作日内。</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 xml:space="preserve">    2、甲方需支付零部件费用的，按月支付，支付时间为当次维保结束后的十个工作日之内。</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3、支付方式：汇到乙方指定账户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户名：</w:t>
      </w:r>
      <w:r>
        <w:rPr>
          <w:rFonts w:hint="eastAsia" w:ascii="宋体" w:hAnsi="宋体" w:eastAsia="宋体" w:cs="宋体"/>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开户行：</w:t>
      </w:r>
      <w:r>
        <w:rPr>
          <w:rFonts w:hint="eastAsia" w:ascii="宋体" w:hAnsi="宋体" w:eastAsia="宋体" w:cs="宋体"/>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账号：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第七条  甲方权利、义务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1、权利</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（1）有权监督检查乙方依照合同约定实施维保计划的情况，监督经乙方维保后的电梯是否符合法律法规、安全技术规范、强制性标准和电梯制造单位的技术要求，监督电梯安全性能是否良好。</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（3）乙方的维护保养达不到合同约定的维护保养标准或要求的，甲方有权拒绝在维护保养记录上签字。</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（4）除国家规定的法定监督检验与定期检验外，有权委托特种设备检验机构或第三方中介机构对乙方按照合同约定实施维保工作的情况进行评定。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2、义务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（1）建立电梯安全运行的相关管理机构、制度，确保制度、人员、资金落实到位。</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（2）按照合同约定按期支付维保和零部件款。</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（4）督促电梯安全管理人员现场监督检查乙方的电梯保养工作过程和结果、对乙方的维保记录、修理记录签字确认，签收乙方提交的与电梯维保工作有关的文件。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（6）制订有关电梯的应急救援预案（如：电梯困人、消防、电梯水浸、自动扶梯人身伤害等）。每年至少开展一次应急救援演练，确保应急系统运行有效。</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（7）保证电梯供电、消防、防雷、通风等系统安全可靠，满足国家标准规定。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为乙方提供维保所需的工作环境。保证机房、井道、底坑无漏水、渗水现象。通往机房、底坑、滑轮间、井道安全门的通道畅通、照明充分；确保作业环境中应由甲方提供的安全防护措施到位，避免无关人员进入。</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（9）采取有效措施监控电梯使用情况，积极主动开展文明乘梯宣传活动，及时制止乘客不文明乘梯行为或恶意破坏电梯的行为。</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（10）未经乙方书面许可不得允许非乙方人员从事与电梯维保有关的工作。</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（11）应认真审核乙方书面提出的更换电梯零部件要求，并在乙方书面要求的期限内书面予以答复。</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（12）在电梯使用标志所标注的下次检验日期前１个月，向特种设备检验机构提出定期检验申请。</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（13）电梯因不可抗拒因素（如战争、火灾、水浸、风暴和地震等）所造成设备损坏、丢失的，自行承担全部责任。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第八条 乙方权利、义务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1、权利</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（1）有权要求甲方提供维保所需的工作环境，查询电梯相关资料。</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（2）当电梯存在事故隐患时，乙方有权采取停梯措施及阻止冒险作业的权利。</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（3）有权拒绝甲方提出的影响电梯安全运行的要求。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2、义务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（1）按照《电梯使用管理与维护保养规则》（TSG T5001-2009）并根据电梯的使用情况和设备状况，经双方协商确认后，提供全年保养计划和各项定期保养计划的具体实施时间表。每台每次保养时间不得少于合同约定的相应最少保养时间。如需调整原保养计划，应提前 5 日通知甲方并经甲方同意后方可调整，但应保证保养时间间隔不得超过15日；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对其维保的电梯安全性能负责。应当在本合同签订后对电梯是否符合安全技术规范要求进行确认，发现上个维保周期中电梯存在安全隐患的，应书面通知使用单位，并及时进行维修。维保后的电梯应当符合相应的安全技术规范，并且处于正常的运行状态。</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（3）乙方提供24小时的紧急救援服务，乙方维保负责人: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24小时紧急救援服务热线电话：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当电梯发生困人故障，乙方应在接到甲方通知后15分钟内赶赴现场实施紧急救援，若因超出该时间造成的人员伤亡事故，由乙方负责（进水、人为及不可抗力因素除外）；电梯发生其他故障，乙方应在接到甲方通知后30分钟内赶到现场实施抢修。维保人员在出现电梯安全故障时未在15分钟内赶赴现场排除故障且遭到投诉的，按500元/次扣罚服务费；若出现3次及以上的投诉情况发生的，视为视为乙方违约，甲方有权解除合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（4）服务期内乙方应承担所维保电梯的年检工作。</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（6）作业过程中应服从甲方现场安全管理，落实现场安全防护措施，保证作业安全。需要安全监护作业的内容应书面告知甲方.</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（7）现场需采取停梯措施时，应立即通知甲方并及时组织抢修。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（8）根据甲方的故障统计记录，乙方应至少每季度一次提出故障分析报告。报告中应包含电梯故障的统计分析、整改措施和预防措施，以及有关电梯使用管理的合理化建议。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（9）乙方应当配合电梯检验检测机构开展电梯定期检验，并参与电梯安全管理活动。负责完成年检中发现的属于电梯本体安全隐患的整改工作。</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（10）乙方应在每年1月31日前向所在地市级特种设备监察机构报备本单位所承担维保电梯清单，如维保情况有变动，在变动后5个工作日内申报变动情况。</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（11）乙方应在维保后3日内将规定格式的电梯维保记录，张贴在电梯轿厢、电梯过道、小区公告栏或在轿厢内电子显示屏内滚动公示，接受用户监督。此外，需将维保记录公示情况拍照留存备查。</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（12）乙方应当妥善保管电梯图纸及相关资料，并在合同终止后交还甲方。应当协助甲方建立健全安全管理制度、安全技术档案、应急救援预案，配合甲方开展应急救援演练。</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（13）应按照福建省特种设备协会拟定的《福建省电梯维保行业自律公约》及《电梯维护保养最低成本指导价》要求对使用单位进行维保价格公示。同时与甲方签订合同中日常保养期限不能少于一年。</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（14）乙方不得以任何形式将维保工作非法分包、转包。</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应保持电梯机房卫生及电梯设备完好整洁，电梯年检时，乙方应积极配合年检工作以确认电梯年检顺利通过，如若因乙方维保不当导致年检不合格，则产生的复检费用由乙方承担，且负责完成年检中发现的整改项。</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第九条  其他约定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1、乙方已于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日对本合同约定的电梯进行了详细的检查，检查结果应经甲方签字确认，并作为电梯现状记录由甲、乙双方保存。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2、甲方要求乙方提供本合同约定内容以外服务的，如强化保养、增加保养频次、安全保障需求、驻场作业服务、增加检测内容和频次等，双方均应以书面形式另行约定。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3、维保记录是记载电梯运行、维护、保养的依据。每台电梯均应当建立独立的维保记录。维保记录应当一式两份，甲乙双方各保存一份，保存时间为4 年。维修与抢修记录均应当长期保存。</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4、根据电梯的现状，甲乙双方约定非使用原因导致的电梯困人故障次数每月每台电梯不超过2次。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第十条  违约责任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1、一方当事人未按约定履行义务给对方造成直接损失的，应当承担相应责任。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2、一方当事人无法继续履行合同，应当及时通知对方，并承担因合同解除而给对方造成的直接经济损失。</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甲方无正当理由未按照约定期限支付费用的，经双方确认为无正当理由每延误一日应当向乙方支付延误部分费用万分之二的违约金。超过双方约定期限三十日时，本合同自动终止，赔偿事项依照合同法规定执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4、合同期内甲方违反约定允许非乙方人员从事电梯维保工作的，应当按照每台每月费用10%标准支付违约金。</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5、因电梯使用管理原因（非电梯维保原因）导致人身伤亡或设备损坏、零部件丢失的，由甲方自行承担全部责任。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6、若未按乙方的书面要求同意更换应该更换的电梯零部件而导致电梯故障或存在安全隐患的，由甲方自行承担责任。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7、乙方违反约定，作业过程中未服从甲方现场安全管理落实现场安全防护措施，或需要安全监护的作业时作业人员只有一人，或保养时间不足，甲方可拒付当次作业或保养的当台当月保养费。</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8、乙方维保工作不符合合同约定的维保标准或要求的，乙方应当返工，并按照本每台每月费用10%标准支付违约金。返工2次（含）以上的，扣除该台单月维保费。</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9、在电梯维保作业过程中因维保原因导致自身或他人的人身伤亡或设备损坏、零部件丢失的，由乙方承担全部民事责任。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10、因维保原因导致电梯检验不合格的，由乙方承担电梯复检费用100%。</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11、乙方不能按约定及时提供保养或救援服务，延误2次（含）以上的，甲方可解除合同。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12、乙方将本合同约定的事项进行转包或者分包的，甲方有权解除合同，若对甲方造成损失的，还应当赔偿对甲方造成的损失。</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13、甲方因乙方违约而维权的费用（代理费、保全费等），由乙方承担。</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第十一条  合同的解除</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1、甲乙双方协商一致，可以解除合同。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2、任何一方违约导致合同无法继续履行的，另一方可以解除合同。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第十二条  争议解决方式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本合同在履行过程中发生的争议，由双方当事人协商解决，协商不成的，向连城县人民法院起诉。</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第十三条  附则</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本合同生效后，双方对合同内容的变更或补充应采取书面形式，并经双方签字盖章确认，作为本合同的附件。附件与本合同具有同等的法律效力。</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本合同一式叁份，甲方执贰份，乙方执壹份，具有同等效力。</w:t>
      </w:r>
    </w:p>
    <w:tbl>
      <w:tblPr>
        <w:tblStyle w:val="10"/>
        <w:tblW w:w="4990" w:type="pc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673"/>
        <w:gridCol w:w="1605"/>
        <w:gridCol w:w="1399"/>
        <w:gridCol w:w="10"/>
        <w:gridCol w:w="1409"/>
        <w:gridCol w:w="6"/>
        <w:gridCol w:w="1798"/>
        <w:gridCol w:w="18"/>
        <w:gridCol w:w="1350"/>
        <w:gridCol w:w="1489"/>
        <w:gridCol w:w="2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gridAfter w:val="1"/>
          <w:wAfter w:w="13" w:type="pct"/>
          <w:trHeight w:val="340" w:hRule="atLeast"/>
        </w:trPr>
        <w:tc>
          <w:tcPr>
            <w:tcW w:w="344" w:type="pct"/>
            <w:tcBorders>
              <w:top w:val="single" w:color="auto" w:sz="6" w:space="0"/>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单位名称</w:t>
            </w:r>
          </w:p>
        </w:tc>
        <w:tc>
          <w:tcPr>
            <w:tcW w:w="3821" w:type="pct"/>
            <w:gridSpan w:val="8"/>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(盖章)</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gridAfter w:val="1"/>
          <w:wAfter w:w="13" w:type="pct"/>
          <w:trHeight w:val="340"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甲</w:t>
            </w: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负责人</w:t>
            </w:r>
          </w:p>
        </w:tc>
        <w:tc>
          <w:tcPr>
            <w:tcW w:w="2362" w:type="pct"/>
            <w:gridSpan w:val="5"/>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699"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经办人</w:t>
            </w:r>
          </w:p>
        </w:tc>
        <w:tc>
          <w:tcPr>
            <w:tcW w:w="76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gridAfter w:val="1"/>
          <w:wAfter w:w="13" w:type="pct"/>
          <w:trHeight w:val="1107"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保养电</w:t>
            </w:r>
          </w:p>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梯地址</w:t>
            </w:r>
          </w:p>
        </w:tc>
        <w:tc>
          <w:tcPr>
            <w:tcW w:w="3821" w:type="pct"/>
            <w:gridSpan w:val="8"/>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gridAfter w:val="1"/>
          <w:wAfter w:w="13" w:type="pct"/>
          <w:trHeight w:val="340"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电    话</w:t>
            </w:r>
          </w:p>
        </w:tc>
        <w:tc>
          <w:tcPr>
            <w:tcW w:w="715"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725"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传  真</w:t>
            </w:r>
          </w:p>
        </w:tc>
        <w:tc>
          <w:tcPr>
            <w:tcW w:w="921"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699"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邮政编码</w:t>
            </w:r>
          </w:p>
        </w:tc>
        <w:tc>
          <w:tcPr>
            <w:tcW w:w="76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gridAfter w:val="1"/>
          <w:wAfter w:w="13" w:type="pct"/>
          <w:trHeight w:val="340"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方</w:t>
            </w: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开户银行</w:t>
            </w:r>
          </w:p>
        </w:tc>
        <w:tc>
          <w:tcPr>
            <w:tcW w:w="1440" w:type="pct"/>
            <w:gridSpan w:val="3"/>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921"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账   号</w:t>
            </w:r>
          </w:p>
        </w:tc>
        <w:tc>
          <w:tcPr>
            <w:tcW w:w="1459" w:type="pct"/>
            <w:gridSpan w:val="3"/>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gridAfter w:val="1"/>
          <w:wAfter w:w="13" w:type="pct"/>
          <w:trHeight w:val="340" w:hRule="atLeast"/>
        </w:trPr>
        <w:tc>
          <w:tcPr>
            <w:tcW w:w="344" w:type="pct"/>
            <w:tcBorders>
              <w:top w:val="nil"/>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税   号</w:t>
            </w:r>
          </w:p>
        </w:tc>
        <w:tc>
          <w:tcPr>
            <w:tcW w:w="3821" w:type="pct"/>
            <w:gridSpan w:val="8"/>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344" w:type="pct"/>
            <w:tcBorders>
              <w:top w:val="single" w:color="auto" w:sz="6" w:space="0"/>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单位名称</w:t>
            </w:r>
          </w:p>
        </w:tc>
        <w:tc>
          <w:tcPr>
            <w:tcW w:w="3834" w:type="pct"/>
            <w:gridSpan w:val="9"/>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乙</w:t>
            </w: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负 责 人</w:t>
            </w:r>
          </w:p>
        </w:tc>
        <w:tc>
          <w:tcPr>
            <w:tcW w:w="720"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723"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审 核 人</w:t>
            </w:r>
          </w:p>
        </w:tc>
        <w:tc>
          <w:tcPr>
            <w:tcW w:w="927"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689"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经办人</w:t>
            </w:r>
          </w:p>
        </w:tc>
        <w:tc>
          <w:tcPr>
            <w:tcW w:w="773"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联系地址</w:t>
            </w:r>
          </w:p>
        </w:tc>
        <w:tc>
          <w:tcPr>
            <w:tcW w:w="3834" w:type="pct"/>
            <w:gridSpan w:val="9"/>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电    话</w:t>
            </w:r>
          </w:p>
        </w:tc>
        <w:tc>
          <w:tcPr>
            <w:tcW w:w="720"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723"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传   真</w:t>
            </w:r>
          </w:p>
        </w:tc>
        <w:tc>
          <w:tcPr>
            <w:tcW w:w="927"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689"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邮政编码</w:t>
            </w:r>
          </w:p>
        </w:tc>
        <w:tc>
          <w:tcPr>
            <w:tcW w:w="773"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344" w:type="pct"/>
            <w:tcBorders>
              <w:top w:val="nil"/>
              <w:left w:val="single" w:color="auto" w:sz="6" w:space="0"/>
              <w:bottom w:val="nil"/>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方</w:t>
            </w: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开户银行</w:t>
            </w:r>
          </w:p>
        </w:tc>
        <w:tc>
          <w:tcPr>
            <w:tcW w:w="1443" w:type="pct"/>
            <w:gridSpan w:val="4"/>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927"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账   号</w:t>
            </w:r>
          </w:p>
        </w:tc>
        <w:tc>
          <w:tcPr>
            <w:tcW w:w="1463" w:type="pct"/>
            <w:gridSpan w:val="3"/>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344" w:type="pct"/>
            <w:tcBorders>
              <w:top w:val="nil"/>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820"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投诉地址</w:t>
            </w:r>
          </w:p>
        </w:tc>
        <w:tc>
          <w:tcPr>
            <w:tcW w:w="2371" w:type="pct"/>
            <w:gridSpan w:val="6"/>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c>
          <w:tcPr>
            <w:tcW w:w="689" w:type="pct"/>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投诉电话</w:t>
            </w:r>
          </w:p>
        </w:tc>
        <w:tc>
          <w:tcPr>
            <w:tcW w:w="773" w:type="pct"/>
            <w:gridSpan w:val="2"/>
            <w:tcBorders>
              <w:top w:val="single" w:color="auto" w:sz="6" w:space="0"/>
              <w:left w:val="single" w:color="auto" w:sz="6" w:space="0"/>
              <w:bottom w:val="single" w:color="auto" w:sz="6" w:space="0"/>
              <w:right w:val="single" w:color="auto" w:sz="6"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p>
        </w:tc>
      </w:tr>
    </w:tbl>
    <w:p>
      <w:pPr>
        <w:pStyle w:val="2"/>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签订日期： 年 月 日</w:t>
      </w:r>
    </w:p>
    <w:p>
      <w:pPr>
        <w:pStyle w:val="2"/>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签订地点：连城县工贸发展有限公司</w:t>
      </w:r>
    </w:p>
    <w:p>
      <w:pPr>
        <w:pStyle w:val="2"/>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附件1： 电梯保养时间及保养费明细表</w:t>
      </w:r>
    </w:p>
    <w:tbl>
      <w:tblPr>
        <w:tblStyle w:val="10"/>
        <w:tblpPr w:leftFromText="180" w:rightFromText="180" w:vertAnchor="text" w:horzAnchor="page" w:tblpXSpec="center" w:tblpY="794"/>
        <w:tblOverlap w:val="never"/>
        <w:tblW w:w="44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05"/>
        <w:gridCol w:w="885"/>
        <w:gridCol w:w="795"/>
        <w:gridCol w:w="1155"/>
        <w:gridCol w:w="847"/>
        <w:gridCol w:w="576"/>
        <w:gridCol w:w="720"/>
        <w:gridCol w:w="675"/>
        <w:gridCol w:w="69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vMerge w:val="restar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序号</w:t>
            </w:r>
          </w:p>
        </w:tc>
        <w:tc>
          <w:tcPr>
            <w:tcW w:w="397" w:type="pct"/>
            <w:vMerge w:val="restar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梯号</w:t>
            </w:r>
          </w:p>
        </w:tc>
        <w:tc>
          <w:tcPr>
            <w:tcW w:w="498" w:type="pct"/>
            <w:vMerge w:val="restar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出厂</w:t>
            </w:r>
          </w:p>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编号</w:t>
            </w:r>
          </w:p>
        </w:tc>
        <w:tc>
          <w:tcPr>
            <w:tcW w:w="447" w:type="pct"/>
            <w:vMerge w:val="restar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规格型号</w:t>
            </w:r>
          </w:p>
        </w:tc>
        <w:tc>
          <w:tcPr>
            <w:tcW w:w="650" w:type="pct"/>
            <w:vMerge w:val="restar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（层/站/门）</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安装</w:t>
            </w:r>
          </w:p>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地点</w:t>
            </w:r>
          </w:p>
        </w:tc>
        <w:tc>
          <w:tcPr>
            <w:tcW w:w="1498" w:type="pct"/>
            <w:gridSpan w:val="4"/>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保养时间(分钟)</w:t>
            </w:r>
          </w:p>
        </w:tc>
        <w:tc>
          <w:tcPr>
            <w:tcW w:w="648" w:type="pct"/>
            <w:vMerge w:val="restar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保养金额（元/月）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vMerge w:val="continue"/>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97" w:type="pct"/>
            <w:vMerge w:val="continue"/>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vMerge w:val="continue"/>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vMerge w:val="continue"/>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vMerge w:val="continue"/>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半月</w:t>
            </w: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季度</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半年</w:t>
            </w: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一年</w:t>
            </w:r>
          </w:p>
        </w:tc>
        <w:tc>
          <w:tcPr>
            <w:tcW w:w="6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p>
        </w:tc>
        <w:tc>
          <w:tcPr>
            <w:tcW w:w="39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9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5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24"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51" w:type="pct"/>
            <w:gridSpan w:val="10"/>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共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台，保养金额合计：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元整</w:t>
            </w: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before="0" w:after="0" w:line="360" w:lineRule="auto"/>
              <w:ind w:firstLine="560" w:firstLineChars="200"/>
              <w:jc w:val="center"/>
              <w:textAlignment w:val="auto"/>
              <w:rPr>
                <w:rFonts w:hint="eastAsia" w:ascii="宋体" w:hAnsi="宋体" w:eastAsia="宋体" w:cs="宋体"/>
                <w:b w:val="0"/>
                <w:bCs w:val="0"/>
                <w:sz w:val="28"/>
                <w:szCs w:val="28"/>
                <w:lang w:eastAsia="zh-CN"/>
              </w:rPr>
            </w:pPr>
          </w:p>
        </w:tc>
      </w:tr>
    </w:tbl>
    <w:p>
      <w:pPr>
        <w:pStyle w:val="2"/>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p>
    <w:p>
      <w:pPr>
        <w:pStyle w:val="2"/>
        <w:pageBreakBefore w:val="0"/>
        <w:kinsoku/>
        <w:wordWrap/>
        <w:overflowPunct/>
        <w:topLinePunct w:val="0"/>
        <w:autoSpaceDE/>
        <w:autoSpaceDN/>
        <w:bidi w:val="0"/>
        <w:adjustRightInd/>
        <w:spacing w:before="0" w:after="0" w:line="360" w:lineRule="auto"/>
        <w:rPr>
          <w:rFonts w:hint="eastAsia" w:ascii="宋体" w:hAnsi="宋体" w:eastAsia="宋体" w:cs="宋体"/>
          <w:sz w:val="28"/>
          <w:szCs w:val="28"/>
        </w:rPr>
      </w:pPr>
    </w:p>
    <w:p>
      <w:pPr>
        <w:pStyle w:val="2"/>
        <w:pageBreakBefore w:val="0"/>
        <w:kinsoku/>
        <w:wordWrap/>
        <w:overflowPunct/>
        <w:topLinePunct w:val="0"/>
        <w:autoSpaceDE/>
        <w:autoSpaceDN/>
        <w:bidi w:val="0"/>
        <w:adjustRightInd/>
        <w:spacing w:before="0" w:after="0" w:line="360" w:lineRule="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rPr>
          <w:rFonts w:hint="eastAsia"/>
        </w:rPr>
      </w:pPr>
    </w:p>
    <w:sectPr>
      <w:footerReference r:id="rId5"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r>
      <w:pict>
        <v:shape id="文本框 2" o:spid="_x0000_s4098" o:spt="202" type="#_x0000_t202" style="position:absolute;left:0pt;margin-top:0pt;height:12.05pt;width:5.3pt;mso-position-horizontal:center;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muNJz8wBAACWAwAADgAAAAAAAAABACAAAAAfAQAAZHJzL2Uy&#10;b0RvYy54bWxQSwUGAAAAAAYABgBZAQAAXQU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47066C"/>
    <w:rsid w:val="348738A9"/>
    <w:rsid w:val="34F32AC5"/>
    <w:rsid w:val="36070CBD"/>
    <w:rsid w:val="366756A0"/>
    <w:rsid w:val="371B5B3B"/>
    <w:rsid w:val="3741602B"/>
    <w:rsid w:val="38A87E0A"/>
    <w:rsid w:val="39C752B8"/>
    <w:rsid w:val="3A0C4B4E"/>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12189</Words>
  <Characters>13403</Characters>
  <Lines>4</Lines>
  <Paragraphs>7</Paragraphs>
  <TotalTime>1</TotalTime>
  <ScaleCrop>false</ScaleCrop>
  <LinksUpToDate>false</LinksUpToDate>
  <CharactersWithSpaces>13715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2025-10-28T01:06:14Z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