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LCCQJJ20251204</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2025年12月4日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2025年12月4日</w:t>
      </w:r>
      <w:r>
        <w:rPr>
          <w:rFonts w:hint="eastAsia" w:ascii="宋体" w:hAnsi="宋体" w:eastAsia="宋体" w:cs="宋体"/>
          <w:color w:val="auto"/>
          <w:sz w:val="28"/>
          <w:szCs w:val="28"/>
          <w:lang w:val="en-US" w:eastAsia="zh-CN"/>
        </w:rPr>
        <w:t>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福地水厂及各乡镇水厂水质在线监测设施设备运维服务项目</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（一）余氯在线监测仪运行维护操作步骤</w:t>
      </w:r>
      <w:r>
        <w:rPr>
          <w:rFonts w:hint="eastAsia" w:ascii="宋体" w:hAnsi="宋体" w:eastAsia="宋体" w:cs="宋体"/>
          <w:b w:val="0"/>
          <w:bCs w:val="0"/>
          <w:color w:val="0000FF"/>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（1）定期维护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更换新试剂：缓冲溶液和指示剂溶液可以持续使用约1个月。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替换泵管道：在一段时间内，泵/阀模块的夹压作用将使管道变软，使管道导致破裂和阻塞液流。在温度较高时，这种破裂会加速进行。基于四周环境温度，推荐采用下列替换时间表：间隔3个月更换一次。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（2）不定时维护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①替换保险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②清洗仪器外壳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③清洗比色池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比色池的测量室可积累沉积物或在室壁内侧形成一层薄膜，使用酸溶液和棉花签进行清洗。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（二）PH在线监测仪运行维护操作步骤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（1）清洗仪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①在接线盒安全关闭的情况下，用湿抹布擦拭机箱外部。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②周期性的清洁传感器。清洗的时间间隔受测量溶液性质影响，并且只能靠操作经验来确定。水质越脏，清洁的周期要越短。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（2）日常校准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①校准周期根据仪表的测量介质和使用效果而调整，典型情况下一个月一次。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②在使用新的传感器时，为了获得最佳效果，成交人一定要在校准之前让样品流过测量室10小时。为了能对pH电极进行精确校准，必须使用两点校准方法。使用pH值为4和6.86的缓冲溶液。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（三）浊度在线监测仪运行维护操作步骤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（1）测量小瓶的清洗：测量小瓶的清洗频度取决于溶解于或悬浮于试样中的各种固体的性质和浓度。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清洗浊度计：在持续使用后浊度计本体内部可能聚积沉淀物。读数中的噪声（波动）会指示中必须清洗本体及。成交人在每次进行校正之前进行浊度计排液和清洗。须确定一个定期实施的日程表或者根据目检决定是否进行清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（四）总锰在线监测仪运行维护操作步骤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0" w:name="_Toc7961"/>
      <w:r>
        <w:rPr>
          <w:rFonts w:hint="eastAsia" w:ascii="宋体" w:hAnsi="宋体" w:eastAsia="宋体" w:cs="宋体"/>
          <w:b w:val="0"/>
          <w:bCs w:val="0"/>
          <w:color w:val="0000FF"/>
          <w:sz w:val="28"/>
          <w:szCs w:val="28"/>
          <w:lang w:val="en-US" w:eastAsia="zh-CN"/>
        </w:rPr>
        <w:t>（1）例行维护</w:t>
      </w:r>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为保证仪器正常运行，尽早排除故障隐患，成交人应定期对仪器进行系统的日常例行检查。例行检查的项目和建议的检查频次见下表。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日常例行检查项目表</w:t>
      </w:r>
    </w:p>
    <w:tbl>
      <w:tblPr>
        <w:tblStyle w:val="10"/>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210"/>
        <w:gridCol w:w="4121"/>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例行检查项目</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检查内容</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建议频次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仪器外观是否清洁</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外观清洁</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蒸馏水、试剂剩余量</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试剂的填充</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废液的回收</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废液的处理</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计量部分、储液环是否有污浊、堵塞</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清洁、无异物</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液位传感器指示灯是否正常</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有液体时灯亮、无液体时灯灭</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有无漏液、腐蚀现象</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管路及管路各接口处是否有液体渗漏、腐蚀现象</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测定模块是否正常</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比色管清洁、无异物附着；发光二极管光强正常</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多位阀是否正常</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多位阀的阀口转动灵敏、无堵塞</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蠕动泵泵管是否有老化、粘结、卷入现象</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泵管颜色正常、无老化，泵管无粘结、卷入现象</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蠕动泵转动时是否有刺耳噪音</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蠕动泵转动时无刺耳噪音</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时间设置是否正确</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时间、日期正确</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外接泵过滤网是否需要清洁</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干净、无污物</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采样管内壁是否很脏、需要清洗</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干净、无污物</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测量电源220VAC实际输入电压</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220VAC</w:t>
            </w:r>
            <w:r>
              <w:rPr>
                <w:rFonts w:hint="eastAsia" w:ascii="宋体" w:hAnsi="宋体" w:eastAsia="宋体" w:cs="宋体"/>
                <w:b w:val="0"/>
                <w:bCs w:val="0"/>
                <w:color w:val="0000FF"/>
                <w:sz w:val="28"/>
                <w:szCs w:val="28"/>
                <w:lang w:val="en-US" w:eastAsia="zh-CN"/>
              </w:rPr>
              <w:sym w:font="Symbol" w:char="F0B1"/>
            </w:r>
            <w:r>
              <w:rPr>
                <w:rFonts w:hint="eastAsia" w:ascii="宋体" w:hAnsi="宋体" w:eastAsia="宋体" w:cs="宋体"/>
                <w:b w:val="0"/>
                <w:bCs w:val="0"/>
                <w:color w:val="0000FF"/>
                <w:sz w:val="28"/>
                <w:szCs w:val="28"/>
                <w:lang w:val="en-US" w:eastAsia="zh-CN"/>
              </w:rPr>
              <w:t>10%</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测量开关电源输出电压</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VDC</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仪器接地是否良好</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机壳与大地间无明显电压</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总锰参数设置是否正常</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有无设置错误</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通信是否正常</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内部熔断丝是否完好</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2075"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其他器件有无损坏</w:t>
            </w:r>
          </w:p>
        </w:tc>
        <w:tc>
          <w:tcPr>
            <w:tcW w:w="2031"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89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 w:name="_Toc12704"/>
      <w:r>
        <w:rPr>
          <w:rFonts w:hint="eastAsia" w:ascii="宋体" w:hAnsi="宋体" w:eastAsia="宋体" w:cs="宋体"/>
          <w:b w:val="0"/>
          <w:bCs w:val="0"/>
          <w:color w:val="0000FF"/>
          <w:sz w:val="28"/>
          <w:szCs w:val="28"/>
          <w:lang w:val="en-US" w:eastAsia="zh-CN"/>
        </w:rPr>
        <w:t>（2）关键部件的定期维护及更换</w:t>
      </w:r>
      <w:bookmarkEnd w:id="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2" w:name="_Toc15351"/>
      <w:r>
        <w:rPr>
          <w:rFonts w:hint="eastAsia" w:ascii="宋体" w:hAnsi="宋体" w:eastAsia="宋体" w:cs="宋体"/>
          <w:b w:val="0"/>
          <w:bCs w:val="0"/>
          <w:color w:val="0000FF"/>
          <w:sz w:val="28"/>
          <w:szCs w:val="28"/>
          <w:lang w:val="en-US" w:eastAsia="zh-CN"/>
        </w:rPr>
        <w:t>比色池和管路的定期清洗</w:t>
      </w:r>
      <w:bookmarkEnd w:id="2"/>
      <w:r>
        <w:rPr>
          <w:rFonts w:hint="eastAsia" w:ascii="宋体" w:hAnsi="宋体" w:eastAsia="宋体" w:cs="宋体"/>
          <w:b w:val="0"/>
          <w:bCs w:val="0"/>
          <w:color w:val="0000FF"/>
          <w:sz w:val="28"/>
          <w:szCs w:val="28"/>
          <w:lang w:val="en-US" w:eastAsia="zh-CN"/>
        </w:rPr>
        <w:t>：仪器运行一段时间后，管路系统和可能污染甚至阻塞，比色池内壁也容易沾污，这时需要在离线状态下运行系统清洗程序对仪器管路和比色池进行清洗。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3" w:name="_Toc1824"/>
      <w:r>
        <w:rPr>
          <w:rFonts w:hint="eastAsia" w:ascii="宋体" w:hAnsi="宋体" w:eastAsia="宋体" w:cs="宋体"/>
          <w:b w:val="0"/>
          <w:bCs w:val="0"/>
          <w:color w:val="0000FF"/>
          <w:sz w:val="28"/>
          <w:szCs w:val="28"/>
          <w:lang w:val="en-US" w:eastAsia="zh-CN"/>
        </w:rPr>
        <w:t>更换泵管</w:t>
      </w:r>
      <w:bookmarkEnd w:id="3"/>
      <w:r>
        <w:rPr>
          <w:rFonts w:hint="eastAsia" w:ascii="宋体" w:hAnsi="宋体" w:eastAsia="宋体" w:cs="宋体"/>
          <w:b w:val="0"/>
          <w:bCs w:val="0"/>
          <w:color w:val="0000FF"/>
          <w:sz w:val="28"/>
          <w:szCs w:val="28"/>
          <w:lang w:val="en-US" w:eastAsia="zh-CN"/>
        </w:rPr>
        <w:t>：仪器长期使用泵管会老化，成交人需每隔两至四年更换一次泵管。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4" w:name="_Toc5963"/>
      <w:r>
        <w:rPr>
          <w:rFonts w:hint="eastAsia" w:ascii="宋体" w:hAnsi="宋体" w:eastAsia="宋体" w:cs="宋体"/>
          <w:b w:val="0"/>
          <w:bCs w:val="0"/>
          <w:color w:val="0000FF"/>
          <w:sz w:val="28"/>
          <w:szCs w:val="28"/>
          <w:lang w:val="en-US" w:eastAsia="zh-CN"/>
        </w:rPr>
        <w:t>试剂定期更换</w:t>
      </w:r>
      <w:bookmarkEnd w:id="4"/>
      <w:r>
        <w:rPr>
          <w:rFonts w:hint="eastAsia" w:ascii="宋体" w:hAnsi="宋体" w:eastAsia="宋体" w:cs="宋体"/>
          <w:b w:val="0"/>
          <w:bCs w:val="0"/>
          <w:color w:val="0000FF"/>
          <w:sz w:val="28"/>
          <w:szCs w:val="28"/>
          <w:lang w:val="en-US" w:eastAsia="zh-CN"/>
        </w:rPr>
        <w:t>：成交人应根据“试剂消耗量表格”中的内容，估算仪器所用试剂的更换时间，试剂必须及时更换，缺少任何试剂，仪器将不能正常运行。废液也应及时处理，废液液位过高，淹没溢流管或废液管，有可能导致废液排出故障、仪器停机。废液从废液桶溢出，也会污染环境、腐蚀设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5" w:name="_Toc25980"/>
      <w:bookmarkStart w:id="6" w:name="_Toc209947411"/>
      <w:r>
        <w:rPr>
          <w:rFonts w:hint="eastAsia" w:ascii="宋体" w:hAnsi="宋体" w:eastAsia="宋体" w:cs="宋体"/>
          <w:b w:val="0"/>
          <w:bCs w:val="0"/>
          <w:color w:val="0000FF"/>
          <w:sz w:val="28"/>
          <w:szCs w:val="28"/>
          <w:lang w:val="en-US" w:eastAsia="zh-CN"/>
        </w:rPr>
        <w:t>长期停机时</w:t>
      </w:r>
      <w:bookmarkEnd w:id="5"/>
      <w:r>
        <w:rPr>
          <w:rFonts w:hint="eastAsia" w:ascii="宋体" w:hAnsi="宋体" w:eastAsia="宋体" w:cs="宋体"/>
          <w:b w:val="0"/>
          <w:bCs w:val="0"/>
          <w:color w:val="0000FF"/>
          <w:sz w:val="28"/>
          <w:szCs w:val="28"/>
          <w:lang w:val="en-US" w:eastAsia="zh-CN"/>
        </w:rPr>
        <w:t>：如果需要长期停止仪器，在关掉电源前，成交人应排出管路和比色池中的溶液，并进行清洗排空。关闭主电源。</w:t>
      </w:r>
    </w:p>
    <w:bookmarkEnd w:id="6"/>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（五）总铁监测仪的维护保养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7" w:name="_Toc14336"/>
      <w:r>
        <w:rPr>
          <w:rFonts w:hint="eastAsia" w:ascii="宋体" w:hAnsi="宋体" w:eastAsia="宋体" w:cs="宋体"/>
          <w:b w:val="0"/>
          <w:bCs w:val="0"/>
          <w:color w:val="0000FF"/>
          <w:sz w:val="28"/>
          <w:szCs w:val="28"/>
          <w:lang w:val="en-US" w:eastAsia="zh-CN"/>
        </w:rPr>
        <w:t>（1）例行维护</w:t>
      </w:r>
      <w:bookmarkEnd w:id="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为保证仪器正常运行，尽早排除故障隐患，成交人应定期对仪器进行系统的日常例行检查。例行检查的项目和建议的检查频次由下表给出。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日常例行检查项目表</w:t>
      </w:r>
    </w:p>
    <w:tbl>
      <w:tblPr>
        <w:tblStyle w:val="10"/>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138"/>
        <w:gridCol w:w="5184"/>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例行检查项目</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检查内容</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建议频次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仪器外观是否清洁</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外观清洁</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蒸馏水、试剂剩余量</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无氨水、试剂量是否足够</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废液量</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废液捅是否满，是否需要及时处理废液</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消解模块是否正常（比如：裂痕、功能）</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消解池无裂痕、固定松紧适度；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加热电阻丝无断裂、位置正常；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消解时无剧烈沸腾现象；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消解时无气体冲出现象。</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计量部分、管路是否有污浊、堵塞</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清洁、无异物</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液位传感器指示灯是否正常</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有液体时灯亮、无液体时灯灭</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有无漏液、腐蚀现象</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管路及管路各接口处是否有液体渗漏、腐蚀现象</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多位阀是否正常</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多位阀的阀口转动灵敏、无堵塞。</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消解模块风扇是否正常</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恒温和降温时风扇正常转动、无刺耳声响。</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蠕动泵泵管是否有老化、粘结、卷入现象</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泵管颜色正常无老化、泵管无粘结、卷入现象</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蠕动泵转动时是否有刺耳噪音</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蠕动泵转动时无侧耳噪音</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时间设置是否正确</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时间、日期正确</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外接泵过滤网是否需要清洁</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干净、无污物</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采样管内壁是否很脏、需要清洗</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干净、无污物</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测量电源220VAC实际输入电压</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220VAC</w:t>
            </w:r>
            <w:r>
              <w:rPr>
                <w:rFonts w:hint="eastAsia" w:ascii="宋体" w:hAnsi="宋体" w:eastAsia="宋体" w:cs="宋体"/>
                <w:b w:val="0"/>
                <w:bCs w:val="0"/>
                <w:color w:val="0000FF"/>
                <w:sz w:val="28"/>
                <w:szCs w:val="28"/>
                <w:lang w:val="en-US" w:eastAsia="zh-CN"/>
              </w:rPr>
              <w:sym w:font="Symbol" w:char="F0B1"/>
            </w:r>
            <w:r>
              <w:rPr>
                <w:rFonts w:hint="eastAsia" w:ascii="宋体" w:hAnsi="宋体" w:eastAsia="宋体" w:cs="宋体"/>
                <w:b w:val="0"/>
                <w:bCs w:val="0"/>
                <w:color w:val="0000FF"/>
                <w:sz w:val="28"/>
                <w:szCs w:val="28"/>
                <w:lang w:val="en-US" w:eastAsia="zh-CN"/>
              </w:rPr>
              <w:t>10%</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测量开关电源输出电压</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VDC</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仪器接地是否良好</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机壳与大地间无明显电压</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通信是否正常</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1次/3个月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内部熔断丝是否完好</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02"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其它器件有无损坏</w:t>
            </w:r>
          </w:p>
        </w:tc>
        <w:tc>
          <w:tcPr>
            <w:tcW w:w="2383"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正常</w:t>
            </w:r>
          </w:p>
        </w:tc>
        <w:tc>
          <w:tcPr>
            <w:tcW w:w="714"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3个月/次</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8" w:name="_Toc20226"/>
      <w:r>
        <w:rPr>
          <w:rFonts w:hint="eastAsia" w:ascii="宋体" w:hAnsi="宋体" w:eastAsia="宋体" w:cs="宋体"/>
          <w:b w:val="0"/>
          <w:bCs w:val="0"/>
          <w:color w:val="0000FF"/>
          <w:sz w:val="28"/>
          <w:szCs w:val="28"/>
          <w:lang w:val="en-US" w:eastAsia="zh-CN"/>
        </w:rPr>
        <w:t>（2）关键部件的定期维护及更换</w:t>
      </w:r>
      <w:bookmarkEnd w:id="8"/>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9" w:name="_Toc30335"/>
      <w:r>
        <w:rPr>
          <w:rFonts w:hint="eastAsia" w:ascii="宋体" w:hAnsi="宋体" w:eastAsia="宋体" w:cs="宋体"/>
          <w:b w:val="0"/>
          <w:bCs w:val="0"/>
          <w:color w:val="0000FF"/>
          <w:sz w:val="28"/>
          <w:szCs w:val="28"/>
          <w:lang w:val="en-US" w:eastAsia="zh-CN"/>
        </w:rPr>
        <w:t>试剂的定期更换</w:t>
      </w:r>
      <w:bookmarkEnd w:id="9"/>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成交人应根据试剂的实际消耗量，确定试剂更换周期。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0" w:name="_Toc32428"/>
      <w:r>
        <w:rPr>
          <w:rFonts w:hint="eastAsia" w:ascii="宋体" w:hAnsi="宋体" w:eastAsia="宋体" w:cs="宋体"/>
          <w:b w:val="0"/>
          <w:bCs w:val="0"/>
          <w:color w:val="0000FF"/>
          <w:sz w:val="28"/>
          <w:szCs w:val="28"/>
          <w:lang w:val="en-US" w:eastAsia="zh-CN"/>
        </w:rPr>
        <w:t>更换泵管</w:t>
      </w:r>
      <w:bookmarkEnd w:id="1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仪器长期使用泵管会老化，成交人需每隔两至四年更换一次泵管。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长期停机时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如果需要长期停止仪器，在关掉电源前，成交人应排出管路和比色池中的溶液，并进行清洗排空。关闭主电源。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（六）日常维护要求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（1）现场巡查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对水质在线监测设备及其附属设备、运行环境进行巡查、维护、校验、维修，分为每两周巡检、月巡检、季度巡检等运行维护工作，成交人应保证水质在线监测设备正常稳定运行。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①水质在线监测设备及其附属设备运行状态是否正常；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②水质在线监测设备的运行环境是否符合要求；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③线路、管路是否有破损、泄露等现象；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④各标准溶液与试剂是否充足有效；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⑤水质在线监测设备站房内电路系统、通信系统是否正常；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（2）预防性维护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①应保持水质在线监测设备清洁、稳固，环境温湿度符合要求；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②应保持水质在线监测设备管路畅通，进出水流量正常，无漏液；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③应按照水质在线监测设备说明书要求进行维护、更换易耗品和试剂；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④应保持水质在线监测设备站房站房内清洁，并保证辅助设备正常运行。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⑤成交人应清洗和维护频率不应小于每月1次。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（3）校验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水质在线监测设备成交人应定期校验，校验频率不应小于每两周一次。对影响检测结果的部件进行故障或更换后，应重新进行校验。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（4）维修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①仪表出现报警后成交人应及时排查，确定故障后应及时修复。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②水质在线监测设备的现场运行维护内容应符合附表1-3的要求。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③成交人应建立水质在线监测设备的运行维护过程记录。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1" w:name="_Toc97712816"/>
      <w:r>
        <w:rPr>
          <w:rFonts w:hint="eastAsia" w:ascii="宋体" w:hAnsi="宋体" w:eastAsia="宋体" w:cs="宋体"/>
          <w:b w:val="0"/>
          <w:bCs w:val="0"/>
          <w:color w:val="0000FF"/>
          <w:sz w:val="28"/>
          <w:szCs w:val="28"/>
          <w:lang w:val="en-US" w:eastAsia="zh-CN"/>
        </w:rPr>
        <w:t>（七）运维服务要求</w:t>
      </w:r>
      <w:bookmarkEnd w:id="1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2" w:name="_Toc97712817"/>
      <w:r>
        <w:rPr>
          <w:rFonts w:hint="eastAsia" w:ascii="宋体" w:hAnsi="宋体" w:eastAsia="宋体" w:cs="宋体"/>
          <w:b w:val="0"/>
          <w:bCs w:val="0"/>
          <w:color w:val="0000FF"/>
          <w:sz w:val="28"/>
          <w:szCs w:val="28"/>
          <w:lang w:val="en-US" w:eastAsia="zh-CN"/>
        </w:rPr>
        <w:t>①成交人应设立专门的运维服务团队，制定运维服务方案，明确运维服务人员的岗位职责和工程流程，维护工程师应经过专门技术培训，熟练掌握水质在线监测设备安装、调试、维护、维修、校验、比对等运维服务能力。</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bCs/>
          <w:color w:val="0000FF"/>
          <w:sz w:val="28"/>
          <w:szCs w:val="28"/>
          <w:lang w:val="en-US" w:eastAsia="zh-CN"/>
        </w:rPr>
        <w:t>②成交人应当承诺（承诺书统一承诺）成交后在我省内设立固定的办公场所，配备专业的实验设备，对水质在线监测设备进行校验、比对，保证设备的准确性；应当配备有经过检定、校准的便携式浊度、余氯、pH等仪器，合理数量的备机、配件、耗材、试剂等，保证水质在线监测设备得到及时维护、维修。</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③为保证设备的正常运行，成交人在维护厂区仪表时需提供原有仪表配套的正规原厂配件。为了保证配件为正品，竞价人须提供hach和e+h厂家针对该项目的售后服务承诺函（格式自拟），否则竞价文件无效。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④当设备出现故障时，成交人应在6小时内确诊，可通过远程维护的故障，在4小时内解决；需指派维护工程师抵达现场修复的故障，在12小时内修复，水质在线监测站点设备因故障或维护等原因不能正常工作超24小时，成交人应及时向管理部门报告；如48小时内不能及时修复，成交人应提供备用设备；成交人应当提供全时候电话热线咨询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⑤设备废液等危险废弃物，成交人应按规范集中收集储存并委托有资质的单位按规定处置。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⑥成交人应保持运行维护记录。运行记录应清晰、完整，现场记录应在现场及时填写。可从记录中查阅和了解仪器 设备的使用、维修和性能检验等全部历史资料，以对运行的各台仪器设备做出正确评价。与仪器相关的记录可放置在现场并妥善保存。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⑦成交人应当提供年度运维服务报告，收集运维服务意见建议，及时优化运维服务方案，提高运维服务质量。</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附表1  每两周现场运行维护内容</w:t>
      </w:r>
    </w:p>
    <w:tbl>
      <w:tblPr>
        <w:tblStyle w:val="10"/>
        <w:tblW w:w="9346" w:type="dxa"/>
        <w:jc w:val="center"/>
        <w:tblLayout w:type="fixed"/>
        <w:tblCellMar>
          <w:top w:w="0" w:type="dxa"/>
          <w:left w:w="108" w:type="dxa"/>
          <w:bottom w:w="0" w:type="dxa"/>
          <w:right w:w="108" w:type="dxa"/>
        </w:tblCellMar>
      </w:tblPr>
      <w:tblGrid>
        <w:gridCol w:w="841"/>
        <w:gridCol w:w="1447"/>
        <w:gridCol w:w="608"/>
        <w:gridCol w:w="3583"/>
        <w:gridCol w:w="1442"/>
        <w:gridCol w:w="1425"/>
      </w:tblGrid>
      <w:tr>
        <w:tblPrEx>
          <w:tblCellMar>
            <w:top w:w="0" w:type="dxa"/>
            <w:left w:w="108" w:type="dxa"/>
            <w:bottom w:w="0" w:type="dxa"/>
            <w:right w:w="108" w:type="dxa"/>
          </w:tblCellMar>
        </w:tblPrEx>
        <w:trPr>
          <w:trHeight w:val="51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序号</w:t>
            </w:r>
          </w:p>
        </w:tc>
        <w:tc>
          <w:tcPr>
            <w:tcW w:w="20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运行维护项目</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运行维护内容</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是否正常</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处理情况</w:t>
            </w:r>
          </w:p>
        </w:tc>
      </w:tr>
      <w:tr>
        <w:tblPrEx>
          <w:tblCellMar>
            <w:top w:w="0" w:type="dxa"/>
            <w:left w:w="108" w:type="dxa"/>
            <w:bottom w:w="0" w:type="dxa"/>
            <w:right w:w="108" w:type="dxa"/>
          </w:tblCellMar>
        </w:tblPrEx>
        <w:trPr>
          <w:trHeight w:val="519"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一</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PH在线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清洗电极探头</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检查PH测量数值是否准确</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检查电极电解液是否充足</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二</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浊度在线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检查设备水样进样流量</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清洗浊度测量池</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检查刮刷是否正常及损耗</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三</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余氯在线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检查试剂是否余量</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检查试剂管使用情况</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检查水样进样流量</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检查余氯测量数据是否正常</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四</w:t>
            </w:r>
          </w:p>
        </w:tc>
        <w:tc>
          <w:tcPr>
            <w:tcW w:w="144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总铁</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清洗管路</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检查试剂余量</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五</w:t>
            </w:r>
          </w:p>
        </w:tc>
        <w:tc>
          <w:tcPr>
            <w:tcW w:w="144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总锰</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清洗管路</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检查试剂余量</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六</w:t>
            </w:r>
          </w:p>
        </w:tc>
        <w:tc>
          <w:tcPr>
            <w:tcW w:w="144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附属设备和运行环境</w:t>
            </w: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检查自来水供应、采样泵情况</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检查进水管和排水管</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检查站房电路系统、通讯系统</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清洗水泵和过滤网</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19"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5</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清理设备柜积灰</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875"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6</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对比水质监测设备、数据采集仪及上位机接收数据是否一致</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827" w:hRule="atLeast"/>
          <w:jc w:val="center"/>
        </w:trPr>
        <w:tc>
          <w:tcPr>
            <w:tcW w:w="84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7</w:t>
            </w:r>
          </w:p>
        </w:tc>
        <w:tc>
          <w:tcPr>
            <w:tcW w:w="3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对数据存储或控制系统工作状态进行一次检查</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52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七</w:t>
            </w:r>
          </w:p>
        </w:tc>
        <w:tc>
          <w:tcPr>
            <w:tcW w:w="1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填写运行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维护记录表</w:t>
            </w:r>
          </w:p>
        </w:tc>
        <w:tc>
          <w:tcPr>
            <w:tcW w:w="70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3" w:name="_Toc9771281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 xml:space="preserve">运维人员：                                时间： </w:t>
      </w:r>
    </w:p>
    <w:bookmarkEnd w:id="13"/>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附表2  每月现场运行维护内容</w:t>
      </w:r>
    </w:p>
    <w:tbl>
      <w:tblPr>
        <w:tblStyle w:val="10"/>
        <w:tblW w:w="9437" w:type="dxa"/>
        <w:jc w:val="center"/>
        <w:tblLayout w:type="fixed"/>
        <w:tblCellMar>
          <w:top w:w="0" w:type="dxa"/>
          <w:left w:w="108" w:type="dxa"/>
          <w:bottom w:w="0" w:type="dxa"/>
          <w:right w:w="108" w:type="dxa"/>
        </w:tblCellMar>
      </w:tblPr>
      <w:tblGrid>
        <w:gridCol w:w="782"/>
        <w:gridCol w:w="1665"/>
        <w:gridCol w:w="735"/>
        <w:gridCol w:w="3450"/>
        <w:gridCol w:w="1425"/>
        <w:gridCol w:w="1380"/>
      </w:tblGrid>
      <w:tr>
        <w:tblPrEx>
          <w:tblCellMar>
            <w:top w:w="0" w:type="dxa"/>
            <w:left w:w="108" w:type="dxa"/>
            <w:bottom w:w="0" w:type="dxa"/>
            <w:right w:w="108" w:type="dxa"/>
          </w:tblCellMar>
        </w:tblPrEx>
        <w:trPr>
          <w:trHeight w:val="702"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序号</w:t>
            </w:r>
          </w:p>
        </w:tc>
        <w:tc>
          <w:tcPr>
            <w:tcW w:w="24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运行维护项目</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运行维护内容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是否正常</w:t>
            </w: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处理情况</w:t>
            </w: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一</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PH在线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校准PH仪表</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手工水样比对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更换PH仪表电解液</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二</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浊度在线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校准浊度仪表</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手工水样比对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更换浊度仪表刮刷</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三</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余氯在线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更换余氯仪表试剂</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更换余氯仪表泵管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清洗余氯仪表测量池</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手工水样比对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四</w:t>
            </w:r>
          </w:p>
        </w:tc>
        <w:tc>
          <w:tcPr>
            <w:tcW w:w="16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总铁</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试剂更换</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手工水样比对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五</w:t>
            </w:r>
          </w:p>
        </w:tc>
        <w:tc>
          <w:tcPr>
            <w:tcW w:w="16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总锰</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试剂更换</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手工水样比对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六</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附属设备和运行环境</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检查电（磁）阀</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更换进水管和排水管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04"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检查站房线路老化情况</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更换过滤网</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5</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清理设备柜积灰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643" w:hRule="atLeast"/>
          <w:jc w:val="center"/>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6</w:t>
            </w:r>
          </w:p>
        </w:tc>
        <w:tc>
          <w:tcPr>
            <w:tcW w:w="34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对比水质监测设备、数据采集仪及上位机接收数据是否一致</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87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七</w:t>
            </w:r>
          </w:p>
        </w:tc>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填写运行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维护记录表</w:t>
            </w:r>
          </w:p>
        </w:tc>
        <w:tc>
          <w:tcPr>
            <w:tcW w:w="69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bookmarkStart w:id="14" w:name="_Toc97712814"/>
      <w:r>
        <w:rPr>
          <w:rFonts w:hint="eastAsia" w:ascii="宋体" w:hAnsi="宋体" w:eastAsia="宋体" w:cs="宋体"/>
          <w:b w:val="0"/>
          <w:bCs w:val="0"/>
          <w:color w:val="0000FF"/>
          <w:sz w:val="28"/>
          <w:szCs w:val="28"/>
          <w:lang w:val="en-US" w:eastAsia="zh-CN"/>
        </w:rPr>
        <w:t xml:space="preserve">运维人员：                                时间： </w:t>
      </w:r>
    </w:p>
    <w:bookmarkEnd w:id="14"/>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附表3  每季度现场运行维护内容</w:t>
      </w:r>
    </w:p>
    <w:tbl>
      <w:tblPr>
        <w:tblStyle w:val="10"/>
        <w:tblW w:w="9379" w:type="dxa"/>
        <w:jc w:val="center"/>
        <w:tblLayout w:type="fixed"/>
        <w:tblCellMar>
          <w:top w:w="0" w:type="dxa"/>
          <w:left w:w="108" w:type="dxa"/>
          <w:bottom w:w="0" w:type="dxa"/>
          <w:right w:w="108" w:type="dxa"/>
        </w:tblCellMar>
      </w:tblPr>
      <w:tblGrid>
        <w:gridCol w:w="818"/>
        <w:gridCol w:w="1502"/>
        <w:gridCol w:w="586"/>
        <w:gridCol w:w="3582"/>
        <w:gridCol w:w="1537"/>
        <w:gridCol w:w="1354"/>
      </w:tblGrid>
      <w:tr>
        <w:tblPrEx>
          <w:tblCellMar>
            <w:top w:w="0" w:type="dxa"/>
            <w:left w:w="108" w:type="dxa"/>
            <w:bottom w:w="0" w:type="dxa"/>
            <w:right w:w="108" w:type="dxa"/>
          </w:tblCellMar>
        </w:tblPrEx>
        <w:trPr>
          <w:trHeight w:val="70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序号</w:t>
            </w:r>
          </w:p>
        </w:tc>
        <w:tc>
          <w:tcPr>
            <w:tcW w:w="2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运行维护项目</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运行维护内容</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是否正常</w:t>
            </w: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处理情况</w:t>
            </w:r>
          </w:p>
        </w:tc>
      </w:tr>
      <w:tr>
        <w:tblPrEx>
          <w:tblCellMar>
            <w:top w:w="0" w:type="dxa"/>
            <w:left w:w="108" w:type="dxa"/>
            <w:bottom w:w="0" w:type="dxa"/>
            <w:right w:w="108" w:type="dxa"/>
          </w:tblCellMar>
        </w:tblPrEx>
        <w:trPr>
          <w:trHeight w:val="332" w:hRule="atLeas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一</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PH在线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更换密封圈</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进行重复性和量程漂移试验</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二</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浊度在线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检查干燥剂</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70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进行重复性、零点漂移和量程漂移试验</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更换密封圈</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三</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余氯在线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监测设备</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更换搅拌子</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更换泵夹</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进行重复性、零点漂移和量程漂移试验</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四</w:t>
            </w:r>
          </w:p>
        </w:tc>
        <w:tc>
          <w:tcPr>
            <w:tcW w:w="15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总铁</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管路更换</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进行重复性、零点漂移和量程漂移试验</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五</w:t>
            </w:r>
          </w:p>
        </w:tc>
        <w:tc>
          <w:tcPr>
            <w:tcW w:w="1502"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总锰</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管路更换</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进行重复性、零点漂移和量程漂移试验</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六</w:t>
            </w:r>
          </w:p>
        </w:tc>
        <w:tc>
          <w:tcPr>
            <w:tcW w:w="15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附属设备和运行环境</w:t>
            </w: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1</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检查采样泵取样情况</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2</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检查进水管和排水管</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04"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3</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检查站房线路接地情况</w:t>
            </w: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4</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332"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5</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643"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6</w:t>
            </w:r>
          </w:p>
        </w:tc>
        <w:tc>
          <w:tcPr>
            <w:tcW w:w="3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5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c>
          <w:tcPr>
            <w:tcW w:w="13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r>
        <w:tblPrEx>
          <w:tblCellMar>
            <w:top w:w="0" w:type="dxa"/>
            <w:left w:w="108" w:type="dxa"/>
            <w:bottom w:w="0" w:type="dxa"/>
            <w:right w:w="108" w:type="dxa"/>
          </w:tblCellMar>
        </w:tblPrEx>
        <w:trPr>
          <w:trHeight w:val="97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七</w:t>
            </w:r>
          </w:p>
        </w:tc>
        <w:tc>
          <w:tcPr>
            <w:tcW w:w="1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填写运行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维护记录表</w:t>
            </w:r>
          </w:p>
        </w:tc>
        <w:tc>
          <w:tcPr>
            <w:tcW w:w="70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宋体"/>
                <w:b w:val="0"/>
                <w:bCs w:val="0"/>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 xml:space="preserve">运维人员：                                时间：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（八）其他要求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（1）竞价人须根据项目特点，提供预防和应急处置方案（包括但不限于突发性水质污染、自然灾害、水电检修、重大活动或被偷盗破坏等情况进行逐一描述）。</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（2）为保证水质仪表数据的有效性，竞价人须对水质监测因子数据合理性、有效性等逐一描述。有审核要求时，须保证数据具有有效的审核能力。</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（3）竞价人须根据项目特点，提供运维方案（包括但不限于维护频次、自动监测仪器维护、采水系统的维护、配水系统的维护、通讯仪器运行维护等情况进行逐一描述）。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壹拾伍万</w:t>
      </w:r>
      <w:r>
        <w:rPr>
          <w:rFonts w:hint="eastAsia" w:ascii="宋体" w:hAnsi="宋体" w:eastAsia="宋体" w:cs="宋体"/>
          <w:color w:val="0000FF"/>
          <w:sz w:val="28"/>
          <w:szCs w:val="28"/>
          <w:lang w:val="en-US" w:eastAsia="zh-CN"/>
        </w:rPr>
        <w:t>元整（¥1</w:t>
      </w:r>
      <w:r>
        <w:rPr>
          <w:rFonts w:hint="eastAsia" w:ascii="宋体" w:hAnsi="宋体" w:cs="宋体"/>
          <w:color w:val="0000FF"/>
          <w:sz w:val="28"/>
          <w:szCs w:val="28"/>
          <w:lang w:val="en-US" w:eastAsia="zh-CN"/>
        </w:rPr>
        <w:t>50</w:t>
      </w:r>
      <w:r>
        <w:rPr>
          <w:rFonts w:hint="eastAsia" w:ascii="宋体" w:hAnsi="宋体" w:eastAsia="宋体" w:cs="宋体"/>
          <w:color w:val="0000FF"/>
          <w:sz w:val="28"/>
          <w:szCs w:val="28"/>
          <w:lang w:val="en-US" w:eastAsia="zh-CN"/>
        </w:rPr>
        <w:t>000元）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3000</w:t>
      </w:r>
      <w:r>
        <w:rPr>
          <w:rFonts w:hint="eastAsia" w:ascii="宋体" w:hAnsi="宋体" w:eastAsia="宋体" w:cs="宋体"/>
          <w:color w:val="0000FF"/>
          <w:sz w:val="28"/>
          <w:szCs w:val="28"/>
          <w:lang w:val="en-US" w:eastAsia="zh-CN"/>
        </w:rPr>
        <w:t>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自合同签订之日起一年。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cs="宋体"/>
          <w:color w:val="auto"/>
          <w:sz w:val="28"/>
          <w:szCs w:val="28"/>
          <w:lang w:eastAsia="zh-CN"/>
        </w:rPr>
        <w:t>：</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服务合同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cs="宋体"/>
          <w:b/>
          <w:bCs/>
          <w:color w:val="auto"/>
          <w:kern w:val="0"/>
          <w:sz w:val="28"/>
          <w:szCs w:val="28"/>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自2023年1月1日（以合同签订时间为准）起，竞价人具有水质检测设备运维业绩。【提供相关网站中标（成交）公告的下载网页截图或网页打印件并注明网址；中标（成交）通知书复印件；合同文本复印件；项目验收证明材料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未违规承诺书：竞价人（包括设立的分公司、项目公司）应承诺在本项目投标截止日前，未在运维工作中因自身管理缺陷、数据造假或自身违规操作等不良、不诚信行为受到相关主管部门行政处罚。【提供的承诺函应体现上述内容，格式自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3000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cs="宋体"/>
          <w:color w:val="0000FF"/>
          <w:sz w:val="28"/>
          <w:szCs w:val="28"/>
          <w:lang w:val="en-US" w:eastAsia="zh-CN"/>
        </w:rPr>
        <w:t>2025</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日内向委托人提供《</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（6）业绩证明材料；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（7）未违规承诺书；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（8）预防和应急处置方案；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（9）对水质监测因子数据合理性、有效性等逐一描述；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（10）运维方案；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（11）原厂家针对该项目的售后服务承诺函（格式自拟）</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（12）分项报价表</w:t>
      </w:r>
      <w:r>
        <w:rPr>
          <w:rFonts w:hint="eastAsia" w:ascii="宋体" w:hAnsi="宋体" w:cs="宋体"/>
          <w:color w:val="0000FF"/>
          <w:sz w:val="28"/>
          <w:szCs w:val="28"/>
          <w:lang w:val="en-US" w:eastAsia="zh-CN"/>
        </w:rPr>
        <w:t>。</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leftChars="0" w:right="0" w:firstLine="480"/>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rPr>
      </w:pPr>
      <w:r>
        <w:rPr>
          <w:rFonts w:hint="eastAsia" w:asciiTheme="minorEastAsia" w:hAnsiTheme="minorEastAsia" w:eastAsiaTheme="minorEastAsia" w:cstheme="minorEastAsia"/>
          <w:b/>
          <w:bCs/>
          <w:color w:val="000000" w:themeColor="text1"/>
          <w:kern w:val="0"/>
          <w:sz w:val="24"/>
          <w:szCs w:val="24"/>
          <w:highlight w:val="none"/>
          <w:lang w:val="en-US" w:eastAsia="zh-CN"/>
        </w:rPr>
        <w:t>分项报价表格式如下：</w:t>
      </w:r>
    </w:p>
    <w:tbl>
      <w:tblPr>
        <w:tblStyle w:val="11"/>
        <w:tblpPr w:leftFromText="180" w:rightFromText="180" w:vertAnchor="text" w:horzAnchor="page" w:tblpXSpec="center" w:tblpY="458"/>
        <w:tblOverlap w:val="never"/>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018"/>
        <w:gridCol w:w="1105"/>
        <w:gridCol w:w="1172"/>
        <w:gridCol w:w="1040"/>
        <w:gridCol w:w="1209"/>
        <w:gridCol w:w="147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6"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spacing w:val="-4"/>
              </w:rPr>
              <w:t>序号</w:t>
            </w:r>
          </w:p>
        </w:tc>
        <w:tc>
          <w:tcPr>
            <w:tcW w:w="1725"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Theme="minorEastAsia" w:hAnsiTheme="minorEastAsia" w:eastAsiaTheme="minorEastAsia" w:cstheme="minorEastAsia"/>
                <w:spacing w:val="-6"/>
              </w:rPr>
              <w:t>名称</w:t>
            </w:r>
          </w:p>
        </w:tc>
        <w:tc>
          <w:tcPr>
            <w:tcW w:w="945"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kern w:val="0"/>
                <w:sz w:val="24"/>
                <w:szCs w:val="24"/>
                <w:highlight w:val="none"/>
                <w:lang w:val="en-US" w:eastAsia="zh-CN" w:bidi="ar-SA"/>
              </w:rPr>
            </w:pPr>
            <w:r>
              <w:rPr>
                <w:rFonts w:hint="eastAsia" w:asciiTheme="minorEastAsia" w:hAnsiTheme="minorEastAsia" w:eastAsiaTheme="minorEastAsia" w:cstheme="minorEastAsia"/>
                <w:spacing w:val="-13"/>
                <w:lang w:val="en-US" w:eastAsia="zh-CN"/>
              </w:rPr>
              <w:t>原设备</w:t>
            </w:r>
            <w:r>
              <w:rPr>
                <w:rFonts w:hint="eastAsia" w:asciiTheme="minorEastAsia" w:hAnsiTheme="minorEastAsia" w:eastAsiaTheme="minorEastAsia" w:cstheme="minorEastAsia"/>
                <w:spacing w:val="-13"/>
              </w:rPr>
              <w:t>品牌</w:t>
            </w:r>
          </w:p>
        </w:tc>
        <w:tc>
          <w:tcPr>
            <w:tcW w:w="1002"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sz w:val="24"/>
                <w:szCs w:val="24"/>
                <w:highlight w:val="none"/>
              </w:rPr>
            </w:pPr>
            <w:r>
              <w:rPr>
                <w:rFonts w:hint="eastAsia" w:asciiTheme="minorEastAsia" w:hAnsiTheme="minorEastAsia" w:eastAsiaTheme="minorEastAsia" w:cstheme="minorEastAsia"/>
                <w:spacing w:val="-6"/>
              </w:rPr>
              <w:t>数量</w:t>
            </w:r>
          </w:p>
        </w:tc>
        <w:tc>
          <w:tcPr>
            <w:tcW w:w="889"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sz w:val="24"/>
                <w:szCs w:val="24"/>
                <w:highlight w:val="none"/>
              </w:rPr>
            </w:pPr>
            <w:r>
              <w:rPr>
                <w:rFonts w:hint="eastAsia" w:asciiTheme="minorEastAsia" w:hAnsiTheme="minorEastAsia" w:eastAsiaTheme="minorEastAsia" w:cstheme="minorEastAsia"/>
                <w:spacing w:val="-5"/>
              </w:rPr>
              <w:t>单位</w:t>
            </w:r>
          </w:p>
        </w:tc>
        <w:tc>
          <w:tcPr>
            <w:tcW w:w="1034"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sz w:val="24"/>
                <w:szCs w:val="24"/>
                <w:highlight w:val="none"/>
              </w:rPr>
            </w:pPr>
            <w:r>
              <w:rPr>
                <w:rFonts w:hint="eastAsia" w:asciiTheme="minorEastAsia" w:hAnsiTheme="minorEastAsia" w:eastAsiaTheme="minorEastAsia" w:cstheme="minorEastAsia"/>
                <w:spacing w:val="-5"/>
              </w:rPr>
              <w:t>单价</w:t>
            </w:r>
          </w:p>
        </w:tc>
        <w:tc>
          <w:tcPr>
            <w:tcW w:w="1260"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sz w:val="24"/>
                <w:szCs w:val="24"/>
                <w:highlight w:val="none"/>
              </w:rPr>
            </w:pPr>
            <w:r>
              <w:rPr>
                <w:rFonts w:hint="eastAsia" w:asciiTheme="minorEastAsia" w:hAnsiTheme="minorEastAsia" w:eastAsiaTheme="minorEastAsia" w:cstheme="minorEastAsia"/>
                <w:spacing w:val="-8"/>
              </w:rPr>
              <w:t>总价</w:t>
            </w:r>
          </w:p>
        </w:tc>
        <w:tc>
          <w:tcPr>
            <w:tcW w:w="1094" w:type="dxa"/>
            <w:vAlign w:val="center"/>
          </w:tcPr>
          <w:p>
            <w:pPr>
              <w:pStyle w:val="20"/>
              <w:keepNext w:val="0"/>
              <w:keepLines w:val="0"/>
              <w:pageBreakBefore w:val="0"/>
              <w:kinsoku/>
              <w:overflowPunct/>
              <w:topLinePunct w:val="0"/>
              <w:autoSpaceDE/>
              <w:autoSpaceDN/>
              <w:bidi w:val="0"/>
              <w:adjustRightInd/>
              <w:snapToGrid/>
              <w:spacing w:line="360" w:lineRule="auto"/>
              <w:ind w:left="0" w:leftChars="0" w:right="0" w:firstLine="0" w:firstLineChars="0"/>
              <w:jc w:val="center"/>
              <w:textAlignment w:val="auto"/>
              <w:rPr>
                <w:rFonts w:hint="eastAsia" w:ascii="宋体" w:hAnsi="宋体" w:eastAsia="宋体" w:cs="宋体"/>
                <w:b/>
                <w:color w:val="000000"/>
                <w:sz w:val="24"/>
                <w:szCs w:val="24"/>
                <w:highlight w:val="none"/>
              </w:rPr>
            </w:pPr>
            <w:r>
              <w:rPr>
                <w:rFonts w:hint="eastAsia" w:asciiTheme="minorEastAsia" w:hAnsiTheme="minorEastAsia" w:eastAsiaTheme="minorEastAsia" w:cstheme="minorEastAsia"/>
                <w:spacing w:val="-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3"/>
              </w:rPr>
              <w:t>总锰分析仪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restart"/>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lang w:val="en-US" w:eastAsia="zh-CN"/>
              </w:rPr>
              <w:t>福地水厂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3"/>
              </w:rPr>
              <w:t>总铁分析器</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3</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2"/>
                <w:position w:val="3"/>
              </w:rPr>
              <w:t>余氯分析仪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4</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5"/>
              </w:rPr>
              <w:t>PH 分析仪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5</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2"/>
                <w:position w:val="2"/>
              </w:rPr>
              <w:t>浊度分析仪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5</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lang w:eastAsia="zh-CN"/>
              </w:rPr>
              <w:t>6</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6"/>
                <w:position w:val="2"/>
              </w:rPr>
              <w:t>出水浊度仪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restart"/>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4"/>
              </w:rPr>
              <w:t>宣和水厂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lang w:eastAsia="zh-CN"/>
              </w:rPr>
              <w:t>7</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6"/>
                <w:position w:val="2"/>
              </w:rPr>
              <w:t>出水浊度仪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4"/>
                <w:position w:val="3"/>
              </w:rPr>
              <w:t>e+h</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8</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12"/>
              </w:rPr>
              <w:t>出水</w:t>
            </w:r>
            <w:r>
              <w:rPr>
                <w:rFonts w:hint="eastAsia" w:asciiTheme="minorEastAsia" w:hAnsiTheme="minorEastAsia" w:eastAsiaTheme="minorEastAsia" w:cstheme="minorEastAsia"/>
                <w:spacing w:val="15"/>
              </w:rPr>
              <w:t xml:space="preserve"> </w:t>
            </w:r>
            <w:r>
              <w:rPr>
                <w:rFonts w:hint="eastAsia" w:asciiTheme="minorEastAsia" w:hAnsiTheme="minorEastAsia" w:eastAsiaTheme="minorEastAsia" w:cstheme="minorEastAsia"/>
                <w:spacing w:val="-12"/>
              </w:rPr>
              <w:t>PH</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4"/>
                <w:position w:val="3"/>
              </w:rPr>
              <w:t>e+h</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9</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7"/>
                <w:position w:val="3"/>
              </w:rPr>
              <w:t>出水余氯</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10</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6"/>
                <w:position w:val="2"/>
              </w:rPr>
              <w:t>出水浊度仪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2"/>
              </w:rPr>
              <w:t>SWAN</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restart"/>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7"/>
              </w:rPr>
              <w:t>四堡水厂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11</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7"/>
                <w:position w:val="3"/>
              </w:rPr>
              <w:t>出水余氯</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2"/>
              </w:rPr>
              <w:t>SWAN</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3"/>
              </w:rPr>
              <w:t>12</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12"/>
              </w:rPr>
              <w:t>出水</w:t>
            </w:r>
            <w:r>
              <w:rPr>
                <w:rFonts w:hint="eastAsia" w:asciiTheme="minorEastAsia" w:hAnsiTheme="minorEastAsia" w:eastAsiaTheme="minorEastAsia" w:cstheme="minorEastAsia"/>
                <w:spacing w:val="15"/>
              </w:rPr>
              <w:t xml:space="preserve"> </w:t>
            </w:r>
            <w:r>
              <w:rPr>
                <w:rFonts w:hint="eastAsia" w:asciiTheme="minorEastAsia" w:hAnsiTheme="minorEastAsia" w:eastAsiaTheme="minorEastAsia" w:cstheme="minorEastAsia"/>
                <w:spacing w:val="-12"/>
              </w:rPr>
              <w:t>PH</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2"/>
              </w:rPr>
              <w:t>SWAN</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13</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12"/>
              </w:rPr>
              <w:t>出水</w:t>
            </w:r>
            <w:r>
              <w:rPr>
                <w:rFonts w:hint="eastAsia" w:asciiTheme="minorEastAsia" w:hAnsiTheme="minorEastAsia" w:eastAsiaTheme="minorEastAsia" w:cstheme="minorEastAsia"/>
                <w:spacing w:val="15"/>
              </w:rPr>
              <w:t xml:space="preserve"> </w:t>
            </w:r>
            <w:r>
              <w:rPr>
                <w:rFonts w:hint="eastAsia" w:asciiTheme="minorEastAsia" w:hAnsiTheme="minorEastAsia" w:eastAsiaTheme="minorEastAsia" w:cstheme="minorEastAsia"/>
                <w:spacing w:val="-12"/>
              </w:rPr>
              <w:t>PH</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12"/>
              </w:rPr>
              <w:t>国产</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3</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restart"/>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3"/>
                <w:position w:val="3"/>
                <w:lang w:val="en-US" w:eastAsia="zh-CN"/>
              </w:rPr>
              <w:t>姑</w:t>
            </w:r>
            <w:r>
              <w:rPr>
                <w:rFonts w:hint="eastAsia" w:asciiTheme="minorEastAsia" w:hAnsiTheme="minorEastAsia" w:eastAsiaTheme="minorEastAsia" w:cstheme="minorEastAsia"/>
                <w:spacing w:val="-3"/>
                <w:position w:val="3"/>
              </w:rPr>
              <w:t>田水厂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14</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6"/>
                <w:position w:val="2"/>
              </w:rPr>
              <w:t>出水浊度仪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3</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15</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7"/>
                <w:position w:val="3"/>
              </w:rPr>
              <w:t>出水余氯</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16</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6"/>
                <w:position w:val="2"/>
              </w:rPr>
              <w:t>出水浊度仪</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snapToGrid w:val="0"/>
                <w:color w:val="000000"/>
                <w:kern w:val="0"/>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restart"/>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4"/>
              </w:rPr>
              <w:t>文坊水厂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17</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12"/>
              </w:rPr>
              <w:t>出水</w:t>
            </w:r>
            <w:r>
              <w:rPr>
                <w:rFonts w:hint="eastAsia" w:asciiTheme="minorEastAsia" w:hAnsiTheme="minorEastAsia" w:eastAsiaTheme="minorEastAsia" w:cstheme="minorEastAsia"/>
                <w:spacing w:val="15"/>
              </w:rPr>
              <w:t xml:space="preserve"> </w:t>
            </w:r>
            <w:r>
              <w:rPr>
                <w:rFonts w:hint="eastAsia" w:asciiTheme="minorEastAsia" w:hAnsiTheme="minorEastAsia" w:eastAsiaTheme="minorEastAsia" w:cstheme="minorEastAsia"/>
                <w:spacing w:val="-12"/>
              </w:rPr>
              <w:t>PH</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snapToGrid w:val="0"/>
                <w:color w:val="000000"/>
                <w:kern w:val="0"/>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3"/>
              </w:rPr>
              <w:t>2</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18</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7"/>
                <w:position w:val="3"/>
              </w:rPr>
              <w:t>出水余氯</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snapToGrid w:val="0"/>
                <w:color w:val="000000"/>
                <w:kern w:val="0"/>
                <w:sz w:val="22"/>
                <w:szCs w:val="22"/>
                <w:lang w:val="en-US" w:eastAsia="zh-CN" w:bidi="ar-SA"/>
              </w:rPr>
            </w:pPr>
            <w:r>
              <w:rPr>
                <w:rFonts w:hint="eastAsia" w:asciiTheme="minorEastAsia" w:hAnsiTheme="minorEastAsia" w:eastAsiaTheme="minorEastAsia" w:cstheme="minorEastAsia"/>
                <w:spacing w:val="-6"/>
                <w:position w:val="2"/>
              </w:rPr>
              <w:t>哈希</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1</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台</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Merge w:val="continue"/>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9"/>
                <w:position w:val="4"/>
              </w:rPr>
              <w:t>19</w:t>
            </w:r>
          </w:p>
        </w:tc>
        <w:tc>
          <w:tcPr>
            <w:tcW w:w="172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2"/>
              </w:rPr>
              <w:t>水质监测站</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snapToGrid w:val="0"/>
                <w:color w:val="000000"/>
                <w:kern w:val="0"/>
                <w:sz w:val="22"/>
                <w:szCs w:val="22"/>
                <w:lang w:val="en-US" w:eastAsia="zh-CN" w:bidi="ar-SA"/>
              </w:rPr>
            </w:pPr>
            <w:r>
              <w:rPr>
                <w:rFonts w:hint="eastAsia" w:asciiTheme="minorEastAsia" w:hAnsiTheme="minorEastAsia" w:eastAsiaTheme="minorEastAsia" w:cstheme="minorEastAsia"/>
                <w:spacing w:val="-7"/>
              </w:rPr>
              <w:t>E+H</w:t>
            </w: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position w:val="4"/>
              </w:rPr>
              <w:t>3</w:t>
            </w: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rPr>
              <w:t>套</w:t>
            </w: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Align w:val="center"/>
          </w:tcPr>
          <w:p>
            <w:pPr>
              <w:pStyle w:val="20"/>
              <w:pageBreakBefore w:val="0"/>
              <w:kinsoku/>
              <w:topLinePunct w:val="0"/>
              <w:bidi w:val="0"/>
              <w:spacing w:line="360" w:lineRule="auto"/>
              <w:ind w:left="0" w:leftChars="0" w:right="0" w:firstLine="0" w:firstLineChars="0"/>
              <w:jc w:val="center"/>
              <w:rPr>
                <w:rFonts w:hint="eastAsia" w:asciiTheme="minorEastAsia" w:hAnsiTheme="minorEastAsia" w:eastAsiaTheme="minorEastAsia" w:cstheme="minorEastAsia"/>
                <w:spacing w:val="-5"/>
              </w:rPr>
            </w:pPr>
            <w:r>
              <w:rPr>
                <w:rFonts w:hint="eastAsia" w:asciiTheme="minorEastAsia" w:hAnsiTheme="minorEastAsia" w:eastAsiaTheme="minorEastAsia" w:cstheme="minorEastAsia"/>
                <w:spacing w:val="-3"/>
              </w:rPr>
              <w:t>浊度余氯</w:t>
            </w:r>
            <w:r>
              <w:rPr>
                <w:rFonts w:hint="eastAsia" w:asciiTheme="minorEastAsia" w:hAnsiTheme="minorEastAsia" w:eastAsiaTheme="minorEastAsia" w:cstheme="minorEastAsia"/>
                <w:spacing w:val="-5"/>
              </w:rPr>
              <w:t>PH 三参数</w:t>
            </w:r>
          </w:p>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5"/>
                <w:lang w:val="en-US" w:eastAsia="zh-CN"/>
              </w:rPr>
              <w:t>朋口水厂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gridSpan w:val="2"/>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pacing w:val="-2"/>
                <w:lang w:eastAsia="zh-CN"/>
              </w:rPr>
              <w:t>总计</w:t>
            </w:r>
          </w:p>
        </w:tc>
        <w:tc>
          <w:tcPr>
            <w:tcW w:w="945"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02"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889"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34"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260" w:type="dxa"/>
            <w:vAlign w:val="center"/>
          </w:tcPr>
          <w:p>
            <w:pPr>
              <w:pStyle w:val="20"/>
              <w:pageBreakBefore w:val="0"/>
              <w:kinsoku/>
              <w:topLinePunct w:val="0"/>
              <w:bidi w:val="0"/>
              <w:spacing w:line="360" w:lineRule="auto"/>
              <w:ind w:left="0" w:leftChars="0" w:right="0" w:firstLine="0" w:firstLineChars="0"/>
              <w:jc w:val="center"/>
              <w:rPr>
                <w:rFonts w:hint="eastAsia" w:ascii="宋体" w:hAnsi="宋体" w:eastAsia="宋体" w:cs="宋体"/>
                <w:sz w:val="24"/>
                <w:szCs w:val="24"/>
                <w:vertAlign w:val="baseline"/>
                <w:lang w:val="en-US" w:eastAsia="zh-CN"/>
              </w:rPr>
            </w:pPr>
          </w:p>
        </w:tc>
        <w:tc>
          <w:tcPr>
            <w:tcW w:w="1094" w:type="dxa"/>
            <w:vAlign w:val="center"/>
          </w:tcPr>
          <w:p>
            <w:pPr>
              <w:keepNext w:val="0"/>
              <w:keepLines w:val="0"/>
              <w:pageBreakBefore w:val="0"/>
              <w:widowControl/>
              <w:kinsoku/>
              <w:overflowPunct/>
              <w:topLinePunct w:val="0"/>
              <w:autoSpaceDE/>
              <w:autoSpaceDN/>
              <w:bidi w:val="0"/>
              <w:adjustRightInd w:val="0"/>
              <w:snapToGrid w:val="0"/>
              <w:spacing w:line="360" w:lineRule="auto"/>
              <w:ind w:left="0" w:leftChars="0" w:right="0"/>
              <w:textAlignment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5" w:type="dxa"/>
            <w:gridSpan w:val="8"/>
            <w:vAlign w:val="center"/>
          </w:tcPr>
          <w:p>
            <w:pPr>
              <w:pageBreakBefore w:val="0"/>
              <w:kinsoku/>
              <w:topLinePunct w:val="0"/>
              <w:bidi w:val="0"/>
              <w:spacing w:line="360" w:lineRule="auto"/>
              <w:ind w:left="0" w:leftChars="0" w:right="0"/>
              <w:jc w:val="left"/>
              <w:rPr>
                <w:rFonts w:hint="eastAsia" w:ascii="宋体" w:hAnsi="宋体" w:eastAsia="宋体" w:cs="宋体"/>
                <w:i w:val="0"/>
                <w:iCs w:val="0"/>
                <w:color w:val="000000"/>
                <w:sz w:val="24"/>
                <w:szCs w:val="24"/>
                <w:u w:val="single"/>
                <w:lang w:val="en-US" w:eastAsia="zh-CN"/>
              </w:rPr>
            </w:pPr>
            <w:r>
              <w:rPr>
                <w:rFonts w:hint="eastAsia" w:ascii="宋体" w:hAnsi="宋体" w:eastAsia="宋体" w:cs="宋体"/>
                <w:i w:val="0"/>
                <w:iCs w:val="0"/>
                <w:color w:val="000000"/>
                <w:sz w:val="24"/>
                <w:szCs w:val="24"/>
                <w:u w:val="none"/>
                <w:lang w:val="en-US" w:eastAsia="zh-CN"/>
              </w:rPr>
              <w:t>投标报价总计：</w:t>
            </w:r>
            <w:r>
              <w:rPr>
                <w:rFonts w:hint="eastAsia" w:ascii="宋体" w:hAnsi="宋体" w:eastAsia="宋体" w:cs="宋体"/>
                <w:i w:val="0"/>
                <w:iCs w:val="0"/>
                <w:color w:val="000000"/>
                <w:sz w:val="24"/>
                <w:szCs w:val="24"/>
                <w:u w:val="single"/>
                <w:lang w:val="en-US" w:eastAsia="zh-CN"/>
              </w:rPr>
              <w:t>大写     元（小写：￥     ）</w:t>
            </w:r>
          </w:p>
          <w:p>
            <w:pPr>
              <w:pageBreakBefore w:val="0"/>
              <w:kinsoku/>
              <w:topLinePunct w:val="0"/>
              <w:bidi w:val="0"/>
              <w:spacing w:line="360" w:lineRule="auto"/>
              <w:ind w:left="0" w:leftChars="0" w:right="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竞价人</w:t>
            </w:r>
            <w:r>
              <w:rPr>
                <w:rFonts w:hint="eastAsia" w:ascii="宋体" w:hAnsi="宋体" w:eastAsia="宋体" w:cs="宋体"/>
                <w:i w:val="0"/>
                <w:iCs w:val="0"/>
                <w:color w:val="000000"/>
                <w:sz w:val="24"/>
                <w:szCs w:val="24"/>
                <w:u w:val="none"/>
              </w:rPr>
              <w:t>（公章）：</w:t>
            </w:r>
          </w:p>
          <w:p>
            <w:pPr>
              <w:pageBreakBefore w:val="0"/>
              <w:kinsoku/>
              <w:topLinePunct w:val="0"/>
              <w:bidi w:val="0"/>
              <w:spacing w:line="360" w:lineRule="auto"/>
              <w:ind w:left="0" w:leftChars="0" w:right="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法定代表人</w:t>
            </w:r>
            <w:r>
              <w:rPr>
                <w:rFonts w:hint="eastAsia" w:ascii="宋体" w:hAnsi="宋体" w:eastAsia="宋体" w:cs="宋体"/>
                <w:color w:val="auto"/>
                <w:sz w:val="24"/>
                <w:szCs w:val="24"/>
              </w:rPr>
              <w:t>或授权代理人</w:t>
            </w:r>
            <w:r>
              <w:rPr>
                <w:rFonts w:hint="eastAsia" w:ascii="宋体" w:hAnsi="宋体" w:eastAsia="宋体" w:cs="宋体"/>
                <w:i w:val="0"/>
                <w:iCs w:val="0"/>
                <w:color w:val="000000"/>
                <w:sz w:val="24"/>
                <w:szCs w:val="24"/>
                <w:u w:val="none"/>
              </w:rPr>
              <w:t>（签章）：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both"/>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日期：</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备注：竞价系统填报的总价应与分项报价表的投报总价相同；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w:t>
      </w:r>
      <w:r>
        <w:rPr>
          <w:rFonts w:hint="eastAsia" w:ascii="宋体" w:hAnsi="宋体" w:eastAsia="宋体" w:cs="宋体"/>
          <w:b/>
          <w:bCs/>
          <w:color w:val="auto"/>
          <w:sz w:val="28"/>
          <w:szCs w:val="28"/>
          <w:lang w:val="en-US" w:eastAsia="zh-CN"/>
        </w:rPr>
        <w:t>服务费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本项目合同价款按2期支付，（1）自签订合同六个月后，运维正常，委托人向成交人支付合同金额的50%，付款前成交人应开具相应金额的一般纳税人增值税专用发票（税率6%）给委托人；（2）成交人通过全年考核验收后的30个工作日内，委托人向成交人支付剩余合同金额的50%，付款前成交人应开具相应金额的一般纳税人增值税专用发票（税率6%）给委托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28</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Theme="majorEastAsia" w:hAnsiTheme="majorEastAsia" w:eastAsiaTheme="majorEastAsia" w:cstheme="majorEastAsia"/>
          <w:color w:val="auto"/>
          <w:sz w:val="28"/>
          <w:szCs w:val="28"/>
          <w:u w:val="single"/>
          <w:lang w:val="en-US" w:eastAsia="zh-CN"/>
        </w:rPr>
        <w:t>福地水厂及各乡镇水厂水质在线监测设施设备运维服务项目</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LCCQJJ20251204</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w:t>
      </w:r>
      <w:bookmarkStart w:id="15" w:name="_GoBack"/>
      <w:bookmarkEnd w:id="15"/>
      <w:r>
        <w:rPr>
          <w:rFonts w:hint="eastAsia" w:ascii="宋体" w:hAnsi="宋体" w:eastAsia="宋体" w:cs="宋体"/>
          <w:color w:val="000000"/>
          <w:sz w:val="28"/>
          <w:szCs w:val="28"/>
        </w:rPr>
        <w:t>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5C5371F"/>
    <w:rsid w:val="0804406F"/>
    <w:rsid w:val="081C4C9C"/>
    <w:rsid w:val="0834033F"/>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6070CBD"/>
    <w:rsid w:val="366756A0"/>
    <w:rsid w:val="371B5B3B"/>
    <w:rsid w:val="3741602B"/>
    <w:rsid w:val="38A87E0A"/>
    <w:rsid w:val="39C752B8"/>
    <w:rsid w:val="3A0C4B4E"/>
    <w:rsid w:val="3B9646BE"/>
    <w:rsid w:val="3CDB07AE"/>
    <w:rsid w:val="3CEA4F51"/>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CB141F"/>
    <w:rsid w:val="47ED28F0"/>
    <w:rsid w:val="48556CDA"/>
    <w:rsid w:val="485D0F10"/>
    <w:rsid w:val="48734682"/>
    <w:rsid w:val="4A58410E"/>
    <w:rsid w:val="4ACA1E61"/>
    <w:rsid w:val="4B42467C"/>
    <w:rsid w:val="4C3B28AD"/>
    <w:rsid w:val="4C6355B6"/>
    <w:rsid w:val="4C9D21F0"/>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AAB3051"/>
    <w:rsid w:val="5B280C0A"/>
    <w:rsid w:val="5BA1276A"/>
    <w:rsid w:val="5C1B076F"/>
    <w:rsid w:val="5C2441D3"/>
    <w:rsid w:val="5C4874B6"/>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6F5C73"/>
    <w:rsid w:val="78F75F2F"/>
    <w:rsid w:val="79162DAA"/>
    <w:rsid w:val="7956473D"/>
    <w:rsid w:val="79B76855"/>
    <w:rsid w:val="7A5839FA"/>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5">
    <w:name w:val="Normal Indent"/>
    <w:basedOn w:val="1"/>
    <w:next w:val="1"/>
    <w:qFormat/>
    <w:uiPriority w:val="0"/>
    <w:pPr>
      <w:ind w:firstLine="420"/>
    </w:pPr>
    <w:rPr>
      <w:szCs w:val="20"/>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
    <w:name w:val="FC正文"/>
    <w:basedOn w:val="1"/>
    <w:qFormat/>
    <w:uiPriority w:val="0"/>
    <w:pPr>
      <w:snapToGrid w:val="0"/>
      <w:spacing w:before="50" w:beforeLines="50" w:after="50" w:afterLines="50" w:line="360" w:lineRule="auto"/>
      <w:ind w:firstLine="200" w:firstLineChars="200"/>
      <w:contextualSpacing/>
    </w:pPr>
    <w:rPr>
      <w:rFonts w:ascii="宋体" w:hAnsi="宋体" w:cs="宋体"/>
      <w:sz w:val="24"/>
    </w:rPr>
  </w:style>
  <w:style w:type="paragraph" w:customStyle="1" w:styleId="18">
    <w:name w:val="列表段落1"/>
    <w:basedOn w:val="1"/>
    <w:qFormat/>
    <w:uiPriority w:val="99"/>
    <w:pPr>
      <w:ind w:firstLine="420" w:firstLineChars="200"/>
    </w:pPr>
  </w:style>
  <w:style w:type="paragraph" w:customStyle="1" w:styleId="19">
    <w:name w:val="正文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
    <w:name w:val="Table Text"/>
    <w:basedOn w:val="1"/>
    <w:semiHidden/>
    <w:qFormat/>
    <w:uiPriority w:val="0"/>
    <w:rPr>
      <w:rFonts w:ascii="等线" w:hAnsi="等线" w:eastAsia="等线" w:cs="等线"/>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8943</Words>
  <Characters>9429</Characters>
  <Lines>4</Lines>
  <Paragraphs>7</Paragraphs>
  <TotalTime>4</TotalTime>
  <ScaleCrop>false</ScaleCrop>
  <LinksUpToDate>false</LinksUpToDate>
  <CharactersWithSpaces>9651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2025-11-27T06:38:10Z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