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LCCQJJ20251217-4</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2025年12月17 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2025年12月17日10:00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福建连城国有投资集团有限公司公开竞价选取财务专项审计服务机构</w:t>
      </w:r>
      <w:r>
        <w:rPr>
          <w:rFonts w:hint="eastAsia" w:ascii="宋体" w:hAnsi="宋体" w:eastAsia="宋体" w:cs="宋体"/>
          <w:b w:val="0"/>
          <w:bCs w:val="0"/>
          <w:color w:val="auto"/>
          <w:sz w:val="28"/>
          <w:szCs w:val="28"/>
          <w:lang w:val="en-US" w:eastAsia="zh-CN"/>
        </w:rPr>
        <w:t>。</w:t>
      </w:r>
    </w:p>
    <w:p w14:paraId="47FD0B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2.审计内容：</w:t>
      </w:r>
      <w:r>
        <w:rPr>
          <w:rFonts w:hint="eastAsia" w:ascii="宋体" w:hAnsi="宋体" w:eastAsia="宋体" w:cs="宋体"/>
          <w:color w:val="auto"/>
          <w:sz w:val="28"/>
          <w:szCs w:val="28"/>
          <w:lang w:val="en-US" w:eastAsia="zh-CN"/>
        </w:rPr>
        <w:t>对</w:t>
      </w:r>
      <w:r>
        <w:rPr>
          <w:rFonts w:hint="eastAsia" w:ascii="宋体" w:hAnsi="宋体" w:cs="宋体"/>
          <w:color w:val="auto"/>
          <w:sz w:val="28"/>
          <w:szCs w:val="28"/>
          <w:lang w:val="en-US" w:eastAsia="zh-CN"/>
        </w:rPr>
        <w:t>连</w:t>
      </w:r>
      <w:r>
        <w:rPr>
          <w:rFonts w:hint="eastAsia" w:ascii="宋体" w:hAnsi="宋体" w:eastAsia="宋体" w:cs="宋体"/>
          <w:color w:val="auto"/>
          <w:sz w:val="28"/>
          <w:szCs w:val="28"/>
          <w:lang w:val="en-US" w:eastAsia="zh-CN"/>
        </w:rPr>
        <w:t>城县金姑田民俗文化发展有限公司、连城县金姑田旅游开发有限公司两家公司进行财务专项审计。</w:t>
      </w:r>
    </w:p>
    <w:p w14:paraId="5005D0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3.最高限价：10000元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val="en-US" w:eastAsia="zh-CN"/>
        </w:rPr>
        <w:t>0元</w:t>
      </w:r>
      <w:r>
        <w:rPr>
          <w:rFonts w:hint="eastAsia" w:ascii="宋体" w:hAnsi="宋体" w:cs="宋体"/>
          <w:color w:val="auto"/>
          <w:sz w:val="28"/>
          <w:szCs w:val="28"/>
          <w:lang w:val="en-US" w:eastAsia="zh-CN"/>
        </w:rPr>
        <w:t>。</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auto"/>
          <w:sz w:val="28"/>
          <w:szCs w:val="28"/>
          <w:lang w:val="en-US" w:eastAsia="zh-CN"/>
        </w:rPr>
        <w:t>自合同签订之日起10天内完成审计工作并提交审计报告</w:t>
      </w:r>
      <w:r>
        <w:rPr>
          <w:rFonts w:hint="eastAsia" w:ascii="宋体" w:hAnsi="宋体" w:eastAsia="宋体" w:cs="宋体"/>
          <w:b w:val="0"/>
          <w:bCs w:val="0"/>
          <w:color w:val="auto"/>
          <w:sz w:val="28"/>
          <w:szCs w:val="28"/>
          <w:lang w:val="en-US" w:eastAsia="zh-CN"/>
        </w:rPr>
        <w:t>。</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p>
    <w:p w14:paraId="772255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（1）在审计过程中严格按照现行《会计准则》和《中国注册会计师审计准则》的要求进行审计。</w:t>
      </w:r>
    </w:p>
    <w:p w14:paraId="42E3F3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（2）审计目的对</w:t>
      </w:r>
      <w:r>
        <w:rPr>
          <w:rFonts w:hint="eastAsia" w:ascii="宋体" w:hAnsi="宋体" w:cs="宋体"/>
          <w:color w:val="auto"/>
          <w:sz w:val="28"/>
          <w:szCs w:val="28"/>
          <w:lang w:val="en-US" w:eastAsia="zh-CN"/>
        </w:rPr>
        <w:t>连</w:t>
      </w:r>
      <w:r>
        <w:rPr>
          <w:rFonts w:hint="eastAsia" w:ascii="宋体" w:hAnsi="宋体" w:eastAsia="宋体" w:cs="宋体"/>
          <w:color w:val="auto"/>
          <w:sz w:val="28"/>
          <w:szCs w:val="28"/>
          <w:lang w:val="en-US" w:eastAsia="zh-CN"/>
        </w:rPr>
        <w:t>城县金姑田民俗文化发展有限公司、连城县金姑田旅游开发有限公司两家公司进行财务专项审计。</w:t>
      </w:r>
    </w:p>
    <w:p w14:paraId="1272EF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）成交人及拟派注册会计师对出具的审计报告的客观性、真实性、公正性负责。</w:t>
      </w:r>
    </w:p>
    <w:p w14:paraId="195BB6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）对执行审计业务过程中知悉委托方商业秘密应严加保密、对委托方提供的有关资料和审计结果保密，并承担由此引起的法律纠纷。</w:t>
      </w:r>
    </w:p>
    <w:p w14:paraId="474559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）成交人在出具纸质审计报告的同时，需报送同口径的电子文档。</w:t>
      </w:r>
    </w:p>
    <w:p w14:paraId="52EB2B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）成交人及其拟派的注册会计师违反有关法律法规，与企业及相关人员串通，弄虚作假，出具不实或虚假内容的审计报告的，委托方将通报有关部门依法予以处罚,并予以调整更换。</w:t>
      </w:r>
    </w:p>
    <w:p w14:paraId="7ED6F9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）成交人如果没有根据委托方要求在审计工作期间进行签到的，委托方有权解除委托合同，同时成交人须向委托方支付审计费用30%的违约金。</w:t>
      </w:r>
    </w:p>
    <w:p w14:paraId="4889EF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）成交人不能按期完成审计任务的，委托方可视实际情况考虑予以更换，并由该成交人承担由此引起的经济损失和法律责任。</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4BA31A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1.遵守中华人民共和国法律、法规，具备国家行业主管部门颁发的有效执业资质的中介机构,但已经被列入失信被执行人名单（截止报名时间）的除外。</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00元，必须于2025年1</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 xml:space="preserve"> 日</w:t>
      </w:r>
      <w:r>
        <w:rPr>
          <w:rFonts w:hint="eastAsia" w:ascii="宋体" w:hAnsi="宋体" w:cs="宋体"/>
          <w:color w:val="auto"/>
          <w:sz w:val="28"/>
          <w:szCs w:val="28"/>
          <w:lang w:val="en-US" w:eastAsia="zh-CN"/>
        </w:rPr>
        <w:t>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2.竞价成交后，成交人必须在成交之日起2个工作日内与本公司签订《竞价结果通知书》，并在签订《竞价结果通知书》2个工作日内向委托人提供《委托</w:t>
      </w:r>
      <w:r>
        <w:rPr>
          <w:rFonts w:hint="eastAsia" w:ascii="宋体" w:hAnsi="宋体" w:cs="宋体"/>
          <w:color w:val="auto"/>
          <w:sz w:val="28"/>
          <w:szCs w:val="28"/>
          <w:lang w:val="en-US" w:eastAsia="zh-CN"/>
        </w:rPr>
        <w:t>服务</w:t>
      </w:r>
      <w:r>
        <w:rPr>
          <w:rFonts w:hint="eastAsia" w:ascii="宋体" w:hAnsi="宋体" w:eastAsia="宋体" w:cs="宋体"/>
          <w:color w:val="auto"/>
          <w:sz w:val="28"/>
          <w:szCs w:val="28"/>
          <w:lang w:val="en-US" w:eastAsia="zh-CN"/>
        </w:rPr>
        <w:t>合同》，由委托人经过相应审批程序后签订。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9D97CC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（1）中介机构营业执照副本、法定代表人身份证复印件；</w:t>
      </w:r>
    </w:p>
    <w:p w14:paraId="34CA2BC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（2）执业资质证书或备案证明复印件；</w:t>
      </w:r>
    </w:p>
    <w:p w14:paraId="3DC6BC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（3）签订完整的承诺书；</w:t>
      </w:r>
    </w:p>
    <w:p w14:paraId="02FC421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（4）已缴纳的竞价保证金凭证；</w:t>
      </w:r>
    </w:p>
    <w:p w14:paraId="04CA3C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成交人出具正式审计报告和增值税发票资料，经委托方确认后将在7个工作日内支付。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2025年1</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92AF72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05E666D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2672FFB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03591EE2">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3A52B172">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17</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eastAsia="宋体" w:cs="宋体"/>
          <w:color w:val="auto"/>
          <w:sz w:val="28"/>
          <w:szCs w:val="28"/>
          <w:u w:val="single"/>
          <w:lang w:val="en-US" w:eastAsia="zh-CN"/>
        </w:rPr>
        <w:t>福建连城国有投资集团有限公司公开竞价选取财务专项审计服务机构</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LCCQJJ20251217-4</w:t>
      </w:r>
      <w:bookmarkStart w:id="0" w:name="_GoBack"/>
      <w:bookmarkEnd w:id="0"/>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E133F"/>
    <w:rsid w:val="039E3DB5"/>
    <w:rsid w:val="04973358"/>
    <w:rsid w:val="0804406F"/>
    <w:rsid w:val="081C4C9C"/>
    <w:rsid w:val="0834033F"/>
    <w:rsid w:val="0AEE0C79"/>
    <w:rsid w:val="0BEB0CCA"/>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394265"/>
    <w:rsid w:val="1A8962C8"/>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49D0C90"/>
    <w:rsid w:val="36070CBD"/>
    <w:rsid w:val="366756A0"/>
    <w:rsid w:val="371B5B3B"/>
    <w:rsid w:val="3741602B"/>
    <w:rsid w:val="38A87E0A"/>
    <w:rsid w:val="39C752B8"/>
    <w:rsid w:val="3A0C4B4E"/>
    <w:rsid w:val="3CDB07AE"/>
    <w:rsid w:val="3D3F6CF4"/>
    <w:rsid w:val="3D71306C"/>
    <w:rsid w:val="3DC87AC0"/>
    <w:rsid w:val="3E166E94"/>
    <w:rsid w:val="3FA56A13"/>
    <w:rsid w:val="405D3D50"/>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4DF78E7"/>
    <w:rsid w:val="664A0B53"/>
    <w:rsid w:val="67A07D7A"/>
    <w:rsid w:val="67B160B6"/>
    <w:rsid w:val="680A030D"/>
    <w:rsid w:val="69113EED"/>
    <w:rsid w:val="6B776A6D"/>
    <w:rsid w:val="6CA81B7D"/>
    <w:rsid w:val="6D7B66F3"/>
    <w:rsid w:val="6E661D1D"/>
    <w:rsid w:val="7007345D"/>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3955</Words>
  <Characters>4264</Characters>
  <Lines>4</Lines>
  <Paragraphs>7</Paragraphs>
  <TotalTime>1</TotalTime>
  <ScaleCrop>false</ScaleCrop>
  <LinksUpToDate>false</LinksUpToDate>
  <CharactersWithSpaces>4367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2025-12-11T07:36:00Z</cp:lastPrinted>
  <dcterms:modified xsi:type="dcterms:W3CDTF">2025-12-11T08:26:25Z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