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C30A82">
      <w:pPr>
        <w:keepNext w:val="0"/>
        <w:keepLines w:val="0"/>
        <w:pageBreakBefore w:val="0"/>
        <w:widowControl/>
        <w:shd w:val="clear" w:color="auto" w:fill="FFFFFF"/>
        <w:kinsoku/>
        <w:wordWrap/>
        <w:overflowPunct/>
        <w:topLinePunct w:val="0"/>
        <w:autoSpaceDE/>
        <w:autoSpaceDN/>
        <w:bidi w:val="0"/>
        <w:adjustRightInd/>
        <w:snapToGrid w:val="0"/>
        <w:spacing w:before="225" w:line="360" w:lineRule="exact"/>
        <w:jc w:val="center"/>
        <w:textAlignment w:val="auto"/>
        <w:rPr>
          <w:rFonts w:hint="eastAsia" w:ascii="宋体" w:hAnsi="宋体" w:eastAsia="宋体" w:cs="宋体"/>
          <w:color w:val="auto"/>
          <w:sz w:val="44"/>
          <w:szCs w:val="44"/>
        </w:rPr>
      </w:pPr>
      <w:r>
        <w:rPr>
          <w:rFonts w:hint="eastAsia" w:ascii="宋体" w:hAnsi="宋体" w:eastAsia="宋体" w:cs="宋体"/>
          <w:b/>
          <w:bCs/>
          <w:color w:val="auto"/>
          <w:kern w:val="0"/>
          <w:sz w:val="44"/>
          <w:szCs w:val="44"/>
          <w:shd w:val="clear" w:color="auto" w:fill="FFFFFF"/>
        </w:rPr>
        <w:t>网络竞价须知</w:t>
      </w:r>
    </w:p>
    <w:p w14:paraId="4075846D">
      <w:pPr>
        <w:keepNext w:val="0"/>
        <w:keepLines w:val="0"/>
        <w:pageBreakBefore w:val="0"/>
        <w:widowControl/>
        <w:shd w:val="clear" w:color="auto" w:fill="FFFFFF"/>
        <w:kinsoku/>
        <w:wordWrap/>
        <w:overflowPunct/>
        <w:topLinePunct w:val="0"/>
        <w:autoSpaceDE/>
        <w:autoSpaceDN/>
        <w:bidi w:val="0"/>
        <w:adjustRightInd/>
        <w:snapToGrid w:val="0"/>
        <w:spacing w:before="225" w:line="360" w:lineRule="exact"/>
        <w:jc w:val="center"/>
        <w:textAlignment w:val="auto"/>
        <w:rPr>
          <w:rFonts w:hint="eastAsia" w:ascii="宋体" w:hAnsi="宋体" w:eastAsia="宋体" w:cs="宋体"/>
          <w:color w:val="auto"/>
          <w:sz w:val="28"/>
          <w:szCs w:val="28"/>
        </w:rPr>
      </w:pPr>
      <w:r>
        <w:rPr>
          <w:rFonts w:hint="eastAsia" w:ascii="宋体" w:hAnsi="宋体" w:eastAsia="宋体" w:cs="宋体"/>
          <w:b/>
          <w:bCs/>
          <w:color w:val="auto"/>
          <w:kern w:val="0"/>
          <w:sz w:val="28"/>
          <w:szCs w:val="28"/>
          <w:shd w:val="clear" w:color="auto" w:fill="FFFFFF"/>
        </w:rPr>
        <w:t>（项目编号:</w:t>
      </w:r>
      <w:r>
        <w:rPr>
          <w:rFonts w:hint="eastAsia" w:ascii="宋体" w:hAnsi="宋体" w:cs="宋体"/>
          <w:b/>
          <w:bCs/>
          <w:color w:val="auto"/>
          <w:kern w:val="0"/>
          <w:sz w:val="28"/>
          <w:szCs w:val="28"/>
          <w:shd w:val="clear" w:color="auto" w:fill="FFFFFF"/>
          <w:lang w:eastAsia="zh-CN"/>
        </w:rPr>
        <w:t>LCCQJJ202512</w:t>
      </w:r>
      <w:r>
        <w:rPr>
          <w:rFonts w:hint="eastAsia" w:ascii="宋体" w:hAnsi="宋体" w:cs="宋体"/>
          <w:b/>
          <w:bCs/>
          <w:color w:val="auto"/>
          <w:kern w:val="0"/>
          <w:sz w:val="28"/>
          <w:szCs w:val="28"/>
          <w:shd w:val="clear" w:color="auto" w:fill="FFFFFF"/>
          <w:lang w:val="en-US" w:eastAsia="zh-CN"/>
        </w:rPr>
        <w:t>31</w:t>
      </w:r>
      <w:r>
        <w:rPr>
          <w:rFonts w:hint="eastAsia" w:ascii="宋体" w:hAnsi="宋体" w:eastAsia="宋体" w:cs="宋体"/>
          <w:b/>
          <w:bCs/>
          <w:color w:val="auto"/>
          <w:kern w:val="0"/>
          <w:sz w:val="28"/>
          <w:szCs w:val="28"/>
          <w:shd w:val="clear" w:color="auto" w:fill="FFFFFF"/>
        </w:rPr>
        <w:t>）</w:t>
      </w:r>
    </w:p>
    <w:p w14:paraId="59EC2C29">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p>
    <w:p w14:paraId="5FF80A10">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连城县国有资产产权交易服务有限公司（以下简称本公司）遵循“公开、公平、公正、诚实信用”的原则，依照国家法律、法规、政策为本次竞价活动提供服务。现将有关竞价事项告知如下：</w:t>
      </w:r>
    </w:p>
    <w:p w14:paraId="359CC9B8">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b/>
          <w:bCs/>
          <w:color w:val="auto"/>
          <w:sz w:val="28"/>
          <w:szCs w:val="28"/>
          <w:lang w:val="en-US" w:eastAsia="zh-CN"/>
        </w:rPr>
        <w:t>一、公开竞价、报名时间、地点</w:t>
      </w:r>
    </w:p>
    <w:p w14:paraId="56F77253">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竞价</w:t>
      </w:r>
      <w:r>
        <w:rPr>
          <w:rFonts w:hint="eastAsia" w:ascii="宋体" w:hAnsi="宋体" w:cs="宋体"/>
          <w:color w:val="auto"/>
          <w:sz w:val="28"/>
          <w:szCs w:val="28"/>
          <w:lang w:val="en-US" w:eastAsia="zh-CN"/>
        </w:rPr>
        <w:t>截</w:t>
      </w:r>
      <w:r>
        <w:rPr>
          <w:rFonts w:hint="eastAsia" w:ascii="宋体" w:hAnsi="宋体" w:eastAsia="宋体" w:cs="宋体"/>
          <w:color w:val="auto"/>
          <w:sz w:val="28"/>
          <w:szCs w:val="28"/>
          <w:lang w:val="en-US" w:eastAsia="zh-CN"/>
        </w:rPr>
        <w:t>止时间：</w:t>
      </w:r>
      <w:r>
        <w:rPr>
          <w:rFonts w:hint="eastAsia" w:ascii="宋体" w:hAnsi="宋体" w:cs="宋体"/>
          <w:color w:val="auto"/>
          <w:sz w:val="28"/>
          <w:szCs w:val="28"/>
          <w:lang w:val="en-US" w:eastAsia="zh-CN"/>
        </w:rPr>
        <w:t>2025年12月31日10:00止</w:t>
      </w:r>
      <w:r>
        <w:rPr>
          <w:rFonts w:hint="eastAsia" w:ascii="宋体" w:hAnsi="宋体" w:eastAsia="宋体" w:cs="宋体"/>
          <w:color w:val="auto"/>
          <w:sz w:val="28"/>
          <w:szCs w:val="28"/>
          <w:lang w:val="en-US" w:eastAsia="zh-CN"/>
        </w:rPr>
        <w:t>。</w:t>
      </w:r>
    </w:p>
    <w:p w14:paraId="5A1DB88E">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竞价地点：</w:t>
      </w:r>
      <w:r>
        <w:rPr>
          <w:rFonts w:hint="eastAsia" w:ascii="宋体" w:hAnsi="宋体" w:eastAsia="宋体" w:cs="宋体"/>
          <w:color w:val="auto"/>
          <w:sz w:val="28"/>
          <w:szCs w:val="28"/>
          <w:lang w:eastAsia="zh-CN"/>
        </w:rPr>
        <w:t>连城县招标投标交易平台</w:t>
      </w: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https://lcyjy.enjoy5191.com/home</w:t>
      </w:r>
      <w:r>
        <w:rPr>
          <w:rFonts w:hint="eastAsia" w:ascii="宋体" w:hAnsi="宋体" w:eastAsia="宋体" w:cs="宋体"/>
          <w:color w:val="auto"/>
          <w:sz w:val="28"/>
          <w:szCs w:val="28"/>
        </w:rPr>
        <w:t xml:space="preserve"> )</w:t>
      </w:r>
    </w:p>
    <w:p w14:paraId="6EF3AA59">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报名</w:t>
      </w:r>
      <w:r>
        <w:rPr>
          <w:rFonts w:hint="eastAsia" w:ascii="宋体" w:hAnsi="宋体" w:cs="宋体"/>
          <w:color w:val="auto"/>
          <w:sz w:val="28"/>
          <w:szCs w:val="28"/>
          <w:lang w:val="en-US" w:eastAsia="zh-CN"/>
        </w:rPr>
        <w:t>截止</w:t>
      </w:r>
      <w:r>
        <w:rPr>
          <w:rFonts w:hint="eastAsia" w:ascii="宋体" w:hAnsi="宋体" w:eastAsia="宋体" w:cs="宋体"/>
          <w:color w:val="auto"/>
          <w:sz w:val="28"/>
          <w:szCs w:val="28"/>
          <w:lang w:val="en-US" w:eastAsia="zh-CN"/>
        </w:rPr>
        <w:t>时间：</w:t>
      </w:r>
      <w:r>
        <w:rPr>
          <w:rFonts w:hint="eastAsia" w:ascii="宋体" w:hAnsi="宋体" w:cs="宋体"/>
          <w:color w:val="auto"/>
          <w:sz w:val="28"/>
          <w:szCs w:val="28"/>
          <w:lang w:val="en-US" w:eastAsia="zh-CN"/>
        </w:rPr>
        <w:t>2025年12月31日10:00</w:t>
      </w:r>
      <w:r>
        <w:rPr>
          <w:rFonts w:hint="eastAsia" w:ascii="宋体" w:hAnsi="宋体" w:eastAsia="宋体" w:cs="宋体"/>
          <w:color w:val="auto"/>
          <w:sz w:val="28"/>
          <w:szCs w:val="28"/>
          <w:lang w:val="en-US" w:eastAsia="zh-CN"/>
        </w:rPr>
        <w:t>止</w:t>
      </w:r>
      <w:r>
        <w:rPr>
          <w:rFonts w:hint="eastAsia" w:ascii="宋体" w:hAnsi="宋体" w:cs="宋体"/>
          <w:color w:val="auto"/>
          <w:sz w:val="28"/>
          <w:szCs w:val="28"/>
          <w:lang w:val="en-US" w:eastAsia="zh-CN"/>
        </w:rPr>
        <w:t>。</w:t>
      </w:r>
    </w:p>
    <w:p w14:paraId="208A08BA">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报名地点：连城县国有资产产权交易服务有限公司（福建省龙岩市连城县莲峰镇李彭村彭坊桥路1号4层）</w:t>
      </w:r>
    </w:p>
    <w:p w14:paraId="664BF254">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连城产权联系</w:t>
      </w:r>
      <w:r>
        <w:rPr>
          <w:rFonts w:hint="eastAsia" w:ascii="宋体" w:hAnsi="宋体" w:cs="宋体"/>
          <w:color w:val="auto"/>
          <w:sz w:val="28"/>
          <w:szCs w:val="28"/>
          <w:lang w:val="en-US" w:eastAsia="zh-CN"/>
        </w:rPr>
        <w:t>人及</w:t>
      </w:r>
      <w:r>
        <w:rPr>
          <w:rFonts w:hint="eastAsia" w:ascii="宋体" w:hAnsi="宋体" w:eastAsia="宋体" w:cs="宋体"/>
          <w:color w:val="auto"/>
          <w:sz w:val="28"/>
          <w:szCs w:val="28"/>
          <w:lang w:val="en-US" w:eastAsia="zh-CN"/>
        </w:rPr>
        <w:t>电话：</w:t>
      </w:r>
      <w:r>
        <w:rPr>
          <w:rFonts w:hint="eastAsia" w:ascii="宋体" w:hAnsi="宋体" w:cs="宋体"/>
          <w:color w:val="auto"/>
          <w:sz w:val="28"/>
          <w:szCs w:val="28"/>
          <w:lang w:val="en-US" w:eastAsia="zh-CN"/>
        </w:rPr>
        <w:t>林女士18039848961</w:t>
      </w:r>
    </w:p>
    <w:p w14:paraId="025B69B3">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二、项目概况及工作要求</w:t>
      </w:r>
    </w:p>
    <w:p w14:paraId="630310F5">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1.项目名称：</w:t>
      </w:r>
      <w:r>
        <w:rPr>
          <w:rFonts w:hint="eastAsia" w:ascii="宋体" w:hAnsi="宋体" w:cs="宋体"/>
          <w:b w:val="0"/>
          <w:bCs w:val="0"/>
          <w:color w:val="auto"/>
          <w:sz w:val="28"/>
          <w:szCs w:val="28"/>
          <w:lang w:val="en-US" w:eastAsia="zh-CN"/>
        </w:rPr>
        <w:t>连城县增发国债庙前等3个乡(镇)2025 年高标准农田建设项目(2024年结余资金)监理</w:t>
      </w:r>
      <w:r>
        <w:rPr>
          <w:rFonts w:hint="eastAsia" w:ascii="宋体" w:hAnsi="宋体" w:eastAsia="宋体" w:cs="宋体"/>
          <w:b w:val="0"/>
          <w:bCs w:val="0"/>
          <w:color w:val="auto"/>
          <w:sz w:val="28"/>
          <w:szCs w:val="28"/>
          <w:lang w:val="en-US" w:eastAsia="zh-CN"/>
        </w:rPr>
        <w:t>。</w:t>
      </w:r>
    </w:p>
    <w:p w14:paraId="154422B3">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2.服务地点：连城县。</w:t>
      </w:r>
    </w:p>
    <w:p w14:paraId="01BA024B">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3.工程建设规模：</w:t>
      </w:r>
      <w:bookmarkStart w:id="0" w:name="EBfd9ea9aac992427788d30a3abd5dea56"/>
      <w:r>
        <w:rPr>
          <w:rFonts w:hint="eastAsia" w:ascii="宋体" w:hAnsi="宋体" w:cs="宋体"/>
          <w:b w:val="0"/>
          <w:bCs w:val="0"/>
          <w:color w:val="auto"/>
          <w:sz w:val="28"/>
          <w:szCs w:val="28"/>
          <w:lang w:val="en-US" w:eastAsia="zh-CN"/>
        </w:rPr>
        <w:t>本项目为连城县增发国债庙前等3个乡(镇)2025年高标准农田建设项目(2024年结余资金)在庙前镇、宣和镇、罗坊乡等3个乡镇10个村境内实施，建设规模1550亩。</w:t>
      </w:r>
      <w:bookmarkEnd w:id="0"/>
      <w:r>
        <w:rPr>
          <w:rFonts w:hint="eastAsia" w:ascii="宋体" w:hAnsi="宋体" w:cs="宋体"/>
          <w:b w:val="0"/>
          <w:bCs w:val="0"/>
          <w:color w:val="auto"/>
          <w:sz w:val="28"/>
          <w:szCs w:val="28"/>
          <w:lang w:val="en-US" w:eastAsia="zh-CN"/>
        </w:rPr>
        <w:t>工程施工费416.37万元。</w:t>
      </w:r>
    </w:p>
    <w:p w14:paraId="2676C11D">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4.监理服务费：本项目最高监理费费率为2.00%。</w:t>
      </w:r>
    </w:p>
    <w:p w14:paraId="4B01F255">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5.结算价格：按经有关部门结算审核后的工程造价×成交监理费费率。</w:t>
      </w:r>
    </w:p>
    <w:p w14:paraId="182A1816">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 xml:space="preserve">6.质量要求: </w:t>
      </w:r>
      <w:bookmarkStart w:id="1" w:name="EB88d6aab57bab450bac995f9a77e859ab"/>
      <w:r>
        <w:rPr>
          <w:rFonts w:hint="eastAsia" w:ascii="宋体" w:hAnsi="宋体" w:eastAsia="宋体" w:cs="宋体"/>
          <w:b w:val="0"/>
          <w:bCs w:val="0"/>
          <w:color w:val="auto"/>
          <w:sz w:val="28"/>
          <w:szCs w:val="28"/>
          <w:lang w:val="en-US" w:eastAsia="zh-CN"/>
        </w:rPr>
        <w:t>达到《水利水电工程施工质量检验与评定规程》（SL176-2007）及其它相关规范合格标准</w:t>
      </w:r>
      <w:bookmarkEnd w:id="1"/>
      <w:r>
        <w:rPr>
          <w:rFonts w:hint="eastAsia" w:ascii="宋体" w:hAnsi="宋体" w:eastAsia="宋体" w:cs="宋体"/>
          <w:b w:val="0"/>
          <w:bCs w:val="0"/>
          <w:color w:val="auto"/>
          <w:sz w:val="28"/>
          <w:szCs w:val="28"/>
          <w:lang w:val="en-US" w:eastAsia="zh-CN"/>
        </w:rPr>
        <w:t>。</w:t>
      </w:r>
    </w:p>
    <w:p w14:paraId="1057FE9C">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cs="宋体"/>
          <w:b w:val="0"/>
          <w:bCs w:val="0"/>
          <w:color w:val="auto"/>
          <w:sz w:val="28"/>
          <w:szCs w:val="28"/>
          <w:lang w:val="en-US" w:eastAsia="zh-CN"/>
        </w:rPr>
        <w:t>7</w:t>
      </w:r>
      <w:r>
        <w:rPr>
          <w:rFonts w:hint="eastAsia" w:ascii="宋体" w:hAnsi="宋体" w:eastAsia="宋体" w:cs="宋体"/>
          <w:b w:val="0"/>
          <w:bCs w:val="0"/>
          <w:color w:val="auto"/>
          <w:sz w:val="28"/>
          <w:szCs w:val="28"/>
          <w:lang w:val="en-US" w:eastAsia="zh-CN"/>
        </w:rPr>
        <w:t>.服务期限：施工工期+</w:t>
      </w:r>
      <w:bookmarkStart w:id="2" w:name="EBef7fdf6bf5de4cb6afbad1c038f4908b"/>
      <w:r>
        <w:rPr>
          <w:rFonts w:hint="eastAsia" w:ascii="宋体" w:hAnsi="宋体" w:eastAsia="宋体" w:cs="宋体"/>
          <w:b w:val="0"/>
          <w:bCs w:val="0"/>
          <w:color w:val="auto"/>
          <w:sz w:val="28"/>
          <w:szCs w:val="28"/>
          <w:lang w:val="en-US" w:eastAsia="zh-CN"/>
        </w:rPr>
        <w:t>从工程开工到工程完工（竣工）验收直至工程结算审核、资料移交备案完毕全过程（含施工、劳务及采购（如有时）及缺陷责任期）</w:t>
      </w:r>
      <w:bookmarkEnd w:id="2"/>
      <w:r>
        <w:rPr>
          <w:rFonts w:hint="eastAsia" w:ascii="宋体" w:hAnsi="宋体" w:eastAsia="宋体" w:cs="宋体"/>
          <w:b w:val="0"/>
          <w:bCs w:val="0"/>
          <w:color w:val="auto"/>
          <w:sz w:val="28"/>
          <w:szCs w:val="28"/>
          <w:lang w:val="en-US" w:eastAsia="zh-CN"/>
        </w:rPr>
        <w:t>日历天，具体服从委托人实际安排。</w:t>
      </w:r>
    </w:p>
    <w:p w14:paraId="5F749100">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cs="宋体"/>
          <w:b w:val="0"/>
          <w:bCs w:val="0"/>
          <w:color w:val="auto"/>
          <w:sz w:val="28"/>
          <w:szCs w:val="28"/>
          <w:lang w:val="en-US" w:eastAsia="zh-CN"/>
        </w:rPr>
        <w:t>8</w:t>
      </w:r>
      <w:r>
        <w:rPr>
          <w:rFonts w:hint="eastAsia" w:ascii="宋体" w:hAnsi="宋体" w:eastAsia="宋体" w:cs="宋体"/>
          <w:b w:val="0"/>
          <w:bCs w:val="0"/>
          <w:color w:val="auto"/>
          <w:sz w:val="28"/>
          <w:szCs w:val="28"/>
          <w:lang w:val="en-US" w:eastAsia="zh-CN"/>
        </w:rPr>
        <w:t>.服务合同：成交通知书发出后10个工作日内与委托人签订合同。</w:t>
      </w:r>
    </w:p>
    <w:p w14:paraId="7F6EC184">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cs="宋体"/>
          <w:b w:val="0"/>
          <w:bCs w:val="0"/>
          <w:color w:val="auto"/>
          <w:sz w:val="28"/>
          <w:szCs w:val="28"/>
          <w:lang w:val="en-US" w:eastAsia="zh-CN"/>
        </w:rPr>
        <w:t>9</w:t>
      </w:r>
      <w:r>
        <w:rPr>
          <w:rFonts w:hint="eastAsia" w:ascii="宋体" w:hAnsi="宋体" w:eastAsia="宋体" w:cs="宋体"/>
          <w:b w:val="0"/>
          <w:bCs w:val="0"/>
          <w:color w:val="auto"/>
          <w:sz w:val="28"/>
          <w:szCs w:val="28"/>
          <w:lang w:val="en-US" w:eastAsia="zh-CN"/>
        </w:rPr>
        <w:t>.监理服务费支付：本项目竣工验收合格后，</w:t>
      </w:r>
      <w:r>
        <w:rPr>
          <w:rFonts w:hint="eastAsia" w:ascii="宋体" w:hAnsi="宋体" w:cs="宋体"/>
          <w:b w:val="0"/>
          <w:bCs w:val="0"/>
          <w:color w:val="auto"/>
          <w:sz w:val="28"/>
          <w:szCs w:val="28"/>
          <w:lang w:val="en-US" w:eastAsia="zh-CN"/>
        </w:rPr>
        <w:t>成交人</w:t>
      </w:r>
      <w:r>
        <w:rPr>
          <w:rFonts w:hint="eastAsia" w:ascii="宋体" w:hAnsi="宋体" w:eastAsia="宋体" w:cs="宋体"/>
          <w:b w:val="0"/>
          <w:bCs w:val="0"/>
          <w:color w:val="auto"/>
          <w:sz w:val="28"/>
          <w:szCs w:val="28"/>
          <w:lang w:val="en-US" w:eastAsia="zh-CN"/>
        </w:rPr>
        <w:t>开具全额增值税发票，向委托人办理相关支付手续。</w:t>
      </w:r>
    </w:p>
    <w:p w14:paraId="257307D0">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cs="宋体"/>
          <w:b w:val="0"/>
          <w:bCs w:val="0"/>
          <w:color w:val="auto"/>
          <w:sz w:val="28"/>
          <w:szCs w:val="28"/>
          <w:lang w:val="en-US" w:eastAsia="zh-CN"/>
        </w:rPr>
      </w:pPr>
      <w:r>
        <w:rPr>
          <w:rFonts w:hint="eastAsia" w:ascii="宋体" w:hAnsi="宋体" w:cs="宋体"/>
          <w:b w:val="0"/>
          <w:bCs w:val="0"/>
          <w:color w:val="auto"/>
          <w:sz w:val="28"/>
          <w:szCs w:val="28"/>
          <w:lang w:val="en-US" w:eastAsia="zh-CN"/>
        </w:rPr>
        <w:t>10.最高限价：本项目最高监理费费率为2.00%，最终按工程施工结算审核造价*成交监理费费率进行结算（含税包干）。本次竞价人报价以监理费费率进行报价（保留小数点后两位，小数点后第三位“四舍五入”，例如，所报监理费费率为1.88%，即在系统投标报价填写为1.88），竞价人在报价时不得高于最高限价，根据有效竞价人报价排名情况，由低到高排序，最低的一名即为成交人。</w:t>
      </w:r>
    </w:p>
    <w:p w14:paraId="09E591DA">
      <w:pPr>
        <w:keepNext w:val="0"/>
        <w:keepLines w:val="0"/>
        <w:pageBreakBefore w:val="0"/>
        <w:widowControl/>
        <w:kinsoku/>
        <w:wordWrap/>
        <w:topLinePunct w:val="0"/>
        <w:bidi w:val="0"/>
        <w:spacing w:line="360" w:lineRule="auto"/>
        <w:ind w:left="0" w:firstLine="480"/>
        <w:jc w:val="left"/>
        <w:rPr>
          <w:rFonts w:hint="eastAsia"/>
          <w:color w:val="auto"/>
          <w:lang w:val="en-US" w:eastAsia="zh-CN"/>
        </w:rPr>
      </w:pPr>
      <w:r>
        <w:rPr>
          <w:rFonts w:hint="eastAsia" w:ascii="宋体" w:hAnsi="宋体" w:eastAsia="宋体" w:cs="宋体"/>
          <w:b/>
          <w:bCs/>
          <w:color w:val="auto"/>
          <w:kern w:val="2"/>
          <w:sz w:val="28"/>
          <w:szCs w:val="28"/>
          <w:lang w:val="en-US" w:eastAsia="zh-CN" w:bidi="ar-SA"/>
        </w:rPr>
        <w:t>特别提示</w:t>
      </w:r>
      <w:r>
        <w:rPr>
          <w:rFonts w:hint="eastAsia" w:ascii="宋体" w:hAnsi="宋体" w:eastAsia="宋体" w:cs="宋体"/>
          <w:b w:val="0"/>
          <w:bCs w:val="0"/>
          <w:color w:val="auto"/>
          <w:kern w:val="2"/>
          <w:sz w:val="28"/>
          <w:szCs w:val="28"/>
          <w:lang w:val="en-US" w:eastAsia="zh-CN" w:bidi="ar-SA"/>
        </w:rPr>
        <w:t>：本项目不集中组织现场踏勘，竞价人可根据本公告所提供的内容要求自行踏勘现场(相关责任由竞价人自行承担)，竞价人对本次供货内容应有充分认识，自行判断能够完成本项目所需的费用。成交人不得以实际情况与现场不一致而要求委托人给予以补偿。</w:t>
      </w:r>
    </w:p>
    <w:p w14:paraId="4DBE7F6B">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三、竞价资格</w:t>
      </w:r>
    </w:p>
    <w:p w14:paraId="1E6A69E9">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cs="宋体"/>
          <w:color w:val="auto"/>
          <w:sz w:val="28"/>
          <w:szCs w:val="28"/>
          <w:lang w:val="en-US" w:eastAsia="zh-CN"/>
        </w:rPr>
      </w:pPr>
      <w:r>
        <w:rPr>
          <w:rFonts w:hint="eastAsia" w:ascii="宋体" w:hAnsi="宋体" w:cs="宋体"/>
          <w:color w:val="auto"/>
          <w:sz w:val="28"/>
          <w:szCs w:val="28"/>
          <w:lang w:val="en-US" w:eastAsia="zh-CN"/>
        </w:rPr>
        <w:t>1. 竞价人必须遵守中华人民共和国法律、法规，能够提供本竞价文件所述货物及服务的境内具有法人资格的竞价人均可能成为合格的竞价人（失信被执行人除外）；</w:t>
      </w:r>
    </w:p>
    <w:p w14:paraId="2037C7BD">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cs="宋体"/>
          <w:color w:val="auto"/>
          <w:sz w:val="28"/>
          <w:szCs w:val="28"/>
          <w:lang w:val="en-US" w:eastAsia="zh-CN"/>
        </w:rPr>
      </w:pPr>
      <w:r>
        <w:rPr>
          <w:rFonts w:hint="eastAsia" w:ascii="宋体" w:hAnsi="宋体" w:cs="宋体"/>
          <w:color w:val="auto"/>
          <w:sz w:val="28"/>
          <w:szCs w:val="28"/>
          <w:lang w:val="en-US" w:eastAsia="zh-CN"/>
        </w:rPr>
        <w:t>2.具有履行本采购项目的资格及服务能力；</w:t>
      </w:r>
    </w:p>
    <w:p w14:paraId="46A553A9">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cs="宋体"/>
          <w:color w:val="auto"/>
          <w:sz w:val="28"/>
          <w:szCs w:val="28"/>
          <w:lang w:val="en-US" w:eastAsia="zh-CN"/>
        </w:rPr>
      </w:pPr>
      <w:r>
        <w:rPr>
          <w:rFonts w:hint="eastAsia" w:ascii="宋体" w:hAnsi="宋体" w:cs="宋体"/>
          <w:color w:val="auto"/>
          <w:sz w:val="28"/>
          <w:szCs w:val="28"/>
          <w:lang w:val="en-US" w:eastAsia="zh-CN"/>
        </w:rPr>
        <w:t>3.竞价人须具备行政主管部门核发有效的不低于水利水电工程监理丙级或不低于水利工程施工监理丙级或工程监理综合资质；</w:t>
      </w:r>
    </w:p>
    <w:p w14:paraId="58BD50D8">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cs="宋体"/>
          <w:color w:val="auto"/>
          <w:sz w:val="28"/>
          <w:szCs w:val="28"/>
          <w:lang w:val="en-US" w:eastAsia="zh-CN"/>
        </w:rPr>
      </w:pPr>
      <w:r>
        <w:rPr>
          <w:rFonts w:hint="eastAsia" w:ascii="宋体" w:hAnsi="宋体" w:cs="宋体"/>
          <w:color w:val="auto"/>
          <w:sz w:val="28"/>
          <w:szCs w:val="28"/>
          <w:lang w:val="en-US" w:eastAsia="zh-CN"/>
        </w:rPr>
        <w:t>4.竞价人拟派总监理工程师应同时具备有效的</w:t>
      </w:r>
      <w:bookmarkStart w:id="3" w:name="EB7d433aa5b35c478b996f2e13e8c9877b"/>
      <w:bookmarkEnd w:id="3"/>
      <w:r>
        <w:rPr>
          <w:rFonts w:hint="eastAsia" w:ascii="宋体" w:hAnsi="宋体" w:cs="宋体"/>
          <w:color w:val="auto"/>
          <w:sz w:val="28"/>
          <w:szCs w:val="28"/>
          <w:lang w:val="en-US" w:eastAsia="zh-CN"/>
        </w:rPr>
        <w:t>①水行政主管部门或中国水利工程协会颁发的水利水电工程或水工建筑或水利或水利工程专业监理工程师资格证书；②水行政主管部门或中国水利工程协会颁发的合格有效的总监理工程师岗位证书或投标人聘任其担任总监理工程师的聘任文件，拟派总监理工程师必须为投标人本企业在岗人员，以注册监理工程师注册执业证书上的注册单位为准或提供近三个月</w:t>
      </w:r>
      <w:bookmarkStart w:id="4" w:name="EBe7ce97b9666a4ae88ae6261cf2e2f171"/>
      <w:bookmarkEnd w:id="4"/>
      <w:r>
        <w:rPr>
          <w:rFonts w:hint="eastAsia" w:ascii="宋体" w:hAnsi="宋体" w:cs="宋体"/>
          <w:color w:val="auto"/>
          <w:sz w:val="28"/>
          <w:szCs w:val="28"/>
          <w:lang w:val="en-US" w:eastAsia="zh-CN"/>
        </w:rPr>
        <w:t>（2025-09-01至</w:t>
      </w:r>
      <w:bookmarkStart w:id="5" w:name="EBb79ae203dc68497080adce47003862af"/>
      <w:bookmarkEnd w:id="5"/>
      <w:r>
        <w:rPr>
          <w:rFonts w:hint="eastAsia" w:ascii="宋体" w:hAnsi="宋体" w:cs="宋体"/>
          <w:color w:val="auto"/>
          <w:sz w:val="28"/>
          <w:szCs w:val="28"/>
          <w:lang w:val="en-US" w:eastAsia="zh-CN"/>
        </w:rPr>
        <w:t>2025-11-30）社保缴纳凭证【注：社保由上级单位统筹缴纳的，应提供上级单位出具的统筹缴纳证明；属于离（退）休人员的，应提供社保部门的离（退）休证明和本单位聘用合同。】。</w:t>
      </w:r>
    </w:p>
    <w:p w14:paraId="51950466">
      <w:pPr>
        <w:pStyle w:val="11"/>
        <w:rPr>
          <w:rFonts w:hint="default"/>
          <w:color w:val="auto"/>
          <w:lang w:val="en-US" w:eastAsia="zh-CN"/>
        </w:rPr>
      </w:pPr>
      <w:r>
        <w:rPr>
          <w:rFonts w:hint="eastAsia" w:ascii="宋体" w:hAnsi="宋体" w:cs="宋体"/>
          <w:color w:val="auto"/>
          <w:sz w:val="28"/>
          <w:szCs w:val="28"/>
          <w:lang w:val="en-US" w:eastAsia="zh-CN"/>
        </w:rPr>
        <w:t>5.其他主要人员要求：</w:t>
      </w:r>
    </w:p>
    <w:tbl>
      <w:tblPr>
        <w:tblStyle w:val="13"/>
        <w:tblW w:w="88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3"/>
        <w:gridCol w:w="1011"/>
        <w:gridCol w:w="795"/>
        <w:gridCol w:w="5800"/>
        <w:gridCol w:w="678"/>
      </w:tblGrid>
      <w:tr w14:paraId="7494F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blHeader/>
          <w:jc w:val="center"/>
        </w:trPr>
        <w:tc>
          <w:tcPr>
            <w:tcW w:w="613" w:type="dxa"/>
            <w:vAlign w:val="center"/>
          </w:tcPr>
          <w:p w14:paraId="67A193B3">
            <w:pPr>
              <w:pStyle w:val="11"/>
              <w:snapToGrid w:val="0"/>
              <w:ind w:left="0" w:leftChars="0" w:right="0" w:rightChars="0" w:firstLine="0" w:firstLineChars="0"/>
              <w:jc w:val="center"/>
              <w:rPr>
                <w:rFonts w:hint="default" w:ascii="宋体" w:hAnsi="宋体" w:eastAsia="宋体" w:cs="宋体"/>
                <w:b/>
                <w:bCs/>
                <w:color w:val="auto"/>
                <w:kern w:val="2"/>
                <w:sz w:val="21"/>
                <w:szCs w:val="21"/>
                <w:lang w:val="en-US" w:eastAsia="zh-CN" w:bidi="ar-SA"/>
              </w:rPr>
            </w:pPr>
            <w:r>
              <w:rPr>
                <w:rFonts w:hint="eastAsia" w:ascii="宋体" w:hAnsi="宋体" w:eastAsia="宋体" w:cs="宋体"/>
                <w:b/>
                <w:bCs/>
                <w:color w:val="auto"/>
                <w:kern w:val="2"/>
                <w:sz w:val="21"/>
                <w:szCs w:val="21"/>
                <w:lang w:val="en-US" w:eastAsia="zh-CN" w:bidi="ar-SA"/>
              </w:rPr>
              <w:t>序号</w:t>
            </w:r>
          </w:p>
        </w:tc>
        <w:tc>
          <w:tcPr>
            <w:tcW w:w="1011" w:type="dxa"/>
            <w:vAlign w:val="center"/>
          </w:tcPr>
          <w:p w14:paraId="2508F7EA">
            <w:pPr>
              <w:pStyle w:val="11"/>
              <w:snapToGrid w:val="0"/>
              <w:ind w:left="0" w:leftChars="0" w:right="0" w:rightChars="0" w:firstLine="0" w:firstLineChars="0"/>
              <w:jc w:val="center"/>
              <w:rPr>
                <w:rFonts w:hint="default" w:ascii="宋体" w:hAnsi="宋体" w:eastAsia="宋体" w:cs="宋体"/>
                <w:b/>
                <w:bCs/>
                <w:color w:val="auto"/>
                <w:kern w:val="2"/>
                <w:sz w:val="21"/>
                <w:szCs w:val="21"/>
                <w:lang w:val="en-US" w:eastAsia="zh-CN" w:bidi="ar-SA"/>
              </w:rPr>
            </w:pPr>
            <w:r>
              <w:rPr>
                <w:rFonts w:hint="eastAsia" w:ascii="宋体" w:hAnsi="宋体" w:eastAsia="宋体" w:cs="宋体"/>
                <w:b/>
                <w:bCs/>
                <w:color w:val="auto"/>
                <w:kern w:val="2"/>
                <w:sz w:val="21"/>
                <w:szCs w:val="21"/>
                <w:lang w:val="en-US" w:eastAsia="zh-CN" w:bidi="ar-SA"/>
              </w:rPr>
              <w:t>岗位</w:t>
            </w:r>
          </w:p>
        </w:tc>
        <w:tc>
          <w:tcPr>
            <w:tcW w:w="795" w:type="dxa"/>
            <w:vAlign w:val="center"/>
          </w:tcPr>
          <w:p w14:paraId="19F846E2">
            <w:pPr>
              <w:pStyle w:val="11"/>
              <w:snapToGrid w:val="0"/>
              <w:ind w:left="0" w:leftChars="0" w:right="0" w:rightChars="0" w:firstLine="0" w:firstLineChars="0"/>
              <w:jc w:val="center"/>
              <w:rPr>
                <w:rFonts w:hint="default" w:ascii="宋体" w:hAnsi="宋体" w:eastAsia="宋体" w:cs="宋体"/>
                <w:b/>
                <w:bCs/>
                <w:color w:val="auto"/>
                <w:kern w:val="2"/>
                <w:sz w:val="21"/>
                <w:szCs w:val="21"/>
                <w:lang w:val="en-US" w:eastAsia="zh-CN" w:bidi="ar-SA"/>
              </w:rPr>
            </w:pPr>
            <w:r>
              <w:rPr>
                <w:rFonts w:hint="eastAsia" w:ascii="宋体" w:hAnsi="宋体" w:eastAsia="宋体" w:cs="宋体"/>
                <w:b/>
                <w:bCs/>
                <w:color w:val="auto"/>
                <w:kern w:val="2"/>
                <w:sz w:val="21"/>
                <w:szCs w:val="21"/>
                <w:lang w:val="en-US" w:eastAsia="zh-CN" w:bidi="ar-SA"/>
              </w:rPr>
              <w:t>人数</w:t>
            </w:r>
          </w:p>
        </w:tc>
        <w:tc>
          <w:tcPr>
            <w:tcW w:w="5800" w:type="dxa"/>
            <w:vAlign w:val="center"/>
          </w:tcPr>
          <w:p w14:paraId="32DC967C">
            <w:pPr>
              <w:pStyle w:val="11"/>
              <w:snapToGrid w:val="0"/>
              <w:ind w:left="0" w:leftChars="0" w:right="0" w:rightChars="0" w:firstLine="0" w:firstLineChars="0"/>
              <w:jc w:val="center"/>
              <w:rPr>
                <w:rFonts w:hint="default" w:ascii="宋体" w:hAnsi="宋体" w:eastAsia="宋体" w:cs="宋体"/>
                <w:b/>
                <w:bCs/>
                <w:color w:val="auto"/>
                <w:kern w:val="2"/>
                <w:sz w:val="21"/>
                <w:szCs w:val="21"/>
                <w:lang w:val="en-US" w:eastAsia="zh-CN" w:bidi="ar-SA"/>
              </w:rPr>
            </w:pPr>
            <w:r>
              <w:rPr>
                <w:rFonts w:hint="eastAsia" w:ascii="宋体" w:hAnsi="宋体" w:eastAsia="宋体" w:cs="宋体"/>
                <w:b/>
                <w:bCs/>
                <w:color w:val="auto"/>
                <w:kern w:val="2"/>
                <w:sz w:val="21"/>
                <w:szCs w:val="21"/>
                <w:lang w:val="en-US" w:eastAsia="zh-CN" w:bidi="ar-SA"/>
              </w:rPr>
              <w:t>专业</w:t>
            </w:r>
          </w:p>
        </w:tc>
        <w:tc>
          <w:tcPr>
            <w:tcW w:w="678" w:type="dxa"/>
            <w:vAlign w:val="center"/>
          </w:tcPr>
          <w:p w14:paraId="7EC044A1">
            <w:pPr>
              <w:pStyle w:val="11"/>
              <w:snapToGrid w:val="0"/>
              <w:ind w:left="0" w:leftChars="0" w:right="0" w:rightChars="0" w:firstLine="0" w:firstLineChars="0"/>
              <w:jc w:val="center"/>
              <w:rPr>
                <w:rFonts w:hint="default" w:ascii="宋体" w:hAnsi="宋体" w:eastAsia="宋体" w:cs="宋体"/>
                <w:b/>
                <w:bCs/>
                <w:color w:val="auto"/>
                <w:kern w:val="2"/>
                <w:sz w:val="21"/>
                <w:szCs w:val="21"/>
                <w:lang w:val="en-US" w:eastAsia="zh-CN" w:bidi="ar-SA"/>
              </w:rPr>
            </w:pPr>
            <w:r>
              <w:rPr>
                <w:rFonts w:hint="eastAsia" w:ascii="宋体" w:hAnsi="宋体" w:eastAsia="宋体" w:cs="宋体"/>
                <w:b/>
                <w:bCs/>
                <w:color w:val="auto"/>
                <w:kern w:val="2"/>
                <w:sz w:val="21"/>
                <w:szCs w:val="21"/>
                <w:lang w:val="en-US" w:eastAsia="zh-CN" w:bidi="ar-SA"/>
              </w:rPr>
              <w:t>备注</w:t>
            </w:r>
          </w:p>
        </w:tc>
      </w:tr>
      <w:tr w14:paraId="3EFDB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0" w:hRule="atLeast"/>
          <w:jc w:val="center"/>
        </w:trPr>
        <w:tc>
          <w:tcPr>
            <w:tcW w:w="613" w:type="dxa"/>
            <w:vAlign w:val="center"/>
          </w:tcPr>
          <w:p w14:paraId="4E21432F">
            <w:pPr>
              <w:pStyle w:val="11"/>
              <w:snapToGrid w:val="0"/>
              <w:spacing w:line="240" w:lineRule="auto"/>
              <w:ind w:left="0" w:leftChars="0" w:right="0" w:rightChars="0" w:firstLine="0" w:firstLineChars="0"/>
              <w:jc w:val="left"/>
              <w:rPr>
                <w:rFonts w:hint="default"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w:t>
            </w:r>
          </w:p>
        </w:tc>
        <w:tc>
          <w:tcPr>
            <w:tcW w:w="1011" w:type="dxa"/>
            <w:vAlign w:val="center"/>
          </w:tcPr>
          <w:p w14:paraId="03041D85">
            <w:pPr>
              <w:pStyle w:val="11"/>
              <w:snapToGrid w:val="0"/>
              <w:spacing w:line="240" w:lineRule="auto"/>
              <w:ind w:left="0" w:leftChars="0" w:right="0" w:rightChars="0" w:firstLine="0" w:firstLineChars="0"/>
              <w:jc w:val="left"/>
              <w:rPr>
                <w:rFonts w:hint="default"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监理工程师</w:t>
            </w:r>
          </w:p>
        </w:tc>
        <w:tc>
          <w:tcPr>
            <w:tcW w:w="795" w:type="dxa"/>
            <w:vAlign w:val="center"/>
          </w:tcPr>
          <w:p w14:paraId="13FF036B">
            <w:pPr>
              <w:pStyle w:val="11"/>
              <w:snapToGrid w:val="0"/>
              <w:spacing w:line="240" w:lineRule="auto"/>
              <w:ind w:left="0" w:leftChars="0" w:right="0" w:rightChars="0" w:firstLine="0" w:firstLineChars="0"/>
              <w:jc w:val="left"/>
              <w:rPr>
                <w:rFonts w:hint="default"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w:t>
            </w:r>
          </w:p>
        </w:tc>
        <w:tc>
          <w:tcPr>
            <w:tcW w:w="5800" w:type="dxa"/>
            <w:vAlign w:val="center"/>
          </w:tcPr>
          <w:p w14:paraId="1B9ABA3F">
            <w:pPr>
              <w:pStyle w:val="19"/>
              <w:keepNext w:val="0"/>
              <w:keepLines w:val="0"/>
              <w:pageBreakBefore w:val="0"/>
              <w:widowControl/>
              <w:kinsoku/>
              <w:wordWrap/>
              <w:overflowPunct/>
              <w:topLinePunct w:val="0"/>
              <w:autoSpaceDE/>
              <w:autoSpaceDN/>
              <w:bidi w:val="0"/>
              <w:adjustRightInd/>
              <w:snapToGrid w:val="0"/>
              <w:spacing w:after="240" w:line="300" w:lineRule="exact"/>
              <w:ind w:left="0" w:leftChars="0" w:right="0" w:rightChars="0" w:firstLine="0" w:firstLineChars="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水利或水利水电或水工建筑；</w:t>
            </w:r>
          </w:p>
          <w:p w14:paraId="2C1F60D0">
            <w:pPr>
              <w:pStyle w:val="19"/>
              <w:keepNext w:val="0"/>
              <w:keepLines w:val="0"/>
              <w:pageBreakBefore w:val="0"/>
              <w:widowControl/>
              <w:kinsoku/>
              <w:wordWrap/>
              <w:overflowPunct/>
              <w:topLinePunct w:val="0"/>
              <w:autoSpaceDE/>
              <w:autoSpaceDN/>
              <w:bidi w:val="0"/>
              <w:adjustRightInd/>
              <w:snapToGrid w:val="0"/>
              <w:spacing w:after="240" w:line="300" w:lineRule="exact"/>
              <w:ind w:left="0" w:leftChars="0" w:right="0" w:rightChars="0" w:firstLine="0" w:firstLineChars="0"/>
              <w:jc w:val="left"/>
              <w:textAlignment w:val="auto"/>
              <w:rPr>
                <w:rFonts w:hint="default"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要求：具有水利部颁发的水工建筑或水利水电或水利专业监理工程师执业资格证书（或中国水利工程协会颁发的水工建筑或水利水电或水利专业监理工程师资格证书）</w:t>
            </w:r>
          </w:p>
        </w:tc>
        <w:tc>
          <w:tcPr>
            <w:tcW w:w="678" w:type="dxa"/>
            <w:vAlign w:val="center"/>
          </w:tcPr>
          <w:p w14:paraId="53B8CF06">
            <w:pPr>
              <w:pStyle w:val="11"/>
              <w:snapToGrid w:val="0"/>
              <w:ind w:left="0" w:leftChars="0" w:right="0" w:rightChars="0" w:firstLine="0" w:firstLineChars="0"/>
              <w:jc w:val="left"/>
              <w:rPr>
                <w:rFonts w:hint="default" w:ascii="宋体" w:hAnsi="宋体" w:eastAsia="宋体" w:cs="宋体"/>
                <w:color w:val="auto"/>
                <w:kern w:val="2"/>
                <w:sz w:val="24"/>
                <w:szCs w:val="24"/>
                <w:lang w:val="en-US" w:eastAsia="zh-CN" w:bidi="ar-SA"/>
              </w:rPr>
            </w:pPr>
          </w:p>
        </w:tc>
      </w:tr>
      <w:tr w14:paraId="7A3F4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8" w:hRule="atLeast"/>
          <w:jc w:val="center"/>
        </w:trPr>
        <w:tc>
          <w:tcPr>
            <w:tcW w:w="613" w:type="dxa"/>
            <w:vAlign w:val="center"/>
          </w:tcPr>
          <w:p w14:paraId="3894D9FE">
            <w:pPr>
              <w:pStyle w:val="11"/>
              <w:snapToGrid w:val="0"/>
              <w:spacing w:line="240" w:lineRule="auto"/>
              <w:ind w:left="0" w:leftChars="0" w:right="0" w:rightChars="0" w:firstLine="0" w:firstLineChars="0"/>
              <w:jc w:val="left"/>
              <w:rPr>
                <w:rFonts w:hint="default"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w:t>
            </w:r>
          </w:p>
        </w:tc>
        <w:tc>
          <w:tcPr>
            <w:tcW w:w="1011" w:type="dxa"/>
            <w:vAlign w:val="center"/>
          </w:tcPr>
          <w:p w14:paraId="44DD7BD9">
            <w:pPr>
              <w:pStyle w:val="11"/>
              <w:snapToGrid w:val="0"/>
              <w:spacing w:line="240" w:lineRule="auto"/>
              <w:ind w:left="0" w:leftChars="0" w:right="0" w:rightChars="0" w:firstLine="0" w:firstLineChars="0"/>
              <w:jc w:val="left"/>
              <w:rPr>
                <w:rFonts w:hint="default"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监理员</w:t>
            </w:r>
          </w:p>
        </w:tc>
        <w:tc>
          <w:tcPr>
            <w:tcW w:w="795" w:type="dxa"/>
            <w:vAlign w:val="center"/>
          </w:tcPr>
          <w:p w14:paraId="35EF704E">
            <w:pPr>
              <w:pStyle w:val="11"/>
              <w:snapToGrid w:val="0"/>
              <w:spacing w:line="240" w:lineRule="auto"/>
              <w:ind w:left="0" w:leftChars="0" w:right="0" w:rightChars="0" w:firstLine="0" w:firstLineChars="0"/>
              <w:jc w:val="left"/>
              <w:rPr>
                <w:rFonts w:hint="default"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w:t>
            </w:r>
          </w:p>
        </w:tc>
        <w:tc>
          <w:tcPr>
            <w:tcW w:w="5800" w:type="dxa"/>
            <w:vAlign w:val="center"/>
          </w:tcPr>
          <w:p w14:paraId="6CF48AA5">
            <w:pPr>
              <w:pStyle w:val="11"/>
              <w:snapToGrid w:val="0"/>
              <w:spacing w:line="240" w:lineRule="auto"/>
              <w:ind w:left="0" w:leftChars="0" w:right="0" w:rightChars="0" w:firstLine="0" w:firstLineChars="0"/>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专业：水利或水利水电或水工建筑；</w:t>
            </w:r>
          </w:p>
          <w:p w14:paraId="570B5010">
            <w:pPr>
              <w:pStyle w:val="11"/>
              <w:snapToGrid w:val="0"/>
              <w:spacing w:line="240" w:lineRule="auto"/>
              <w:ind w:left="0" w:leftChars="0" w:right="0" w:rightChars="0" w:firstLine="0" w:firstLineChars="0"/>
              <w:jc w:val="left"/>
              <w:rPr>
                <w:rFonts w:hint="default"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要求：监理员的专业以学历证书或职称证书或资格证书或注册证书或培训证书上注明的专业为准。</w:t>
            </w:r>
          </w:p>
        </w:tc>
        <w:tc>
          <w:tcPr>
            <w:tcW w:w="678" w:type="dxa"/>
            <w:vAlign w:val="center"/>
          </w:tcPr>
          <w:p w14:paraId="71D56960">
            <w:pPr>
              <w:pStyle w:val="11"/>
              <w:snapToGrid w:val="0"/>
              <w:ind w:left="0" w:leftChars="0" w:right="0" w:rightChars="0" w:firstLine="0" w:firstLineChars="0"/>
              <w:jc w:val="left"/>
              <w:rPr>
                <w:rFonts w:hint="default" w:ascii="宋体" w:hAnsi="宋体" w:eastAsia="宋体" w:cs="宋体"/>
                <w:color w:val="auto"/>
                <w:kern w:val="2"/>
                <w:sz w:val="24"/>
                <w:szCs w:val="24"/>
                <w:lang w:val="en-US" w:eastAsia="zh-CN" w:bidi="ar-SA"/>
              </w:rPr>
            </w:pPr>
          </w:p>
        </w:tc>
      </w:tr>
    </w:tbl>
    <w:p w14:paraId="41DA2950">
      <w:pPr>
        <w:pStyle w:val="11"/>
        <w:rPr>
          <w:rFonts w:hint="default"/>
          <w:color w:val="auto"/>
          <w:lang w:val="en-US" w:eastAsia="zh-CN"/>
        </w:rPr>
      </w:pPr>
    </w:p>
    <w:p w14:paraId="2AD10581">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cs="宋体"/>
          <w:color w:val="auto"/>
          <w:sz w:val="28"/>
          <w:szCs w:val="28"/>
          <w:lang w:val="en-US" w:eastAsia="zh-CN"/>
        </w:rPr>
      </w:pPr>
      <w:r>
        <w:rPr>
          <w:rFonts w:hint="eastAsia" w:ascii="宋体" w:hAnsi="宋体" w:cs="宋体"/>
          <w:color w:val="auto"/>
          <w:sz w:val="28"/>
          <w:szCs w:val="28"/>
          <w:lang w:val="en-US" w:eastAsia="zh-CN"/>
        </w:rPr>
        <w:t>6.本项目不允许挂靠其他公司资格及分包，不接受联合体参与竞价；</w:t>
      </w:r>
    </w:p>
    <w:p w14:paraId="00A062F0">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cs="宋体"/>
          <w:color w:val="auto"/>
          <w:sz w:val="28"/>
          <w:szCs w:val="28"/>
          <w:lang w:val="en-US" w:eastAsia="zh-CN"/>
        </w:rPr>
      </w:pPr>
      <w:r>
        <w:rPr>
          <w:rFonts w:hint="eastAsia" w:ascii="宋体" w:hAnsi="宋体" w:cs="宋体"/>
          <w:color w:val="auto"/>
          <w:sz w:val="28"/>
          <w:szCs w:val="28"/>
          <w:lang w:val="en-US" w:eastAsia="zh-CN"/>
        </w:rPr>
        <w:t>7.符合具备法律、行政法规规定的其他条件；</w:t>
      </w:r>
    </w:p>
    <w:p w14:paraId="38A6AD8B">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宋体" w:hAnsi="宋体" w:cs="宋体"/>
          <w:color w:val="auto"/>
          <w:sz w:val="28"/>
          <w:szCs w:val="28"/>
          <w:lang w:val="en-US" w:eastAsia="zh-CN"/>
        </w:rPr>
      </w:pPr>
      <w:r>
        <w:rPr>
          <w:rFonts w:hint="eastAsia" w:ascii="宋体" w:hAnsi="宋体" w:cs="宋体"/>
          <w:color w:val="auto"/>
          <w:sz w:val="28"/>
          <w:szCs w:val="28"/>
          <w:lang w:val="en-US" w:eastAsia="zh-CN"/>
        </w:rPr>
        <w:t>8.竞价人必须是委托人邀请的单位；</w:t>
      </w:r>
    </w:p>
    <w:p w14:paraId="6674E8DB">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cs="宋体"/>
          <w:color w:val="auto"/>
          <w:sz w:val="28"/>
          <w:szCs w:val="28"/>
          <w:lang w:val="en-US" w:eastAsia="zh-CN"/>
        </w:rPr>
      </w:pPr>
      <w:r>
        <w:rPr>
          <w:rFonts w:hint="eastAsia" w:ascii="宋体" w:hAnsi="宋体" w:cs="宋体"/>
          <w:color w:val="auto"/>
          <w:sz w:val="28"/>
          <w:szCs w:val="28"/>
          <w:lang w:val="en-US" w:eastAsia="zh-CN"/>
        </w:rPr>
        <w:t>9.已认真阅读并同意本公告附件-网络竞价须知。</w:t>
      </w:r>
    </w:p>
    <w:p w14:paraId="4DBD36CE">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cs="宋体"/>
          <w:color w:val="auto"/>
          <w:sz w:val="28"/>
          <w:szCs w:val="28"/>
          <w:lang w:val="en-US" w:eastAsia="zh-CN"/>
        </w:rPr>
        <w:t>10</w:t>
      </w:r>
      <w:r>
        <w:rPr>
          <w:rFonts w:hint="eastAsia" w:ascii="宋体" w:hAnsi="宋体" w:eastAsia="宋体" w:cs="宋体"/>
          <w:color w:val="auto"/>
          <w:sz w:val="28"/>
          <w:szCs w:val="28"/>
        </w:rPr>
        <w:t>.竞价资格（及限制性条件）认定由竞价人自行审查</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因此产生委托人不予签订合同及其它一切后果由竞价人自行负责。竞价人提供虚假材料或资质不符合条件的，视为恶意竞价，按违约处理，委托人可另行选取中介服务机构。</w:t>
      </w:r>
    </w:p>
    <w:p w14:paraId="3BBE1BD1">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cs="宋体"/>
          <w:b/>
          <w:bCs/>
          <w:color w:val="auto"/>
          <w:sz w:val="28"/>
          <w:szCs w:val="28"/>
          <w:lang w:val="en-US" w:eastAsia="zh-CN"/>
        </w:rPr>
        <w:t>四</w:t>
      </w:r>
      <w:r>
        <w:rPr>
          <w:rFonts w:hint="eastAsia" w:ascii="宋体" w:hAnsi="宋体" w:eastAsia="宋体" w:cs="宋体"/>
          <w:b/>
          <w:bCs/>
          <w:color w:val="auto"/>
          <w:sz w:val="28"/>
          <w:szCs w:val="28"/>
          <w:lang w:val="en-US" w:eastAsia="zh-CN"/>
        </w:rPr>
        <w:t>、竞价手续</w:t>
      </w:r>
    </w:p>
    <w:p w14:paraId="339899CC">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1.有意参加竞价人应提供如下有效证照复印件：</w:t>
      </w:r>
    </w:p>
    <w:p w14:paraId="21F2FEC4">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（1）营业执照副本、法定代表人身份证复印件；</w:t>
      </w:r>
    </w:p>
    <w:p w14:paraId="750766F8">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（2）行政主管部门核发有效的不低于水利水电工程监理丙级或不低于水利工程施工监理丙级或工程监理综合资质证书复印件；</w:t>
      </w:r>
    </w:p>
    <w:p w14:paraId="12FE99DA">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（3）总监理工程相关证书及证明材料复印件；</w:t>
      </w:r>
    </w:p>
    <w:p w14:paraId="144A28A7">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宋体" w:hAnsi="宋体" w:eastAsia="宋体" w:cs="宋体"/>
          <w:color w:val="auto"/>
          <w:sz w:val="28"/>
          <w:szCs w:val="28"/>
          <w:lang w:val="en-US" w:eastAsia="zh-CN"/>
        </w:rPr>
      </w:pPr>
      <w:r>
        <w:rPr>
          <w:rFonts w:hint="eastAsia" w:ascii="宋体" w:hAnsi="宋体" w:cs="宋体"/>
          <w:color w:val="auto"/>
          <w:sz w:val="28"/>
          <w:szCs w:val="28"/>
          <w:lang w:val="en-US" w:eastAsia="zh-CN"/>
        </w:rPr>
        <w:t>（4）</w:t>
      </w:r>
      <w:r>
        <w:rPr>
          <w:rFonts w:hint="eastAsia"/>
          <w:color w:val="auto"/>
          <w:sz w:val="28"/>
          <w:szCs w:val="28"/>
          <w:highlight w:val="white"/>
        </w:rPr>
        <w:t>拟委任的主要人员汇总表</w:t>
      </w:r>
      <w:r>
        <w:rPr>
          <w:rFonts w:hint="eastAsia"/>
          <w:color w:val="auto"/>
          <w:sz w:val="28"/>
          <w:szCs w:val="28"/>
          <w:highlight w:val="white"/>
          <w:lang w:eastAsia="zh-CN"/>
        </w:rPr>
        <w:t>（</w:t>
      </w:r>
      <w:r>
        <w:rPr>
          <w:rFonts w:hint="eastAsia"/>
          <w:color w:val="auto"/>
          <w:sz w:val="28"/>
          <w:szCs w:val="28"/>
          <w:highlight w:val="white"/>
          <w:lang w:val="en-US" w:eastAsia="zh-CN"/>
        </w:rPr>
        <w:t>格式详见附件一）</w:t>
      </w:r>
    </w:p>
    <w:p w14:paraId="58799BE6">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w:t>
      </w:r>
      <w:r>
        <w:rPr>
          <w:rFonts w:hint="eastAsia" w:ascii="宋体" w:hAnsi="宋体" w:cs="宋体"/>
          <w:color w:val="auto"/>
          <w:sz w:val="28"/>
          <w:szCs w:val="28"/>
          <w:lang w:val="en-US" w:eastAsia="zh-CN"/>
        </w:rPr>
        <w:t>5</w:t>
      </w:r>
      <w:r>
        <w:rPr>
          <w:rFonts w:hint="eastAsia" w:ascii="宋体" w:hAnsi="宋体" w:eastAsia="宋体" w:cs="宋体"/>
          <w:color w:val="auto"/>
          <w:sz w:val="28"/>
          <w:szCs w:val="28"/>
          <w:lang w:val="en-US" w:eastAsia="zh-CN"/>
        </w:rPr>
        <w:t>）签订完整的承诺书；</w:t>
      </w:r>
    </w:p>
    <w:p w14:paraId="41FEBE75">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以上材料复印件须加盖公章</w:t>
      </w:r>
      <w:r>
        <w:rPr>
          <w:rFonts w:hint="eastAsia" w:ascii="宋体" w:hAnsi="宋体" w:cs="宋体"/>
          <w:b/>
          <w:bCs/>
          <w:color w:val="auto"/>
          <w:sz w:val="28"/>
          <w:szCs w:val="28"/>
          <w:lang w:val="en-US" w:eastAsia="zh-CN"/>
        </w:rPr>
        <w:t>并上传至平台系统</w:t>
      </w:r>
      <w:r>
        <w:rPr>
          <w:rFonts w:hint="eastAsia" w:ascii="宋体" w:hAnsi="宋体" w:eastAsia="宋体" w:cs="宋体"/>
          <w:b/>
          <w:bCs/>
          <w:color w:val="auto"/>
          <w:sz w:val="28"/>
          <w:szCs w:val="28"/>
          <w:lang w:val="en-US" w:eastAsia="zh-CN"/>
        </w:rPr>
        <w:t>。</w:t>
      </w:r>
    </w:p>
    <w:p w14:paraId="04F44A58">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2.报名方式</w:t>
      </w:r>
    </w:p>
    <w:p w14:paraId="3CD29480">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参与本次竞价会的竞价人须在规定时间前登录连城县招标投标交易平台办理竞价登记手续</w:t>
      </w:r>
      <w:r>
        <w:rPr>
          <w:rFonts w:hint="eastAsia" w:ascii="宋体" w:hAnsi="宋体" w:cs="宋体"/>
          <w:color w:val="auto"/>
          <w:sz w:val="28"/>
          <w:szCs w:val="28"/>
          <w:lang w:val="en-US" w:eastAsia="zh-CN"/>
        </w:rPr>
        <w:t>并</w:t>
      </w:r>
      <w:r>
        <w:rPr>
          <w:rFonts w:hint="eastAsia" w:ascii="宋体" w:hAnsi="宋体" w:eastAsia="宋体" w:cs="宋体"/>
          <w:color w:val="auto"/>
          <w:sz w:val="28"/>
          <w:szCs w:val="28"/>
          <w:lang w:val="en-US" w:eastAsia="zh-CN"/>
        </w:rPr>
        <w:t>需支付平台使用费100元，并将报名资料上传至交易平台</w:t>
      </w:r>
      <w:r>
        <w:rPr>
          <w:rFonts w:hint="eastAsia" w:ascii="宋体" w:hAnsi="宋体" w:cs="宋体"/>
          <w:color w:val="auto"/>
          <w:sz w:val="28"/>
          <w:szCs w:val="28"/>
          <w:lang w:val="en-US" w:eastAsia="zh-CN"/>
        </w:rPr>
        <w:t>（</w:t>
      </w:r>
      <w:r>
        <w:rPr>
          <w:rFonts w:hint="eastAsia" w:ascii="宋体" w:hAnsi="宋体" w:eastAsia="宋体" w:cs="宋体"/>
          <w:color w:val="auto"/>
          <w:sz w:val="28"/>
          <w:szCs w:val="28"/>
        </w:rPr>
        <w:t>https://lcyjy.enjoy5191.com/home</w:t>
      </w:r>
      <w:r>
        <w:rPr>
          <w:rFonts w:hint="eastAsia" w:ascii="宋体" w:hAnsi="宋体" w:cs="宋体"/>
          <w:color w:val="auto"/>
          <w:sz w:val="28"/>
          <w:szCs w:val="28"/>
          <w:lang w:val="en-US" w:eastAsia="zh-CN"/>
        </w:rPr>
        <w:t>）</w:t>
      </w:r>
      <w:r>
        <w:rPr>
          <w:rFonts w:hint="eastAsia" w:ascii="宋体" w:hAnsi="宋体" w:eastAsia="宋体" w:cs="宋体"/>
          <w:color w:val="auto"/>
          <w:sz w:val="28"/>
          <w:szCs w:val="28"/>
          <w:lang w:val="en-US" w:eastAsia="zh-CN"/>
        </w:rPr>
        <w:t>。若因系统原因无法上传报名材料，可通过现场递交或邮件（邮箱地址</w:t>
      </w:r>
      <w:r>
        <w:rPr>
          <w:rFonts w:hint="eastAsia" w:ascii="宋体" w:hAnsi="宋体" w:cs="宋体"/>
          <w:color w:val="auto"/>
          <w:sz w:val="28"/>
          <w:szCs w:val="28"/>
          <w:lang w:val="en-US" w:eastAsia="zh-CN"/>
        </w:rPr>
        <w:t>:</w:t>
      </w:r>
      <w:r>
        <w:rPr>
          <w:rFonts w:hint="eastAsia" w:ascii="宋体" w:hAnsi="宋体" w:eastAsia="宋体" w:cs="宋体"/>
          <w:color w:val="auto"/>
          <w:sz w:val="28"/>
          <w:szCs w:val="28"/>
          <w:lang w:val="en-US" w:eastAsia="zh-CN"/>
        </w:rPr>
        <w:t>lccqjyw20251@16</w:t>
      </w:r>
      <w:r>
        <w:rPr>
          <w:rFonts w:hint="eastAsia" w:ascii="宋体" w:hAnsi="宋体" w:cs="宋体"/>
          <w:color w:val="auto"/>
          <w:sz w:val="28"/>
          <w:szCs w:val="28"/>
          <w:lang w:val="en-US" w:eastAsia="zh-CN"/>
        </w:rPr>
        <w:t>3.com</w:t>
      </w:r>
      <w:r>
        <w:rPr>
          <w:rFonts w:hint="eastAsia" w:ascii="宋体" w:hAnsi="宋体" w:eastAsia="宋体" w:cs="宋体"/>
          <w:color w:val="auto"/>
          <w:sz w:val="28"/>
          <w:szCs w:val="28"/>
          <w:lang w:val="en-US" w:eastAsia="zh-CN"/>
        </w:rPr>
        <w:t xml:space="preserve">）的方式提交。 </w:t>
      </w:r>
    </w:p>
    <w:p w14:paraId="12FF1DAD">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3.竞价人应自行登连城县招标</w:t>
      </w:r>
      <w:r>
        <w:rPr>
          <w:rFonts w:hint="eastAsia" w:ascii="宋体" w:hAnsi="宋体" w:eastAsia="宋体" w:cs="宋体"/>
          <w:color w:val="auto"/>
          <w:sz w:val="28"/>
          <w:szCs w:val="28"/>
        </w:rPr>
        <w:t>投标交易平台</w:t>
      </w:r>
      <w:r>
        <w:rPr>
          <w:rFonts w:hint="eastAsia" w:ascii="宋体" w:hAnsi="宋体" w:eastAsia="宋体" w:cs="宋体"/>
          <w:color w:val="auto"/>
          <w:sz w:val="28"/>
          <w:szCs w:val="28"/>
          <w:lang w:val="en-US" w:eastAsia="zh-CN"/>
        </w:rPr>
        <w:t>网站学习竞价流程，注册竞价系统账号并在报名截止时间之前登录竞价系统申请竞价，根据流程上传相关资料，若有疑问应及时咨询本公司业务部门；由于竞价人竞价材料未按时提交、或者竞价申请未按时提交而导致本公司无法进行资格审核、或者竞价账号未注册或者未激活的，均视为竞价人放弃本次竞价报名。</w:t>
      </w:r>
    </w:p>
    <w:p w14:paraId="4A564538">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如委托人撤回竞价标的，竞价人已经交保证金的，保证金即予无息退还，竞价人对此不得有异议，且本公司不对竞价人承担任何损失，此是竞价人参与本次竞价的先决条件。竞价人一旦报名成功，即视为同意本公司的前述免责内容。</w:t>
      </w:r>
    </w:p>
    <w:p w14:paraId="6F78E9BC">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cs="宋体"/>
          <w:b/>
          <w:bCs/>
          <w:color w:val="auto"/>
          <w:sz w:val="28"/>
          <w:szCs w:val="28"/>
          <w:lang w:val="en-US" w:eastAsia="zh-CN"/>
        </w:rPr>
        <w:t>五</w:t>
      </w:r>
      <w:r>
        <w:rPr>
          <w:rFonts w:hint="eastAsia" w:ascii="宋体" w:hAnsi="宋体" w:eastAsia="宋体" w:cs="宋体"/>
          <w:b/>
          <w:bCs/>
          <w:color w:val="auto"/>
          <w:sz w:val="28"/>
          <w:szCs w:val="28"/>
          <w:lang w:val="en-US" w:eastAsia="zh-CN"/>
        </w:rPr>
        <w:t>、竞价程序</w:t>
      </w:r>
    </w:p>
    <w:p w14:paraId="398197EF">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w:t>
      </w:r>
      <w:r>
        <w:rPr>
          <w:rFonts w:hint="eastAsia" w:ascii="宋体" w:hAnsi="宋体" w:eastAsia="宋体" w:cs="宋体"/>
          <w:color w:val="auto"/>
          <w:sz w:val="28"/>
          <w:szCs w:val="28"/>
        </w:rPr>
        <w:t>本场竞价</w:t>
      </w:r>
      <w:r>
        <w:rPr>
          <w:rFonts w:hint="eastAsia" w:ascii="宋体" w:hAnsi="宋体" w:eastAsia="宋体" w:cs="宋体"/>
          <w:color w:val="auto"/>
          <w:sz w:val="28"/>
          <w:szCs w:val="28"/>
          <w:lang w:eastAsia="zh-CN"/>
        </w:rPr>
        <w:t>须三家及以上竞价人在规定时间内参与竞价，如果在规定时间内参与竞价的竞价人不足三家，则按流标处理</w:t>
      </w:r>
      <w:r>
        <w:rPr>
          <w:rFonts w:hint="eastAsia" w:ascii="宋体" w:hAnsi="宋体" w:eastAsia="宋体" w:cs="宋体"/>
          <w:color w:val="auto"/>
          <w:sz w:val="28"/>
          <w:szCs w:val="28"/>
        </w:rPr>
        <w:t>，竞价人不得有异议。</w:t>
      </w:r>
    </w:p>
    <w:p w14:paraId="6A686FAB">
      <w:pPr>
        <w:widowControl/>
        <w:shd w:val="clear"/>
        <w:snapToGrid/>
        <w:spacing w:before="0" w:line="520" w:lineRule="exact"/>
        <w:ind w:left="0" w:firstLine="560" w:firstLineChars="200"/>
        <w:rPr>
          <w:rFonts w:hint="eastAsia" w:ascii="宋体" w:hAnsi="宋体" w:eastAsia="宋体" w:cs="宋体"/>
          <w:color w:val="auto"/>
          <w:kern w:val="2"/>
          <w:sz w:val="28"/>
          <w:szCs w:val="28"/>
          <w:shd w:val="clear"/>
        </w:rPr>
      </w:pPr>
      <w:r>
        <w:rPr>
          <w:rFonts w:hint="eastAsia" w:ascii="宋体" w:hAnsi="宋体" w:eastAsia="宋体" w:cs="宋体"/>
          <w:color w:val="auto"/>
          <w:sz w:val="28"/>
          <w:szCs w:val="28"/>
          <w:lang w:val="en-US" w:eastAsia="zh-CN"/>
        </w:rPr>
        <w:t>2.</w:t>
      </w:r>
      <w:r>
        <w:rPr>
          <w:rFonts w:hint="eastAsia" w:ascii="宋体" w:hAnsi="宋体" w:eastAsia="宋体" w:cs="宋体"/>
          <w:color w:val="auto"/>
          <w:kern w:val="2"/>
          <w:sz w:val="28"/>
          <w:szCs w:val="28"/>
          <w:shd w:val="clear"/>
        </w:rPr>
        <w:t>意向</w:t>
      </w:r>
      <w:r>
        <w:rPr>
          <w:rFonts w:hint="eastAsia" w:ascii="宋体" w:hAnsi="宋体" w:eastAsia="宋体" w:cs="宋体"/>
          <w:color w:val="auto"/>
          <w:kern w:val="2"/>
          <w:sz w:val="28"/>
          <w:szCs w:val="28"/>
          <w:shd w:val="clear"/>
          <w:lang w:eastAsia="zh-CN"/>
        </w:rPr>
        <w:t>竞价人</w:t>
      </w:r>
      <w:r>
        <w:rPr>
          <w:rFonts w:hint="eastAsia" w:ascii="宋体" w:hAnsi="宋体" w:eastAsia="宋体" w:cs="宋体"/>
          <w:color w:val="auto"/>
          <w:kern w:val="2"/>
          <w:sz w:val="28"/>
          <w:szCs w:val="28"/>
          <w:shd w:val="clear"/>
        </w:rPr>
        <w:t>应</w:t>
      </w:r>
      <w:r>
        <w:rPr>
          <w:rFonts w:hint="eastAsia" w:ascii="宋体" w:hAnsi="宋体" w:eastAsia="宋体" w:cs="宋体"/>
          <w:color w:val="auto"/>
          <w:kern w:val="2"/>
          <w:sz w:val="28"/>
          <w:szCs w:val="28"/>
          <w:shd w:val="clear"/>
          <w:lang w:val="en-US" w:eastAsia="zh-CN"/>
        </w:rPr>
        <w:t>自行登陆</w:t>
      </w:r>
      <w:r>
        <w:rPr>
          <w:rFonts w:hint="eastAsia" w:ascii="宋体" w:hAnsi="宋体" w:eastAsia="宋体" w:cs="宋体"/>
          <w:color w:val="auto"/>
          <w:kern w:val="2"/>
          <w:sz w:val="28"/>
          <w:szCs w:val="28"/>
          <w:shd w:val="clear"/>
          <w:lang w:eastAsia="zh-CN"/>
        </w:rPr>
        <w:t>连城县招标投标交易平台</w:t>
      </w:r>
      <w:r>
        <w:rPr>
          <w:rFonts w:hint="eastAsia" w:ascii="宋体" w:hAnsi="宋体" w:eastAsia="宋体" w:cs="宋体"/>
          <w:color w:val="auto"/>
          <w:kern w:val="2"/>
          <w:sz w:val="28"/>
          <w:szCs w:val="28"/>
          <w:shd w:val="clear"/>
        </w:rPr>
        <w:t>注册用户名，并于报名截止时间前办理报名竞价手续，登录到</w:t>
      </w:r>
      <w:r>
        <w:rPr>
          <w:rFonts w:hint="eastAsia" w:ascii="宋体" w:hAnsi="宋体" w:eastAsia="宋体" w:cs="宋体"/>
          <w:color w:val="auto"/>
          <w:kern w:val="2"/>
          <w:sz w:val="28"/>
          <w:szCs w:val="28"/>
          <w:shd w:val="clear"/>
          <w:lang w:eastAsia="zh-CN"/>
        </w:rPr>
        <w:t>连城县招标投标交易平台</w:t>
      </w:r>
      <w:r>
        <w:rPr>
          <w:rFonts w:hint="eastAsia" w:ascii="宋体" w:hAnsi="宋体" w:eastAsia="宋体" w:cs="宋体"/>
          <w:color w:val="auto"/>
          <w:kern w:val="2"/>
          <w:sz w:val="28"/>
          <w:szCs w:val="28"/>
          <w:shd w:val="clear"/>
        </w:rPr>
        <w:t>申请参与本场竞价。</w:t>
      </w:r>
    </w:p>
    <w:p w14:paraId="0777FC65">
      <w:pPr>
        <w:widowControl/>
        <w:shd w:val="clear"/>
        <w:snapToGrid/>
        <w:spacing w:before="0" w:line="520" w:lineRule="exact"/>
        <w:ind w:left="0" w:firstLine="560" w:firstLineChars="200"/>
        <w:rPr>
          <w:rFonts w:hint="eastAsia" w:ascii="宋体" w:hAnsi="宋体" w:eastAsia="宋体" w:cs="宋体"/>
          <w:color w:val="auto"/>
          <w:kern w:val="2"/>
          <w:sz w:val="28"/>
          <w:szCs w:val="28"/>
          <w:highlight w:val="none"/>
          <w:shd w:val="clear"/>
        </w:rPr>
      </w:pPr>
      <w:r>
        <w:rPr>
          <w:rFonts w:hint="eastAsia" w:ascii="宋体" w:hAnsi="宋体" w:eastAsia="宋体" w:cs="宋体"/>
          <w:color w:val="auto"/>
          <w:sz w:val="28"/>
          <w:szCs w:val="28"/>
          <w:lang w:val="en-US" w:eastAsia="zh-CN"/>
        </w:rPr>
        <w:t>3.</w:t>
      </w:r>
      <w:r>
        <w:rPr>
          <w:rFonts w:hint="eastAsia" w:ascii="宋体" w:hAnsi="宋体" w:eastAsia="宋体" w:cs="宋体"/>
          <w:color w:val="auto"/>
          <w:kern w:val="2"/>
          <w:sz w:val="28"/>
          <w:szCs w:val="28"/>
          <w:highlight w:val="none"/>
          <w:shd w:val="clear"/>
        </w:rPr>
        <w:t>本次公开竞价采用“</w:t>
      </w:r>
      <w:r>
        <w:rPr>
          <w:rFonts w:hint="eastAsia" w:ascii="宋体" w:hAnsi="宋体" w:eastAsia="宋体" w:cs="宋体"/>
          <w:color w:val="auto"/>
          <w:kern w:val="2"/>
          <w:sz w:val="28"/>
          <w:szCs w:val="28"/>
          <w:highlight w:val="none"/>
          <w:shd w:val="clear"/>
          <w:lang w:eastAsia="zh-CN"/>
        </w:rPr>
        <w:t>连城县招标投标交易平台</w:t>
      </w:r>
      <w:r>
        <w:rPr>
          <w:rFonts w:hint="eastAsia" w:ascii="宋体" w:hAnsi="宋体" w:eastAsia="宋体" w:cs="宋体"/>
          <w:color w:val="auto"/>
          <w:kern w:val="2"/>
          <w:sz w:val="28"/>
          <w:szCs w:val="28"/>
          <w:highlight w:val="none"/>
          <w:shd w:val="clear"/>
        </w:rPr>
        <w:t>(</w:t>
      </w:r>
      <w:r>
        <w:rPr>
          <w:rFonts w:hint="eastAsia" w:ascii="宋体" w:hAnsi="宋体" w:eastAsia="宋体" w:cs="宋体"/>
          <w:color w:val="auto"/>
          <w:kern w:val="2"/>
          <w:sz w:val="28"/>
          <w:szCs w:val="28"/>
          <w:highlight w:val="none"/>
          <w:shd w:val="clear"/>
          <w:lang w:eastAsia="zh-CN"/>
        </w:rPr>
        <w:t>https://lcyjy.enjoy5191.com/home</w:t>
      </w:r>
      <w:r>
        <w:rPr>
          <w:rFonts w:hint="eastAsia" w:ascii="宋体" w:hAnsi="宋体" w:eastAsia="宋体" w:cs="宋体"/>
          <w:color w:val="auto"/>
          <w:kern w:val="2"/>
          <w:sz w:val="28"/>
          <w:szCs w:val="28"/>
          <w:highlight w:val="none"/>
          <w:shd w:val="clear"/>
        </w:rPr>
        <w:t xml:space="preserve"> )”</w:t>
      </w:r>
      <w:r>
        <w:rPr>
          <w:rFonts w:hint="eastAsia" w:ascii="宋体" w:hAnsi="宋体" w:eastAsia="宋体" w:cs="宋体"/>
          <w:color w:val="auto"/>
          <w:kern w:val="2"/>
          <w:sz w:val="28"/>
          <w:szCs w:val="28"/>
          <w:highlight w:val="none"/>
          <w:shd w:val="clear"/>
          <w:lang w:eastAsia="zh-CN"/>
        </w:rPr>
        <w:t>网络</w:t>
      </w:r>
      <w:r>
        <w:rPr>
          <w:rFonts w:hint="eastAsia" w:ascii="宋体" w:hAnsi="宋体" w:eastAsia="宋体" w:cs="宋体"/>
          <w:color w:val="auto"/>
          <w:kern w:val="2"/>
          <w:sz w:val="28"/>
          <w:szCs w:val="28"/>
          <w:highlight w:val="none"/>
          <w:shd w:val="clear"/>
          <w:lang w:val="en-US" w:eastAsia="zh-CN"/>
        </w:rPr>
        <w:t>反</w:t>
      </w:r>
      <w:r>
        <w:rPr>
          <w:rFonts w:hint="eastAsia" w:ascii="宋体" w:hAnsi="宋体" w:eastAsia="宋体" w:cs="宋体"/>
          <w:color w:val="auto"/>
          <w:kern w:val="2"/>
          <w:sz w:val="28"/>
          <w:szCs w:val="28"/>
          <w:highlight w:val="none"/>
          <w:shd w:val="clear"/>
          <w:lang w:eastAsia="zh-CN"/>
        </w:rPr>
        <w:t>向一次性报价</w:t>
      </w:r>
      <w:r>
        <w:rPr>
          <w:rFonts w:hint="eastAsia" w:ascii="宋体" w:hAnsi="宋体" w:eastAsia="宋体" w:cs="宋体"/>
          <w:color w:val="auto"/>
          <w:kern w:val="2"/>
          <w:sz w:val="28"/>
          <w:szCs w:val="28"/>
          <w:highlight w:val="none"/>
          <w:shd w:val="clear"/>
        </w:rPr>
        <w:t>、</w:t>
      </w:r>
      <w:r>
        <w:rPr>
          <w:rFonts w:hint="eastAsia" w:ascii="宋体" w:hAnsi="宋体" w:eastAsia="宋体" w:cs="宋体"/>
          <w:b/>
          <w:bCs/>
          <w:color w:val="auto"/>
          <w:kern w:val="2"/>
          <w:sz w:val="28"/>
          <w:szCs w:val="28"/>
          <w:highlight w:val="none"/>
          <w:shd w:val="clear"/>
          <w:lang w:val="en-US" w:eastAsia="zh-CN"/>
        </w:rPr>
        <w:t>价低者</w:t>
      </w:r>
      <w:r>
        <w:rPr>
          <w:rFonts w:hint="eastAsia" w:ascii="宋体" w:hAnsi="宋体" w:eastAsia="宋体" w:cs="宋体"/>
          <w:color w:val="auto"/>
          <w:kern w:val="2"/>
          <w:sz w:val="28"/>
          <w:szCs w:val="28"/>
          <w:highlight w:val="none"/>
          <w:shd w:val="clear"/>
        </w:rPr>
        <w:t>得的交易方式，以“价格优先，时间优先”（即同等价格时，以报价时间优先）确定本次竞价标的的成交人。</w:t>
      </w:r>
    </w:p>
    <w:p w14:paraId="511A05B7">
      <w:pPr>
        <w:widowControl/>
        <w:shd w:val="clear"/>
        <w:snapToGrid/>
        <w:spacing w:before="0" w:line="520" w:lineRule="exact"/>
        <w:ind w:left="0"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3.1竞价人以</w:t>
      </w:r>
      <w:r>
        <w:rPr>
          <w:rFonts w:hint="eastAsia" w:ascii="宋体" w:hAnsi="宋体" w:eastAsia="宋体" w:cs="宋体"/>
          <w:b/>
          <w:bCs/>
          <w:color w:val="auto"/>
          <w:sz w:val="28"/>
          <w:szCs w:val="28"/>
          <w:lang w:val="en-US" w:eastAsia="zh-CN"/>
        </w:rPr>
        <w:t>监理费费率</w:t>
      </w:r>
      <w:r>
        <w:rPr>
          <w:rFonts w:hint="eastAsia" w:ascii="宋体" w:hAnsi="宋体" w:eastAsia="宋体" w:cs="宋体"/>
          <w:color w:val="auto"/>
          <w:sz w:val="28"/>
          <w:szCs w:val="28"/>
          <w:lang w:val="en-US" w:eastAsia="zh-CN"/>
        </w:rPr>
        <w:t>进行报价，竞价人在报价时不得高于最高限价，根据有效竞价人报价排名情况，由低到高排序，最低的一名即为成交人。最高控制价为包干价，包括但不限于税费、服务费、文印费、差旅费、交通费、住宿费等所有相关费用，竞价人应对本次供货内容应有充分认识，自行判断能够完成本项目所需的费用，风险费用应自行考虑计入投标报价，竞价人未考虑风险因素造成的损失由竞价人自行负责。</w:t>
      </w:r>
    </w:p>
    <w:p w14:paraId="10EF8A3D">
      <w:pPr>
        <w:widowControl/>
        <w:shd w:val="clear"/>
        <w:snapToGrid/>
        <w:spacing w:before="0" w:line="520" w:lineRule="exact"/>
        <w:ind w:left="0" w:firstLine="560" w:firstLineChars="200"/>
        <w:rPr>
          <w:rFonts w:hint="eastAsia" w:ascii="宋体" w:hAnsi="宋体" w:eastAsia="宋体" w:cs="宋体"/>
          <w:color w:val="auto"/>
          <w:kern w:val="2"/>
          <w:sz w:val="28"/>
          <w:szCs w:val="28"/>
          <w:shd w:val="clear"/>
        </w:rPr>
      </w:pPr>
      <w:r>
        <w:rPr>
          <w:rFonts w:hint="eastAsia" w:ascii="宋体" w:hAnsi="宋体" w:eastAsia="宋体" w:cs="宋体"/>
          <w:color w:val="auto"/>
          <w:kern w:val="2"/>
          <w:sz w:val="28"/>
          <w:szCs w:val="28"/>
          <w:highlight w:val="none"/>
          <w:shd w:val="clear"/>
          <w:lang w:val="en-US" w:eastAsia="zh-CN"/>
        </w:rPr>
        <w:t>3.2</w:t>
      </w:r>
      <w:r>
        <w:rPr>
          <w:rFonts w:hint="eastAsia" w:ascii="宋体" w:hAnsi="宋体" w:eastAsia="宋体" w:cs="宋体"/>
          <w:color w:val="auto"/>
          <w:kern w:val="2"/>
          <w:sz w:val="28"/>
          <w:szCs w:val="28"/>
          <w:highlight w:val="none"/>
          <w:shd w:val="clear"/>
        </w:rPr>
        <w:t>若有两个或两个以上的报价相等时，以先报价的竞价人为成交人；若有两个或两个以上的报价相等，报价时间相同时，则以报名时先缴纳竞价保证的竞价人为成交人；若有两个或两个以上的报价相等，报价时间相同，且缴纳竞价保证金时间相同时，则以报名时先提交报名材料的竞价人为成交人。</w:t>
      </w:r>
    </w:p>
    <w:p w14:paraId="3EFB34F2">
      <w:pPr>
        <w:widowControl/>
        <w:shd w:val="clear"/>
        <w:snapToGrid/>
        <w:spacing w:before="0" w:line="520" w:lineRule="exact"/>
        <w:ind w:left="0"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w:t>
      </w:r>
      <w:r>
        <w:rPr>
          <w:rFonts w:hint="eastAsia" w:ascii="宋体" w:hAnsi="宋体" w:eastAsia="宋体" w:cs="宋体"/>
          <w:b/>
          <w:bCs/>
          <w:color w:val="auto"/>
          <w:sz w:val="28"/>
          <w:szCs w:val="28"/>
          <w:lang w:val="en-US" w:eastAsia="zh-CN"/>
        </w:rPr>
        <w:t>竞价人应以监理费费率进行报价</w:t>
      </w:r>
      <w:r>
        <w:rPr>
          <w:rFonts w:hint="eastAsia" w:ascii="宋体" w:hAnsi="宋体" w:eastAsia="宋体" w:cs="宋体"/>
          <w:color w:val="auto"/>
          <w:sz w:val="28"/>
          <w:szCs w:val="28"/>
          <w:lang w:val="en-US" w:eastAsia="zh-CN"/>
        </w:rPr>
        <w:t>（保留小数点后两位，小数点后第三位“四舍五入”，例如，所报监理费费率为1.88%，即在系统投标报价填写为1.88），</w:t>
      </w:r>
      <w:r>
        <w:rPr>
          <w:rFonts w:hint="eastAsia" w:ascii="宋体" w:hAnsi="宋体" w:eastAsia="宋体" w:cs="宋体"/>
          <w:b/>
          <w:bCs/>
          <w:color w:val="auto"/>
          <w:sz w:val="28"/>
          <w:szCs w:val="28"/>
          <w:lang w:val="en-US" w:eastAsia="zh-CN"/>
        </w:rPr>
        <w:t>竞价系统设置的价格2表示监理费费率最高限价为人民币2.00%</w:t>
      </w:r>
      <w:r>
        <w:rPr>
          <w:rFonts w:hint="eastAsia" w:ascii="宋体" w:hAnsi="宋体" w:eastAsia="宋体" w:cs="宋体"/>
          <w:color w:val="auto"/>
          <w:sz w:val="28"/>
          <w:szCs w:val="28"/>
          <w:lang w:val="en-US" w:eastAsia="zh-CN"/>
        </w:rPr>
        <w:t>，</w:t>
      </w:r>
      <w:r>
        <w:rPr>
          <w:rFonts w:hint="eastAsia" w:ascii="宋体" w:hAnsi="宋体" w:eastAsia="宋体" w:cs="宋体"/>
          <w:b/>
          <w:bCs/>
          <w:color w:val="auto"/>
          <w:sz w:val="28"/>
          <w:szCs w:val="28"/>
          <w:lang w:val="en-US" w:eastAsia="zh-CN"/>
        </w:rPr>
        <w:t>竞价人在竞价系统填报价格高于2.00为无效报价</w:t>
      </w:r>
      <w:r>
        <w:rPr>
          <w:rFonts w:hint="eastAsia" w:ascii="宋体" w:hAnsi="宋体" w:eastAsia="宋体" w:cs="宋体"/>
          <w:color w:val="auto"/>
          <w:sz w:val="28"/>
          <w:szCs w:val="28"/>
          <w:lang w:val="en-US" w:eastAsia="zh-CN"/>
        </w:rPr>
        <w:t>，填报</w:t>
      </w:r>
      <w:r>
        <w:rPr>
          <w:rFonts w:hint="eastAsia" w:ascii="宋体" w:hAnsi="宋体" w:eastAsia="宋体" w:cs="宋体"/>
          <w:b/>
          <w:bCs/>
          <w:color w:val="auto"/>
          <w:sz w:val="28"/>
          <w:szCs w:val="28"/>
          <w:lang w:val="en-US" w:eastAsia="zh-CN"/>
        </w:rPr>
        <w:t>监理费费率最低的竞价人作为本项目成交人</w:t>
      </w:r>
      <w:r>
        <w:rPr>
          <w:rFonts w:hint="eastAsia" w:ascii="宋体" w:hAnsi="宋体" w:eastAsia="宋体" w:cs="宋体"/>
          <w:color w:val="auto"/>
          <w:sz w:val="28"/>
          <w:szCs w:val="28"/>
          <w:lang w:val="en-US" w:eastAsia="zh-CN"/>
        </w:rPr>
        <w:t>。</w:t>
      </w:r>
      <w:r>
        <w:rPr>
          <w:rFonts w:hint="eastAsia" w:ascii="宋体" w:hAnsi="宋体" w:eastAsia="宋体" w:cs="宋体"/>
          <w:color w:val="auto"/>
          <w:kern w:val="2"/>
          <w:sz w:val="28"/>
          <w:szCs w:val="28"/>
          <w:highlight w:val="none"/>
          <w:shd w:val="clear"/>
          <w:lang w:val="en-US" w:eastAsia="zh-CN"/>
        </w:rPr>
        <w:t xml:space="preserve">若竞价系统显示无效报价竞价人为成交人的，我司有权按照本《竞价须知》规则排除无效报价竞价人后，根据有效报价竞价人的排序重新确定成交人。 </w:t>
      </w:r>
    </w:p>
    <w:p w14:paraId="1DE08AEB">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5.特别提示：标的经公开征集到的合格竞价人,应以不高于最高限价进行报价，同时成交人应签署《竞价结果通知书》等相关文件，否则视同为违约。</w:t>
      </w:r>
    </w:p>
    <w:p w14:paraId="672BA25A">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6.本公司有权就竞价时间做出调整，如有调整将在本公司网站进行公告。</w:t>
      </w:r>
    </w:p>
    <w:p w14:paraId="71CA3816">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cs="宋体"/>
          <w:b/>
          <w:bCs/>
          <w:color w:val="auto"/>
          <w:sz w:val="28"/>
          <w:szCs w:val="28"/>
          <w:lang w:val="en-US" w:eastAsia="zh-CN"/>
        </w:rPr>
        <w:t>六</w:t>
      </w:r>
      <w:r>
        <w:rPr>
          <w:rFonts w:hint="eastAsia" w:ascii="宋体" w:hAnsi="宋体" w:eastAsia="宋体" w:cs="宋体"/>
          <w:b/>
          <w:bCs/>
          <w:color w:val="auto"/>
          <w:sz w:val="28"/>
          <w:szCs w:val="28"/>
          <w:lang w:val="en-US" w:eastAsia="zh-CN"/>
        </w:rPr>
        <w:t>、交易服务费</w:t>
      </w:r>
    </w:p>
    <w:p w14:paraId="190A2ACF">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rPr>
        <w:t>竞价成交后，</w:t>
      </w:r>
      <w:r>
        <w:rPr>
          <w:rFonts w:hint="eastAsia" w:ascii="宋体" w:hAnsi="宋体" w:eastAsia="宋体" w:cs="宋体"/>
          <w:b/>
          <w:bCs/>
          <w:color w:val="auto"/>
          <w:sz w:val="28"/>
          <w:szCs w:val="28"/>
        </w:rPr>
        <w:t>本项目的</w:t>
      </w:r>
      <w:r>
        <w:rPr>
          <w:rFonts w:hint="eastAsia" w:ascii="宋体" w:hAnsi="宋体" w:eastAsia="宋体" w:cs="宋体"/>
          <w:b/>
          <w:bCs/>
          <w:color w:val="auto"/>
          <w:sz w:val="28"/>
          <w:szCs w:val="28"/>
          <w:lang w:val="en-US" w:eastAsia="zh-CN"/>
        </w:rPr>
        <w:t>招标代理</w:t>
      </w:r>
      <w:r>
        <w:rPr>
          <w:rFonts w:hint="eastAsia" w:ascii="宋体" w:hAnsi="宋体" w:eastAsia="宋体" w:cs="宋体"/>
          <w:b/>
          <w:bCs/>
          <w:color w:val="auto"/>
          <w:sz w:val="28"/>
          <w:szCs w:val="28"/>
        </w:rPr>
        <w:t>服务费</w:t>
      </w:r>
      <w:r>
        <w:rPr>
          <w:rFonts w:hint="eastAsia" w:ascii="宋体" w:hAnsi="宋体" w:eastAsia="宋体" w:cs="宋体"/>
          <w:b/>
          <w:bCs/>
          <w:color w:val="auto"/>
          <w:sz w:val="28"/>
          <w:szCs w:val="28"/>
          <w:lang w:val="en-US" w:eastAsia="zh-CN"/>
        </w:rPr>
        <w:t>工程预算审后总造价*成交的监理费费率</w:t>
      </w:r>
      <w:r>
        <w:rPr>
          <w:rFonts w:hint="eastAsia" w:ascii="宋体" w:hAnsi="宋体" w:eastAsia="宋体" w:cs="宋体"/>
          <w:b/>
          <w:bCs/>
          <w:color w:val="auto"/>
          <w:sz w:val="28"/>
          <w:szCs w:val="28"/>
        </w:rPr>
        <w:t>×1.5%计费向成交</w:t>
      </w:r>
      <w:r>
        <w:rPr>
          <w:rFonts w:hint="eastAsia" w:ascii="宋体" w:hAnsi="宋体" w:eastAsia="宋体" w:cs="宋体"/>
          <w:b/>
          <w:bCs/>
          <w:color w:val="auto"/>
          <w:sz w:val="28"/>
          <w:szCs w:val="28"/>
          <w:lang w:val="en-US" w:eastAsia="zh-CN"/>
        </w:rPr>
        <w:t>人</w:t>
      </w:r>
      <w:r>
        <w:rPr>
          <w:rFonts w:hint="eastAsia" w:ascii="宋体" w:hAnsi="宋体" w:eastAsia="宋体" w:cs="宋体"/>
          <w:b/>
          <w:bCs/>
          <w:color w:val="auto"/>
          <w:sz w:val="28"/>
          <w:szCs w:val="28"/>
        </w:rPr>
        <w:t>收取</w:t>
      </w:r>
      <w:r>
        <w:rPr>
          <w:rFonts w:hint="eastAsia" w:ascii="宋体" w:hAnsi="宋体" w:eastAsia="宋体" w:cs="宋体"/>
          <w:b/>
          <w:bCs/>
          <w:color w:val="auto"/>
          <w:sz w:val="28"/>
          <w:szCs w:val="28"/>
          <w:lang w:eastAsia="zh-CN"/>
        </w:rPr>
        <w:t>，不足3000元的，按3000元计费。</w:t>
      </w:r>
      <w:r>
        <w:rPr>
          <w:rFonts w:hint="eastAsia" w:ascii="宋体" w:hAnsi="宋体" w:eastAsia="宋体" w:cs="宋体"/>
          <w:color w:val="auto"/>
          <w:sz w:val="28"/>
          <w:szCs w:val="28"/>
          <w:lang w:val="en-US" w:eastAsia="zh-CN"/>
        </w:rPr>
        <w:t>招标代理</w:t>
      </w:r>
      <w:r>
        <w:rPr>
          <w:rFonts w:hint="eastAsia" w:ascii="宋体" w:hAnsi="宋体" w:eastAsia="宋体" w:cs="宋体"/>
          <w:color w:val="auto"/>
          <w:sz w:val="28"/>
          <w:szCs w:val="28"/>
        </w:rPr>
        <w:t>服务费由</w:t>
      </w:r>
      <w:r>
        <w:rPr>
          <w:rFonts w:hint="eastAsia" w:ascii="宋体" w:hAnsi="宋体" w:cs="宋体"/>
          <w:color w:val="auto"/>
          <w:sz w:val="28"/>
          <w:szCs w:val="28"/>
          <w:lang w:val="en-US" w:eastAsia="zh-CN"/>
        </w:rPr>
        <w:t>委托人支付。</w:t>
      </w:r>
    </w:p>
    <w:p w14:paraId="4D171E95">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cs="宋体"/>
          <w:b/>
          <w:bCs/>
          <w:color w:val="auto"/>
          <w:sz w:val="28"/>
          <w:szCs w:val="28"/>
          <w:lang w:val="en-US" w:eastAsia="zh-CN"/>
        </w:rPr>
        <w:t>七</w:t>
      </w:r>
      <w:r>
        <w:rPr>
          <w:rFonts w:hint="eastAsia" w:ascii="宋体" w:hAnsi="宋体" w:eastAsia="宋体" w:cs="宋体"/>
          <w:b/>
          <w:bCs/>
          <w:color w:val="auto"/>
          <w:sz w:val="28"/>
          <w:szCs w:val="28"/>
          <w:lang w:val="en-US" w:eastAsia="zh-CN"/>
        </w:rPr>
        <w:t>、付款方式</w:t>
      </w:r>
    </w:p>
    <w:p w14:paraId="3DA74426">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本项目竣工验收合格后，供应商开具全额增值税发票，向委托人办理相关支付手续。</w:t>
      </w:r>
    </w:p>
    <w:p w14:paraId="3DF91C30">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cs="宋体"/>
          <w:b/>
          <w:bCs/>
          <w:color w:val="auto"/>
          <w:sz w:val="28"/>
          <w:szCs w:val="28"/>
          <w:lang w:val="en-US" w:eastAsia="zh-CN"/>
        </w:rPr>
        <w:t>八</w:t>
      </w:r>
      <w:r>
        <w:rPr>
          <w:rFonts w:hint="eastAsia" w:ascii="宋体" w:hAnsi="宋体" w:eastAsia="宋体" w:cs="宋体"/>
          <w:b/>
          <w:bCs/>
          <w:color w:val="auto"/>
          <w:sz w:val="28"/>
          <w:szCs w:val="28"/>
          <w:lang w:val="en-US" w:eastAsia="zh-CN"/>
        </w:rPr>
        <w:t>、费用承担</w:t>
      </w:r>
    </w:p>
    <w:p w14:paraId="3FAF24C9">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1.竞价人自行承担参加竞价会有关的全部费用（包括但不限于差旅费、邮寄费、资料费等）。</w:t>
      </w:r>
    </w:p>
    <w:p w14:paraId="1FB290AB">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 xml:space="preserve"> 2.成交价为包干价，包括但不限于税费、服务费、文印费、差旅费、交通费、住宿费等所有相关费用，竞价人应对本次供货内容应有充分认识，自行判断能够完成本项目所需的费用，风险费用应自行考虑计入投标报价，竞价人未考虑风险因素造成的损失由竞价人自行负责。</w:t>
      </w:r>
    </w:p>
    <w:p w14:paraId="2000133F">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cs="宋体"/>
          <w:b/>
          <w:bCs/>
          <w:color w:val="auto"/>
          <w:sz w:val="28"/>
          <w:szCs w:val="28"/>
          <w:lang w:val="en-US" w:eastAsia="zh-CN"/>
        </w:rPr>
        <w:t>九</w:t>
      </w:r>
      <w:r>
        <w:rPr>
          <w:rFonts w:hint="eastAsia" w:ascii="宋体" w:hAnsi="宋体" w:eastAsia="宋体" w:cs="宋体"/>
          <w:b/>
          <w:bCs/>
          <w:color w:val="auto"/>
          <w:sz w:val="28"/>
          <w:szCs w:val="28"/>
          <w:lang w:val="en-US" w:eastAsia="zh-CN"/>
        </w:rPr>
        <w:t>、违约责任</w:t>
      </w:r>
    </w:p>
    <w:p w14:paraId="3D3620B1">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成交人应价后反悔的，或不即时签订《竞价结果通知书》，或逾期未缴纳交易服务费，本公司</w:t>
      </w:r>
      <w:r>
        <w:rPr>
          <w:rFonts w:hint="eastAsia" w:ascii="宋体" w:hAnsi="宋体" w:eastAsia="宋体" w:cs="宋体"/>
          <w:color w:val="auto"/>
          <w:sz w:val="28"/>
          <w:szCs w:val="28"/>
          <w:highlight w:val="none"/>
          <w:lang w:val="en-US" w:eastAsia="zh-CN"/>
        </w:rPr>
        <w:t>按违约处理，同时</w:t>
      </w:r>
      <w:r>
        <w:rPr>
          <w:rFonts w:hint="eastAsia" w:ascii="宋体" w:hAnsi="宋体" w:eastAsia="宋体" w:cs="宋体"/>
          <w:color w:val="auto"/>
          <w:sz w:val="28"/>
          <w:szCs w:val="28"/>
          <w:lang w:val="en-US" w:eastAsia="zh-CN"/>
        </w:rPr>
        <w:t>《竞价结果通知书》自动失效，并视情对竞价标的再次竞价或处理，本公司将保留向该成交人提起赔偿诉讼的权利。</w:t>
      </w:r>
    </w:p>
    <w:p w14:paraId="60122C00">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十、注意事项</w:t>
      </w:r>
    </w:p>
    <w:p w14:paraId="0BE8C6F2">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1.因不可预见的原因导致上述竞价交易方式不能正常进行的，本公司有权中止交易或临时决定采用其它竞价方式和竞价交易规则，竞价人对此不得有异议。</w:t>
      </w:r>
    </w:p>
    <w:p w14:paraId="7688D27B">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2.竞价人应妥善保管好用户名及密码，用户名为竞价人参加网络竞价的唯一合法身份，所有用户登录后的报价均视为竞价人本人真实意愿的表示。如用户名丢失或被他人盗用所造成的一切后果均由竞价人负责。</w:t>
      </w:r>
    </w:p>
    <w:p w14:paraId="23D0B8FF">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3.成交后，成交人应当与委托人签订《</w:t>
      </w:r>
      <w:r>
        <w:rPr>
          <w:rFonts w:hint="eastAsia" w:ascii="宋体" w:hAnsi="宋体" w:cs="宋体"/>
          <w:color w:val="auto"/>
          <w:sz w:val="28"/>
          <w:szCs w:val="28"/>
          <w:lang w:val="en-US" w:eastAsia="zh-CN"/>
        </w:rPr>
        <w:t>服务合同</w:t>
      </w:r>
      <w:r>
        <w:rPr>
          <w:rFonts w:hint="eastAsia" w:ascii="宋体" w:hAnsi="宋体" w:eastAsia="宋体" w:cs="宋体"/>
          <w:color w:val="auto"/>
          <w:sz w:val="28"/>
          <w:szCs w:val="28"/>
          <w:lang w:val="en-US" w:eastAsia="zh-CN"/>
        </w:rPr>
        <w:t>》，并严格履行，双方的权利、义务以《</w:t>
      </w:r>
      <w:r>
        <w:rPr>
          <w:rFonts w:hint="eastAsia" w:ascii="宋体" w:hAnsi="宋体" w:cs="宋体"/>
          <w:color w:val="auto"/>
          <w:sz w:val="28"/>
          <w:szCs w:val="28"/>
          <w:lang w:val="en-US" w:eastAsia="zh-CN"/>
        </w:rPr>
        <w:t>服务合同</w:t>
      </w:r>
      <w:r>
        <w:rPr>
          <w:rFonts w:hint="eastAsia" w:ascii="宋体" w:hAnsi="宋体" w:eastAsia="宋体" w:cs="宋体"/>
          <w:color w:val="auto"/>
          <w:sz w:val="28"/>
          <w:szCs w:val="28"/>
          <w:lang w:val="en-US" w:eastAsia="zh-CN"/>
        </w:rPr>
        <w:t>》约定为准。</w:t>
      </w:r>
    </w:p>
    <w:p w14:paraId="6070013A">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4.因委托人、成交人的原因造成不能签订相应的合同或解除合同、合同无效的，我司不承担任何责任。签订《竞价结果通知书》视为我司对成交人的合同义务履行完毕。</w:t>
      </w:r>
    </w:p>
    <w:p w14:paraId="55325318">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十</w:t>
      </w:r>
      <w:r>
        <w:rPr>
          <w:rFonts w:hint="eastAsia" w:ascii="宋体" w:hAnsi="宋体" w:cs="宋体"/>
          <w:b/>
          <w:bCs/>
          <w:color w:val="auto"/>
          <w:sz w:val="28"/>
          <w:szCs w:val="28"/>
          <w:lang w:val="en-US" w:eastAsia="zh-CN"/>
        </w:rPr>
        <w:t>一</w:t>
      </w:r>
      <w:r>
        <w:rPr>
          <w:rFonts w:hint="eastAsia" w:ascii="宋体" w:hAnsi="宋体" w:eastAsia="宋体" w:cs="宋体"/>
          <w:b/>
          <w:bCs/>
          <w:color w:val="auto"/>
          <w:sz w:val="28"/>
          <w:szCs w:val="28"/>
          <w:lang w:val="en-US" w:eastAsia="zh-CN"/>
        </w:rPr>
        <w:t>、特别提示</w:t>
      </w:r>
    </w:p>
    <w:tbl>
      <w:tblPr>
        <w:tblStyle w:val="12"/>
        <w:tblW w:w="9071" w:type="dxa"/>
        <w:jc w:val="center"/>
        <w:shd w:val="clear" w:color="auto" w:fill="FFFFFF"/>
        <w:tblLayout w:type="autofit"/>
        <w:tblCellMar>
          <w:top w:w="0" w:type="dxa"/>
          <w:left w:w="0" w:type="dxa"/>
          <w:bottom w:w="0" w:type="dxa"/>
          <w:right w:w="0" w:type="dxa"/>
        </w:tblCellMar>
      </w:tblPr>
      <w:tblGrid>
        <w:gridCol w:w="9071"/>
      </w:tblGrid>
      <w:tr w14:paraId="49C3E373">
        <w:tblPrEx>
          <w:shd w:val="clear" w:color="auto" w:fill="FFFFFF"/>
          <w:tblCellMar>
            <w:top w:w="0" w:type="dxa"/>
            <w:left w:w="0" w:type="dxa"/>
            <w:bottom w:w="0" w:type="dxa"/>
            <w:right w:w="0" w:type="dxa"/>
          </w:tblCellMar>
        </w:tblPrEx>
        <w:trPr>
          <w:jc w:val="center"/>
        </w:trPr>
        <w:tc>
          <w:tcPr>
            <w:tcW w:w="5000" w:type="pct"/>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tcPr>
          <w:p w14:paraId="7FC5A883">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1.申请人必须对本项目情况及竞价流程进行充分的咨询和了解，一旦参与竞价，视为无异议，并对项目存在或可能存在的瑕疵表示认可，自行承担由此造成的风险。</w:t>
            </w:r>
          </w:p>
          <w:p w14:paraId="64FC57F4">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2.竞价文件如有更正修改，公告将在</w:t>
            </w:r>
            <w:r>
              <w:rPr>
                <w:rFonts w:hint="eastAsia" w:ascii="宋体" w:hAnsi="宋体" w:eastAsia="宋体" w:cs="宋体"/>
                <w:b/>
                <w:bCs/>
                <w:color w:val="auto"/>
                <w:sz w:val="28"/>
                <w:szCs w:val="28"/>
                <w:lang w:val="en-US" w:eastAsia="zh-CN"/>
              </w:rPr>
              <w:t>连城产权交易网（网址：http://www.lcxcqjy.com/）、</w:t>
            </w:r>
            <w:r>
              <w:rPr>
                <w:rFonts w:hint="eastAsia" w:ascii="宋体" w:hAnsi="宋体" w:eastAsia="宋体" w:cs="宋体"/>
                <w:color w:val="auto"/>
                <w:sz w:val="28"/>
                <w:szCs w:val="28"/>
              </w:rPr>
              <w:t>连城县招标投标交易平台(</w:t>
            </w:r>
            <w:r>
              <w:rPr>
                <w:rFonts w:hint="eastAsia" w:ascii="宋体" w:hAnsi="宋体" w:eastAsia="宋体" w:cs="宋体"/>
                <w:b w:val="0"/>
                <w:bCs w:val="0"/>
                <w:color w:val="auto"/>
                <w:sz w:val="28"/>
                <w:szCs w:val="28"/>
              </w:rPr>
              <w:t>网址：</w:t>
            </w:r>
            <w:r>
              <w:rPr>
                <w:rFonts w:hint="eastAsia" w:ascii="宋体" w:hAnsi="宋体" w:eastAsia="宋体" w:cs="宋体"/>
                <w:color w:val="auto"/>
                <w:sz w:val="28"/>
                <w:szCs w:val="28"/>
              </w:rPr>
              <w:t>https://lcyjy.enjoy5191.com/home</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上发布，请潜在竞价人随时密切关注上述网站并下载相关信息，本公司不再另行通知（相同内容如有多次修改，以最后一次修改为准）。潜在竞价人未查看、下载修改内容的，后果自行承担。</w:t>
            </w:r>
          </w:p>
          <w:p w14:paraId="187F06A2">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有需要通知事项时，本公司以竞价人报名时载明的联系电话、联系地址（未另外注明的以身份证为准）作为联系依据，通过邮件或语音、短信的方式通知竞价人，即使竞价人不签收或未收到通知，均视为竞价人已收到通知，由此造成的后果由竞价人自行负责。竞价人成为成交人参照此条款执行。</w:t>
            </w:r>
          </w:p>
        </w:tc>
      </w:tr>
    </w:tbl>
    <w:p w14:paraId="0317BBC3">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  </w:t>
      </w:r>
    </w:p>
    <w:p w14:paraId="54301C90">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drawing>
          <wp:anchor distT="0" distB="0" distL="114300" distR="114300" simplePos="0" relativeHeight="251659264" behindDoc="1" locked="0" layoutInCell="1" allowOverlap="1">
            <wp:simplePos x="0" y="0"/>
            <wp:positionH relativeFrom="column">
              <wp:posOffset>711200</wp:posOffset>
            </wp:positionH>
            <wp:positionV relativeFrom="paragraph">
              <wp:posOffset>75565</wp:posOffset>
            </wp:positionV>
            <wp:extent cx="934085" cy="934085"/>
            <wp:effectExtent l="0" t="0" r="10795" b="10795"/>
            <wp:wrapNone/>
            <wp:docPr id="2" name="图片 2" descr="公司微信公众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公司微信公众号"/>
                    <pic:cNvPicPr>
                      <a:picLocks noChangeAspect="1"/>
                    </pic:cNvPicPr>
                  </pic:nvPicPr>
                  <pic:blipFill>
                    <a:blip r:embed="rId5"/>
                    <a:stretch>
                      <a:fillRect/>
                    </a:stretch>
                  </pic:blipFill>
                  <pic:spPr>
                    <a:xfrm>
                      <a:off x="0" y="0"/>
                      <a:ext cx="934085" cy="934085"/>
                    </a:xfrm>
                    <a:prstGeom prst="rect">
                      <a:avLst/>
                    </a:prstGeom>
                  </pic:spPr>
                </pic:pic>
              </a:graphicData>
            </a:graphic>
          </wp:anchor>
        </w:drawing>
      </w:r>
      <w:r>
        <w:rPr>
          <w:rFonts w:hint="eastAsia" w:ascii="宋体" w:hAnsi="宋体" w:eastAsia="宋体" w:cs="宋体"/>
          <w:color w:val="auto"/>
          <w:sz w:val="28"/>
          <w:szCs w:val="28"/>
          <w:lang w:val="en-US" w:eastAsia="zh-CN"/>
        </w:rPr>
        <w:t>              连城县国有资产产权交易服务有限公司</w:t>
      </w:r>
    </w:p>
    <w:p w14:paraId="71BB344A">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 xml:space="preserve">                         </w:t>
      </w:r>
      <w:bookmarkStart w:id="69" w:name="_GoBack"/>
      <w:bookmarkEnd w:id="69"/>
      <w:r>
        <w:rPr>
          <w:rFonts w:hint="eastAsia" w:ascii="宋体" w:hAnsi="宋体" w:eastAsia="宋体" w:cs="宋体"/>
          <w:color w:val="auto"/>
          <w:sz w:val="28"/>
          <w:szCs w:val="28"/>
          <w:lang w:val="en-US" w:eastAsia="zh-CN"/>
        </w:rPr>
        <w:t xml:space="preserve">                2025年1</w:t>
      </w:r>
      <w:r>
        <w:rPr>
          <w:rFonts w:hint="eastAsia" w:ascii="宋体" w:hAnsi="宋体" w:cs="宋体"/>
          <w:color w:val="auto"/>
          <w:sz w:val="28"/>
          <w:szCs w:val="28"/>
          <w:lang w:val="en-US" w:eastAsia="zh-CN"/>
        </w:rPr>
        <w:t>2</w:t>
      </w:r>
      <w:r>
        <w:rPr>
          <w:rFonts w:hint="eastAsia" w:ascii="宋体" w:hAnsi="宋体" w:eastAsia="宋体" w:cs="宋体"/>
          <w:color w:val="auto"/>
          <w:sz w:val="28"/>
          <w:szCs w:val="28"/>
          <w:lang w:val="en-US" w:eastAsia="zh-CN"/>
        </w:rPr>
        <w:t>月</w:t>
      </w:r>
      <w:r>
        <w:rPr>
          <w:rFonts w:hint="eastAsia" w:ascii="宋体" w:hAnsi="宋体" w:cs="宋体"/>
          <w:color w:val="auto"/>
          <w:sz w:val="28"/>
          <w:szCs w:val="28"/>
          <w:lang w:val="en-US" w:eastAsia="zh-CN"/>
        </w:rPr>
        <w:t>25</w:t>
      </w:r>
      <w:r>
        <w:rPr>
          <w:rFonts w:hint="eastAsia" w:ascii="宋体" w:hAnsi="宋体" w:eastAsia="宋体" w:cs="宋体"/>
          <w:color w:val="auto"/>
          <w:sz w:val="28"/>
          <w:szCs w:val="28"/>
          <w:lang w:val="en-US" w:eastAsia="zh-CN"/>
        </w:rPr>
        <w:t>日</w:t>
      </w:r>
    </w:p>
    <w:p w14:paraId="7039278D">
      <w:pPr>
        <w:keepNext w:val="0"/>
        <w:keepLines w:val="0"/>
        <w:pageBreakBefore w:val="0"/>
        <w:kinsoku/>
        <w:wordWrap/>
        <w:topLinePunct w:val="0"/>
        <w:bidi w:val="0"/>
        <w:spacing w:line="520" w:lineRule="exact"/>
        <w:ind w:firstLine="883"/>
        <w:jc w:val="both"/>
        <w:rPr>
          <w:rFonts w:hint="eastAsia" w:ascii="宋体" w:hAnsi="宋体" w:eastAsia="宋体" w:cs="宋体"/>
          <w:b/>
          <w:color w:val="auto"/>
          <w:sz w:val="28"/>
          <w:szCs w:val="28"/>
        </w:rPr>
      </w:pPr>
    </w:p>
    <w:p w14:paraId="31E169A1">
      <w:pPr>
        <w:keepNext w:val="0"/>
        <w:keepLines w:val="0"/>
        <w:pageBreakBefore w:val="0"/>
        <w:kinsoku/>
        <w:wordWrap/>
        <w:topLinePunct w:val="0"/>
        <w:bidi w:val="0"/>
        <w:spacing w:line="520" w:lineRule="exact"/>
        <w:ind w:firstLine="883"/>
        <w:jc w:val="both"/>
        <w:rPr>
          <w:rFonts w:hint="eastAsia" w:ascii="宋体" w:hAnsi="宋体" w:eastAsia="宋体" w:cs="宋体"/>
          <w:b/>
          <w:color w:val="auto"/>
          <w:sz w:val="28"/>
          <w:szCs w:val="28"/>
        </w:rPr>
      </w:pPr>
    </w:p>
    <w:p w14:paraId="1BEB877B">
      <w:pPr>
        <w:keepNext w:val="0"/>
        <w:keepLines w:val="0"/>
        <w:pageBreakBefore w:val="0"/>
        <w:kinsoku/>
        <w:wordWrap/>
        <w:topLinePunct w:val="0"/>
        <w:bidi w:val="0"/>
        <w:spacing w:line="520" w:lineRule="exact"/>
        <w:jc w:val="center"/>
        <w:rPr>
          <w:rFonts w:hint="eastAsia" w:ascii="宋体" w:hAnsi="宋体" w:eastAsia="宋体" w:cs="宋体"/>
          <w:b/>
          <w:color w:val="auto"/>
          <w:sz w:val="28"/>
          <w:szCs w:val="28"/>
        </w:rPr>
      </w:pPr>
    </w:p>
    <w:p w14:paraId="110BD551">
      <w:pPr>
        <w:keepNext w:val="0"/>
        <w:keepLines w:val="0"/>
        <w:pageBreakBefore w:val="0"/>
        <w:kinsoku/>
        <w:wordWrap/>
        <w:topLinePunct w:val="0"/>
        <w:bidi w:val="0"/>
        <w:spacing w:line="520" w:lineRule="exact"/>
        <w:jc w:val="center"/>
        <w:rPr>
          <w:rFonts w:hint="eastAsia" w:ascii="宋体" w:hAnsi="宋体" w:eastAsia="宋体" w:cs="宋体"/>
          <w:b/>
          <w:color w:val="auto"/>
          <w:sz w:val="28"/>
          <w:szCs w:val="28"/>
        </w:rPr>
      </w:pPr>
    </w:p>
    <w:p w14:paraId="16EB5645">
      <w:pPr>
        <w:keepNext w:val="0"/>
        <w:keepLines w:val="0"/>
        <w:pageBreakBefore w:val="0"/>
        <w:kinsoku/>
        <w:wordWrap/>
        <w:topLinePunct w:val="0"/>
        <w:bidi w:val="0"/>
        <w:spacing w:line="520" w:lineRule="exact"/>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承 诺 书</w:t>
      </w:r>
    </w:p>
    <w:p w14:paraId="7E4456F3">
      <w:pPr>
        <w:keepNext w:val="0"/>
        <w:keepLines w:val="0"/>
        <w:pageBreakBefore w:val="0"/>
        <w:kinsoku/>
        <w:wordWrap/>
        <w:topLinePunct w:val="0"/>
        <w:bidi w:val="0"/>
        <w:spacing w:line="520" w:lineRule="exact"/>
        <w:ind w:firstLine="5880" w:firstLineChars="2100"/>
        <w:jc w:val="both"/>
        <w:rPr>
          <w:rFonts w:hint="eastAsia" w:ascii="宋体" w:hAnsi="宋体" w:eastAsia="宋体" w:cs="宋体"/>
          <w:color w:val="auto"/>
          <w:sz w:val="28"/>
          <w:szCs w:val="28"/>
        </w:rPr>
      </w:pPr>
    </w:p>
    <w:p w14:paraId="60D16E0A">
      <w:pPr>
        <w:keepNext w:val="0"/>
        <w:keepLines w:val="0"/>
        <w:pageBreakBefore w:val="0"/>
        <w:widowControl w:val="0"/>
        <w:kinsoku/>
        <w:wordWrap/>
        <w:overflowPunct/>
        <w:topLinePunct w:val="0"/>
        <w:autoSpaceDE/>
        <w:autoSpaceDN/>
        <w:bidi w:val="0"/>
        <w:adjustRightInd/>
        <w:snapToGrid/>
        <w:spacing w:beforeLines="50" w:line="520" w:lineRule="exact"/>
        <w:jc w:val="both"/>
        <w:textAlignment w:val="auto"/>
        <w:rPr>
          <w:rFonts w:hint="eastAsia" w:ascii="宋体" w:hAnsi="宋体" w:eastAsia="宋体" w:cs="宋体"/>
          <w:color w:val="auto"/>
          <w:sz w:val="28"/>
          <w:szCs w:val="28"/>
          <w:u w:val="single"/>
        </w:rPr>
      </w:pPr>
      <w:r>
        <w:rPr>
          <w:rFonts w:hint="eastAsia" w:ascii="宋体" w:hAnsi="宋体" w:eastAsia="宋体" w:cs="宋体"/>
          <w:b/>
          <w:bCs/>
          <w:color w:val="auto"/>
          <w:sz w:val="28"/>
          <w:szCs w:val="28"/>
        </w:rPr>
        <w:t>连城县国有资产产权交易服务有限公司</w:t>
      </w:r>
      <w:r>
        <w:rPr>
          <w:rFonts w:hint="eastAsia" w:ascii="宋体" w:hAnsi="宋体" w:eastAsia="宋体" w:cs="宋体"/>
          <w:color w:val="auto"/>
          <w:sz w:val="28"/>
          <w:szCs w:val="28"/>
        </w:rPr>
        <w:t>：</w:t>
      </w:r>
    </w:p>
    <w:p w14:paraId="6A7662A6">
      <w:pPr>
        <w:keepNext w:val="0"/>
        <w:keepLines w:val="0"/>
        <w:pageBreakBefore w:val="0"/>
        <w:widowControl w:val="0"/>
        <w:kinsoku/>
        <w:wordWrap/>
        <w:overflowPunct/>
        <w:topLinePunct w:val="0"/>
        <w:autoSpaceDE/>
        <w:autoSpaceDN/>
        <w:bidi w:val="0"/>
        <w:adjustRightInd/>
        <w:snapToGrid/>
        <w:spacing w:line="520" w:lineRule="exact"/>
        <w:ind w:firstLine="560"/>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本人（公司）承诺提供的报名材料真实、合法、有效，自愿报名参加贵司于</w:t>
      </w:r>
      <w:r>
        <w:rPr>
          <w:rFonts w:hint="eastAsia" w:ascii="宋体" w:hAnsi="宋体" w:eastAsia="宋体" w:cs="宋体"/>
          <w:color w:val="auto"/>
          <w:sz w:val="28"/>
          <w:szCs w:val="28"/>
          <w:u w:val="single"/>
        </w:rPr>
        <w:t xml:space="preserve"> </w:t>
      </w:r>
      <w:r>
        <w:rPr>
          <w:rFonts w:hint="eastAsia" w:ascii="宋体" w:hAnsi="宋体" w:cs="宋体"/>
          <w:color w:val="auto"/>
          <w:sz w:val="28"/>
          <w:szCs w:val="28"/>
          <w:u w:val="single"/>
          <w:lang w:val="en-US" w:eastAsia="zh-CN"/>
        </w:rPr>
        <w:t>2025年12月31日</w:t>
      </w:r>
      <w:r>
        <w:rPr>
          <w:rFonts w:hint="eastAsia" w:ascii="宋体" w:hAnsi="宋体" w:eastAsia="宋体" w:cs="宋体"/>
          <w:color w:val="auto"/>
          <w:sz w:val="28"/>
          <w:szCs w:val="28"/>
        </w:rPr>
        <w:t>上午举行的 “连城县招标投标交易平台</w:t>
      </w:r>
      <w:r>
        <w:rPr>
          <w:rFonts w:hint="eastAsia" w:ascii="宋体" w:hAnsi="宋体" w:eastAsia="宋体" w:cs="宋体"/>
          <w:color w:val="auto"/>
          <w:sz w:val="28"/>
          <w:szCs w:val="28"/>
          <w:lang w:val="en-US" w:eastAsia="zh-CN"/>
        </w:rPr>
        <w:t>反</w:t>
      </w:r>
      <w:r>
        <w:rPr>
          <w:rFonts w:hint="eastAsia" w:ascii="宋体" w:hAnsi="宋体" w:eastAsia="宋体" w:cs="宋体"/>
          <w:color w:val="auto"/>
          <w:sz w:val="28"/>
          <w:szCs w:val="28"/>
        </w:rPr>
        <w:t>向一次报价”</w:t>
      </w:r>
      <w:r>
        <w:rPr>
          <w:rFonts w:hint="eastAsia" w:ascii="宋体" w:hAnsi="宋体" w:cs="宋体"/>
          <w:color w:val="auto"/>
          <w:sz w:val="28"/>
          <w:szCs w:val="28"/>
          <w:u w:val="single"/>
          <w:lang w:val="en-US" w:eastAsia="zh-CN"/>
        </w:rPr>
        <w:t>连城县增发国债庙前等3个乡(镇)2025 年高标准农田建设项目(2024年结余资金)监理</w:t>
      </w:r>
      <w:r>
        <w:rPr>
          <w:rFonts w:hint="eastAsia" w:ascii="宋体" w:hAnsi="宋体" w:eastAsia="宋体" w:cs="宋体"/>
          <w:color w:val="auto"/>
          <w:sz w:val="28"/>
          <w:szCs w:val="28"/>
          <w:u w:val="single"/>
        </w:rPr>
        <w:t>竞价</w:t>
      </w:r>
      <w:r>
        <w:rPr>
          <w:rFonts w:hint="eastAsia" w:ascii="宋体" w:hAnsi="宋体" w:eastAsia="宋体" w:cs="宋体"/>
          <w:color w:val="auto"/>
          <w:sz w:val="28"/>
          <w:szCs w:val="28"/>
        </w:rPr>
        <w:t>。收悉项目编号为</w:t>
      </w:r>
      <w:r>
        <w:rPr>
          <w:rFonts w:hint="eastAsia" w:ascii="宋体" w:hAnsi="宋体" w:cs="宋体"/>
          <w:color w:val="auto"/>
          <w:sz w:val="28"/>
          <w:szCs w:val="28"/>
          <w:u w:val="single"/>
          <w:lang w:eastAsia="zh-CN"/>
        </w:rPr>
        <w:t>LCCQJJ202512</w:t>
      </w:r>
      <w:r>
        <w:rPr>
          <w:rFonts w:hint="eastAsia" w:ascii="宋体" w:hAnsi="宋体" w:cs="宋体"/>
          <w:color w:val="auto"/>
          <w:sz w:val="28"/>
          <w:szCs w:val="28"/>
          <w:u w:val="single"/>
          <w:lang w:val="en-US" w:eastAsia="zh-CN"/>
        </w:rPr>
        <w:t>31</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rPr>
        <w:t>的《网络竞价须知》，并保证遵守和全面履行该次《网络竞价须知》中的各项条款。若有违反该次《网络竞价须知》条款的行为，申请人愿被取消竞价资格，已交保证金作为违约金归贵公司所有（不予退回），若造成贵公司损失的，由本承诺人承担赔偿责任。</w:t>
      </w:r>
    </w:p>
    <w:p w14:paraId="205E8B74">
      <w:pPr>
        <w:keepNext w:val="0"/>
        <w:keepLines w:val="0"/>
        <w:pageBreakBefore w:val="0"/>
        <w:widowControl w:val="0"/>
        <w:kinsoku/>
        <w:wordWrap/>
        <w:overflowPunct/>
        <w:topLinePunct w:val="0"/>
        <w:autoSpaceDE/>
        <w:autoSpaceDN/>
        <w:bidi w:val="0"/>
        <w:adjustRightInd/>
        <w:snapToGrid/>
        <w:spacing w:line="520" w:lineRule="exact"/>
        <w:ind w:firstLine="560"/>
        <w:jc w:val="both"/>
        <w:textAlignment w:val="auto"/>
        <w:rPr>
          <w:rFonts w:hint="eastAsia" w:ascii="宋体" w:hAnsi="宋体" w:eastAsia="宋体" w:cs="宋体"/>
          <w:color w:val="auto"/>
          <w:sz w:val="28"/>
          <w:szCs w:val="28"/>
          <w:lang w:eastAsia="zh-CN"/>
        </w:rPr>
      </w:pPr>
    </w:p>
    <w:p w14:paraId="18AB9E10">
      <w:pPr>
        <w:keepNext w:val="0"/>
        <w:keepLines w:val="0"/>
        <w:pageBreakBefore w:val="0"/>
        <w:widowControl w:val="0"/>
        <w:kinsoku/>
        <w:wordWrap/>
        <w:overflowPunct/>
        <w:topLinePunct w:val="0"/>
        <w:autoSpaceDE/>
        <w:autoSpaceDN/>
        <w:bidi w:val="0"/>
        <w:adjustRightInd/>
        <w:snapToGrid/>
        <w:spacing w:line="520" w:lineRule="exact"/>
        <w:ind w:firstLine="3920" w:firstLineChars="1400"/>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承诺人（申请人签章）：</w:t>
      </w:r>
    </w:p>
    <w:p w14:paraId="0827786B">
      <w:pPr>
        <w:keepNext w:val="0"/>
        <w:keepLines w:val="0"/>
        <w:pageBreakBefore w:val="0"/>
        <w:widowControl w:val="0"/>
        <w:kinsoku/>
        <w:wordWrap/>
        <w:overflowPunct/>
        <w:topLinePunct w:val="0"/>
        <w:autoSpaceDE/>
        <w:autoSpaceDN/>
        <w:bidi w:val="0"/>
        <w:adjustRightInd/>
        <w:snapToGrid/>
        <w:spacing w:line="520" w:lineRule="exact"/>
        <w:ind w:firstLine="1400" w:firstLineChars="5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法定代表人或授权代理人（签章）：</w:t>
      </w:r>
      <w:r>
        <w:rPr>
          <w:rFonts w:hint="eastAsia" w:ascii="宋体" w:hAnsi="宋体" w:eastAsia="宋体" w:cs="宋体"/>
          <w:color w:val="auto"/>
          <w:sz w:val="28"/>
          <w:szCs w:val="28"/>
          <w:lang w:val="en-US" w:eastAsia="zh-CN"/>
        </w:rPr>
        <w:t xml:space="preserve"> </w:t>
      </w:r>
    </w:p>
    <w:p w14:paraId="428C5281">
      <w:pPr>
        <w:keepNext w:val="0"/>
        <w:keepLines w:val="0"/>
        <w:pageBreakBefore w:val="0"/>
        <w:widowControl w:val="0"/>
        <w:kinsoku/>
        <w:wordWrap/>
        <w:overflowPunct/>
        <w:topLinePunct w:val="0"/>
        <w:autoSpaceDE/>
        <w:autoSpaceDN/>
        <w:bidi w:val="0"/>
        <w:adjustRightInd/>
        <w:snapToGrid/>
        <w:spacing w:line="520" w:lineRule="exact"/>
        <w:ind w:firstLine="3920" w:firstLineChars="14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rPr>
        <w:t>联系电话：</w:t>
      </w:r>
    </w:p>
    <w:p w14:paraId="18B87A65">
      <w:pPr>
        <w:keepNext w:val="0"/>
        <w:keepLines w:val="0"/>
        <w:pageBreakBefore w:val="0"/>
        <w:widowControl w:val="0"/>
        <w:kinsoku/>
        <w:wordWrap/>
        <w:overflowPunct/>
        <w:topLinePunct w:val="0"/>
        <w:autoSpaceDE/>
        <w:autoSpaceDN/>
        <w:bidi w:val="0"/>
        <w:adjustRightInd/>
        <w:snapToGrid/>
        <w:spacing w:line="520" w:lineRule="exact"/>
        <w:ind w:firstLine="3920" w:firstLineChars="1400"/>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年    月    日</w:t>
      </w:r>
    </w:p>
    <w:p w14:paraId="29FFBB58">
      <w:pPr>
        <w:rPr>
          <w:rFonts w:hint="eastAsia" w:ascii="宋体" w:hAnsi="宋体" w:eastAsia="宋体" w:cs="宋体"/>
          <w:color w:val="auto"/>
          <w:sz w:val="28"/>
          <w:szCs w:val="28"/>
        </w:rPr>
      </w:pPr>
      <w:r>
        <w:rPr>
          <w:rFonts w:hint="eastAsia" w:ascii="宋体" w:hAnsi="宋体" w:eastAsia="宋体" w:cs="宋体"/>
          <w:color w:val="auto"/>
          <w:sz w:val="28"/>
          <w:szCs w:val="28"/>
        </w:rPr>
        <w:br w:type="page"/>
      </w:r>
    </w:p>
    <w:p w14:paraId="68580EE4">
      <w:pPr>
        <w:pStyle w:val="3"/>
        <w:keepNext w:val="0"/>
        <w:keepLines w:val="0"/>
        <w:pageBreakBefore/>
        <w:spacing w:before="0" w:after="0" w:line="520" w:lineRule="exact"/>
        <w:rPr>
          <w:color w:val="auto"/>
          <w:sz w:val="28"/>
          <w:szCs w:val="28"/>
        </w:rPr>
      </w:pPr>
      <w:r>
        <w:rPr>
          <w:rFonts w:hint="eastAsia"/>
          <w:color w:val="auto"/>
          <w:sz w:val="28"/>
          <w:szCs w:val="28"/>
          <w:highlight w:val="white"/>
          <w:lang w:val="en-US" w:eastAsia="zh-CN"/>
        </w:rPr>
        <w:t>附件一：</w:t>
      </w:r>
      <w:r>
        <w:rPr>
          <w:rFonts w:hint="eastAsia"/>
          <w:color w:val="auto"/>
          <w:sz w:val="28"/>
          <w:szCs w:val="28"/>
          <w:highlight w:val="white"/>
        </w:rPr>
        <w:t>拟委任的主要人员汇总表（格式）</w:t>
      </w:r>
    </w:p>
    <w:p w14:paraId="260DB4CC">
      <w:pPr>
        <w:rPr>
          <w:color w:val="auto"/>
          <w:sz w:val="28"/>
          <w:szCs w:val="28"/>
        </w:rPr>
      </w:pPr>
    </w:p>
    <w:p w14:paraId="7C383DA7">
      <w:pPr>
        <w:widowControl/>
        <w:shd w:val="clear" w:color="auto" w:fill="FFFFFF"/>
        <w:snapToGrid w:val="0"/>
        <w:jc w:val="center"/>
        <w:rPr>
          <w:rFonts w:ascii="宋体" w:hAnsi="宋体"/>
          <w:b/>
          <w:color w:val="auto"/>
          <w:sz w:val="28"/>
          <w:szCs w:val="28"/>
        </w:rPr>
      </w:pPr>
      <w:r>
        <w:rPr>
          <w:rFonts w:hint="eastAsia" w:ascii="宋体" w:hAnsi="宋体"/>
          <w:b/>
          <w:color w:val="auto"/>
          <w:sz w:val="28"/>
          <w:szCs w:val="28"/>
          <w:highlight w:val="white"/>
        </w:rPr>
        <w:t>拟委任的主要人员汇总表</w:t>
      </w:r>
    </w:p>
    <w:p w14:paraId="3793CBB4">
      <w:pPr>
        <w:widowControl/>
        <w:shd w:val="clear" w:color="auto" w:fill="FFFFFF"/>
        <w:snapToGrid w:val="0"/>
        <w:ind w:firstLine="420" w:firstLineChars="200"/>
        <w:jc w:val="left"/>
        <w:rPr>
          <w:rFonts w:ascii="宋体" w:hAnsi="宋体"/>
          <w:color w:val="auto"/>
          <w:szCs w:val="21"/>
        </w:rPr>
      </w:pPr>
    </w:p>
    <w:tbl>
      <w:tblPr>
        <w:tblStyle w:val="12"/>
        <w:tblW w:w="8789"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9"/>
        <w:gridCol w:w="1276"/>
        <w:gridCol w:w="850"/>
        <w:gridCol w:w="851"/>
        <w:gridCol w:w="992"/>
        <w:gridCol w:w="1276"/>
        <w:gridCol w:w="992"/>
        <w:gridCol w:w="992"/>
        <w:gridCol w:w="851"/>
      </w:tblGrid>
      <w:tr w14:paraId="1A800A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0" w:hRule="atLeast"/>
        </w:trPr>
        <w:tc>
          <w:tcPr>
            <w:tcW w:w="709" w:type="dxa"/>
            <w:vMerge w:val="restart"/>
            <w:noWrap w:val="0"/>
            <w:vAlign w:val="center"/>
          </w:tcPr>
          <w:p w14:paraId="70FB696E">
            <w:pPr>
              <w:widowControl/>
              <w:spacing w:line="360" w:lineRule="auto"/>
              <w:jc w:val="center"/>
              <w:rPr>
                <w:rFonts w:ascii="宋体" w:hAnsi="宋体" w:eastAsia="宋体"/>
                <w:color w:val="auto"/>
                <w:kern w:val="2"/>
                <w:sz w:val="21"/>
                <w:szCs w:val="21"/>
                <w:lang w:val="en-US" w:eastAsia="zh-CN" w:bidi="ar-SA"/>
              </w:rPr>
            </w:pPr>
            <w:r>
              <w:rPr>
                <w:rFonts w:hint="eastAsia" w:ascii="宋体" w:hAnsi="宋体" w:eastAsia="宋体"/>
                <w:color w:val="auto"/>
                <w:kern w:val="2"/>
                <w:sz w:val="21"/>
                <w:szCs w:val="21"/>
                <w:highlight w:val="white"/>
                <w:lang w:val="en-US" w:eastAsia="zh-CN" w:bidi="ar-SA"/>
              </w:rPr>
              <w:t>序号</w:t>
            </w:r>
          </w:p>
        </w:tc>
        <w:tc>
          <w:tcPr>
            <w:tcW w:w="1276" w:type="dxa"/>
            <w:vMerge w:val="restart"/>
            <w:tcBorders>
              <w:right w:val="single" w:color="auto" w:sz="4" w:space="0"/>
            </w:tcBorders>
            <w:noWrap w:val="0"/>
            <w:vAlign w:val="center"/>
          </w:tcPr>
          <w:p w14:paraId="4FEBC642">
            <w:pPr>
              <w:widowControl/>
              <w:spacing w:line="360" w:lineRule="auto"/>
              <w:jc w:val="center"/>
              <w:rPr>
                <w:rFonts w:ascii="宋体" w:hAnsi="宋体" w:eastAsia="宋体"/>
                <w:color w:val="auto"/>
                <w:kern w:val="2"/>
                <w:sz w:val="21"/>
                <w:szCs w:val="21"/>
                <w:lang w:val="en-US" w:eastAsia="zh-CN" w:bidi="ar-SA"/>
              </w:rPr>
            </w:pPr>
            <w:r>
              <w:rPr>
                <w:rFonts w:hint="eastAsia" w:ascii="宋体" w:hAnsi="宋体" w:eastAsia="宋体"/>
                <w:color w:val="auto"/>
                <w:kern w:val="2"/>
                <w:sz w:val="21"/>
                <w:szCs w:val="21"/>
                <w:highlight w:val="white"/>
                <w:lang w:val="en-US" w:eastAsia="zh-CN" w:bidi="ar-SA"/>
              </w:rPr>
              <w:t>本项目任职</w:t>
            </w:r>
          </w:p>
        </w:tc>
        <w:tc>
          <w:tcPr>
            <w:tcW w:w="850" w:type="dxa"/>
            <w:vMerge w:val="restart"/>
            <w:tcBorders>
              <w:left w:val="single" w:color="auto" w:sz="4" w:space="0"/>
              <w:right w:val="single" w:color="auto" w:sz="4" w:space="0"/>
            </w:tcBorders>
            <w:noWrap w:val="0"/>
            <w:vAlign w:val="center"/>
          </w:tcPr>
          <w:p w14:paraId="682C6064">
            <w:pPr>
              <w:widowControl/>
              <w:spacing w:line="360" w:lineRule="auto"/>
              <w:jc w:val="center"/>
              <w:rPr>
                <w:rFonts w:ascii="宋体" w:hAnsi="宋体" w:eastAsia="宋体"/>
                <w:color w:val="auto"/>
                <w:kern w:val="2"/>
                <w:sz w:val="21"/>
                <w:szCs w:val="21"/>
                <w:lang w:val="en-US" w:eastAsia="zh-CN" w:bidi="ar-SA"/>
              </w:rPr>
            </w:pPr>
            <w:r>
              <w:rPr>
                <w:rFonts w:hint="eastAsia" w:ascii="宋体" w:hAnsi="宋体" w:eastAsia="宋体"/>
                <w:color w:val="auto"/>
                <w:kern w:val="2"/>
                <w:sz w:val="21"/>
                <w:szCs w:val="21"/>
                <w:highlight w:val="white"/>
                <w:lang w:val="en-US" w:eastAsia="zh-CN" w:bidi="ar-SA"/>
              </w:rPr>
              <w:t>姓名</w:t>
            </w:r>
          </w:p>
        </w:tc>
        <w:tc>
          <w:tcPr>
            <w:tcW w:w="851" w:type="dxa"/>
            <w:vMerge w:val="restart"/>
            <w:tcBorders>
              <w:left w:val="single" w:color="auto" w:sz="4" w:space="0"/>
              <w:right w:val="single" w:color="auto" w:sz="4" w:space="0"/>
            </w:tcBorders>
            <w:noWrap w:val="0"/>
            <w:vAlign w:val="center"/>
          </w:tcPr>
          <w:p w14:paraId="3F987758">
            <w:pPr>
              <w:widowControl/>
              <w:spacing w:line="360" w:lineRule="auto"/>
              <w:jc w:val="center"/>
              <w:rPr>
                <w:rFonts w:ascii="宋体" w:hAnsi="宋体" w:eastAsia="宋体"/>
                <w:color w:val="auto"/>
                <w:kern w:val="2"/>
                <w:sz w:val="21"/>
                <w:szCs w:val="21"/>
                <w:lang w:val="en-US" w:eastAsia="zh-CN" w:bidi="ar-SA"/>
              </w:rPr>
            </w:pPr>
            <w:r>
              <w:rPr>
                <w:rFonts w:hint="eastAsia" w:ascii="宋体" w:hAnsi="宋体" w:eastAsia="宋体"/>
                <w:color w:val="auto"/>
                <w:kern w:val="2"/>
                <w:sz w:val="21"/>
                <w:szCs w:val="21"/>
                <w:highlight w:val="white"/>
                <w:lang w:val="en-US" w:eastAsia="zh-CN" w:bidi="ar-SA"/>
              </w:rPr>
              <w:t>职称</w:t>
            </w:r>
          </w:p>
        </w:tc>
        <w:tc>
          <w:tcPr>
            <w:tcW w:w="992" w:type="dxa"/>
            <w:vMerge w:val="restart"/>
            <w:tcBorders>
              <w:left w:val="single" w:color="auto" w:sz="4" w:space="0"/>
              <w:right w:val="single" w:color="auto" w:sz="4" w:space="0"/>
            </w:tcBorders>
            <w:noWrap w:val="0"/>
            <w:vAlign w:val="center"/>
          </w:tcPr>
          <w:p w14:paraId="6F0BC0B2">
            <w:pPr>
              <w:widowControl/>
              <w:spacing w:line="360" w:lineRule="auto"/>
              <w:jc w:val="center"/>
              <w:rPr>
                <w:rFonts w:ascii="宋体" w:hAnsi="宋体" w:eastAsia="宋体"/>
                <w:color w:val="auto"/>
                <w:kern w:val="2"/>
                <w:sz w:val="21"/>
                <w:szCs w:val="21"/>
                <w:lang w:val="en-US" w:eastAsia="zh-CN" w:bidi="ar-SA"/>
              </w:rPr>
            </w:pPr>
            <w:r>
              <w:rPr>
                <w:rFonts w:hint="eastAsia" w:ascii="宋体" w:hAnsi="宋体" w:eastAsia="宋体"/>
                <w:color w:val="auto"/>
                <w:kern w:val="2"/>
                <w:sz w:val="21"/>
                <w:szCs w:val="21"/>
                <w:highlight w:val="white"/>
                <w:lang w:val="en-US" w:eastAsia="zh-CN" w:bidi="ar-SA"/>
              </w:rPr>
              <w:t>专业</w:t>
            </w:r>
          </w:p>
        </w:tc>
        <w:tc>
          <w:tcPr>
            <w:tcW w:w="3260" w:type="dxa"/>
            <w:gridSpan w:val="3"/>
            <w:tcBorders>
              <w:left w:val="single" w:color="auto" w:sz="4" w:space="0"/>
              <w:bottom w:val="single" w:color="auto" w:sz="4" w:space="0"/>
              <w:right w:val="single" w:color="auto" w:sz="4" w:space="0"/>
            </w:tcBorders>
            <w:noWrap w:val="0"/>
            <w:vAlign w:val="center"/>
          </w:tcPr>
          <w:p w14:paraId="45E9BEB5">
            <w:pPr>
              <w:widowControl/>
              <w:spacing w:line="360" w:lineRule="auto"/>
              <w:jc w:val="center"/>
              <w:rPr>
                <w:rFonts w:ascii="宋体" w:hAnsi="宋体" w:eastAsia="宋体"/>
                <w:color w:val="auto"/>
                <w:kern w:val="2"/>
                <w:sz w:val="21"/>
                <w:szCs w:val="21"/>
                <w:lang w:val="en-US" w:eastAsia="zh-CN" w:bidi="ar-SA"/>
              </w:rPr>
            </w:pPr>
            <w:r>
              <w:rPr>
                <w:rFonts w:hint="eastAsia" w:ascii="宋体" w:hAnsi="宋体" w:eastAsia="宋体"/>
                <w:color w:val="auto"/>
                <w:kern w:val="2"/>
                <w:sz w:val="21"/>
                <w:szCs w:val="21"/>
                <w:highlight w:val="white"/>
                <w:lang w:val="en-US" w:eastAsia="zh-CN" w:bidi="ar-SA"/>
              </w:rPr>
              <w:t>执业或职业资格证明</w:t>
            </w:r>
          </w:p>
        </w:tc>
        <w:tc>
          <w:tcPr>
            <w:tcW w:w="851" w:type="dxa"/>
            <w:tcBorders>
              <w:left w:val="single" w:color="auto" w:sz="4" w:space="0"/>
              <w:bottom w:val="single" w:color="auto" w:sz="4" w:space="0"/>
            </w:tcBorders>
            <w:noWrap w:val="0"/>
            <w:vAlign w:val="center"/>
          </w:tcPr>
          <w:p w14:paraId="34255C2B">
            <w:pPr>
              <w:widowControl/>
              <w:spacing w:line="360" w:lineRule="auto"/>
              <w:jc w:val="center"/>
              <w:rPr>
                <w:rFonts w:ascii="宋体" w:hAnsi="宋体" w:eastAsia="宋体"/>
                <w:color w:val="auto"/>
                <w:kern w:val="2"/>
                <w:sz w:val="21"/>
                <w:szCs w:val="21"/>
                <w:lang w:val="en-US" w:eastAsia="zh-CN" w:bidi="ar-SA"/>
              </w:rPr>
            </w:pPr>
            <w:r>
              <w:rPr>
                <w:rFonts w:hint="eastAsia" w:ascii="宋体" w:hAnsi="宋体" w:eastAsia="宋体"/>
                <w:color w:val="auto"/>
                <w:kern w:val="2"/>
                <w:sz w:val="21"/>
                <w:szCs w:val="21"/>
                <w:highlight w:val="white"/>
                <w:lang w:val="en-US" w:eastAsia="zh-CN" w:bidi="ar-SA"/>
              </w:rPr>
              <w:t>备注</w:t>
            </w:r>
          </w:p>
        </w:tc>
      </w:tr>
      <w:tr w14:paraId="3932A1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atLeast"/>
        </w:trPr>
        <w:tc>
          <w:tcPr>
            <w:tcW w:w="709" w:type="dxa"/>
            <w:vMerge w:val="continue"/>
            <w:noWrap w:val="0"/>
            <w:vAlign w:val="center"/>
          </w:tcPr>
          <w:p w14:paraId="2BDBA387">
            <w:pPr>
              <w:widowControl/>
              <w:spacing w:line="360" w:lineRule="auto"/>
              <w:jc w:val="center"/>
              <w:rPr>
                <w:rFonts w:ascii="宋体" w:hAnsi="宋体" w:eastAsia="宋体"/>
                <w:color w:val="auto"/>
                <w:kern w:val="2"/>
                <w:sz w:val="21"/>
                <w:szCs w:val="21"/>
                <w:lang w:val="en-US" w:eastAsia="zh-CN" w:bidi="ar-SA"/>
              </w:rPr>
            </w:pPr>
          </w:p>
        </w:tc>
        <w:tc>
          <w:tcPr>
            <w:tcW w:w="1276" w:type="dxa"/>
            <w:vMerge w:val="continue"/>
            <w:tcBorders>
              <w:right w:val="single" w:color="auto" w:sz="4" w:space="0"/>
            </w:tcBorders>
            <w:noWrap w:val="0"/>
            <w:vAlign w:val="center"/>
          </w:tcPr>
          <w:p w14:paraId="4A361BB5">
            <w:pPr>
              <w:widowControl/>
              <w:spacing w:line="360" w:lineRule="auto"/>
              <w:jc w:val="center"/>
              <w:rPr>
                <w:rFonts w:ascii="宋体" w:hAnsi="宋体" w:eastAsia="宋体"/>
                <w:color w:val="auto"/>
                <w:kern w:val="2"/>
                <w:sz w:val="21"/>
                <w:szCs w:val="21"/>
                <w:lang w:val="en-US" w:eastAsia="zh-CN" w:bidi="ar-SA"/>
              </w:rPr>
            </w:pPr>
          </w:p>
        </w:tc>
        <w:tc>
          <w:tcPr>
            <w:tcW w:w="850" w:type="dxa"/>
            <w:vMerge w:val="continue"/>
            <w:tcBorders>
              <w:left w:val="single" w:color="auto" w:sz="4" w:space="0"/>
              <w:right w:val="single" w:color="auto" w:sz="4" w:space="0"/>
            </w:tcBorders>
            <w:noWrap w:val="0"/>
            <w:vAlign w:val="center"/>
          </w:tcPr>
          <w:p w14:paraId="743B6F23">
            <w:pPr>
              <w:widowControl/>
              <w:spacing w:line="360" w:lineRule="auto"/>
              <w:jc w:val="center"/>
              <w:rPr>
                <w:rFonts w:ascii="宋体" w:hAnsi="宋体" w:eastAsia="宋体"/>
                <w:color w:val="auto"/>
                <w:kern w:val="2"/>
                <w:sz w:val="21"/>
                <w:szCs w:val="21"/>
                <w:lang w:val="en-US" w:eastAsia="zh-CN" w:bidi="ar-SA"/>
              </w:rPr>
            </w:pPr>
          </w:p>
        </w:tc>
        <w:tc>
          <w:tcPr>
            <w:tcW w:w="851" w:type="dxa"/>
            <w:vMerge w:val="continue"/>
            <w:tcBorders>
              <w:left w:val="single" w:color="auto" w:sz="4" w:space="0"/>
              <w:right w:val="single" w:color="auto" w:sz="4" w:space="0"/>
            </w:tcBorders>
            <w:noWrap w:val="0"/>
            <w:vAlign w:val="center"/>
          </w:tcPr>
          <w:p w14:paraId="0F8B58BC">
            <w:pPr>
              <w:widowControl/>
              <w:spacing w:line="360" w:lineRule="auto"/>
              <w:jc w:val="center"/>
              <w:rPr>
                <w:rFonts w:ascii="宋体" w:hAnsi="宋体" w:eastAsia="宋体"/>
                <w:color w:val="auto"/>
                <w:kern w:val="2"/>
                <w:sz w:val="21"/>
                <w:szCs w:val="21"/>
                <w:lang w:val="en-US" w:eastAsia="zh-CN" w:bidi="ar-SA"/>
              </w:rPr>
            </w:pPr>
          </w:p>
        </w:tc>
        <w:tc>
          <w:tcPr>
            <w:tcW w:w="992" w:type="dxa"/>
            <w:vMerge w:val="continue"/>
            <w:tcBorders>
              <w:left w:val="single" w:color="auto" w:sz="4" w:space="0"/>
              <w:right w:val="single" w:color="auto" w:sz="4" w:space="0"/>
            </w:tcBorders>
            <w:noWrap w:val="0"/>
            <w:vAlign w:val="center"/>
          </w:tcPr>
          <w:p w14:paraId="1EDBF939">
            <w:pPr>
              <w:widowControl/>
              <w:spacing w:line="360" w:lineRule="auto"/>
              <w:jc w:val="center"/>
              <w:rPr>
                <w:rFonts w:ascii="宋体" w:hAnsi="宋体" w:eastAsia="宋体"/>
                <w:color w:val="auto"/>
                <w:kern w:val="2"/>
                <w:sz w:val="21"/>
                <w:szCs w:val="21"/>
                <w:lang w:val="en-US" w:eastAsia="zh-CN" w:bidi="ar-SA"/>
              </w:rPr>
            </w:pPr>
          </w:p>
        </w:tc>
        <w:tc>
          <w:tcPr>
            <w:tcW w:w="1276" w:type="dxa"/>
            <w:tcBorders>
              <w:top w:val="single" w:color="auto" w:sz="4" w:space="0"/>
              <w:left w:val="single" w:color="auto" w:sz="4" w:space="0"/>
              <w:right w:val="single" w:color="auto" w:sz="4" w:space="0"/>
            </w:tcBorders>
            <w:noWrap w:val="0"/>
            <w:vAlign w:val="center"/>
          </w:tcPr>
          <w:p w14:paraId="4349E383">
            <w:pPr>
              <w:widowControl/>
              <w:spacing w:line="360" w:lineRule="auto"/>
              <w:jc w:val="center"/>
              <w:rPr>
                <w:rFonts w:ascii="宋体" w:hAnsi="宋体" w:eastAsia="宋体"/>
                <w:color w:val="auto"/>
                <w:kern w:val="2"/>
                <w:sz w:val="21"/>
                <w:szCs w:val="21"/>
                <w:lang w:val="en-US" w:eastAsia="zh-CN" w:bidi="ar-SA"/>
              </w:rPr>
            </w:pPr>
            <w:r>
              <w:rPr>
                <w:rFonts w:hint="eastAsia" w:ascii="宋体" w:hAnsi="宋体" w:eastAsia="宋体"/>
                <w:color w:val="auto"/>
                <w:kern w:val="2"/>
                <w:sz w:val="21"/>
                <w:szCs w:val="21"/>
                <w:highlight w:val="white"/>
                <w:lang w:val="en-US" w:eastAsia="zh-CN" w:bidi="ar-SA"/>
              </w:rPr>
              <w:t>证书名称</w:t>
            </w:r>
          </w:p>
        </w:tc>
        <w:tc>
          <w:tcPr>
            <w:tcW w:w="992" w:type="dxa"/>
            <w:tcBorders>
              <w:top w:val="single" w:color="auto" w:sz="4" w:space="0"/>
              <w:left w:val="single" w:color="auto" w:sz="4" w:space="0"/>
              <w:right w:val="single" w:color="auto" w:sz="4" w:space="0"/>
            </w:tcBorders>
            <w:noWrap w:val="0"/>
            <w:vAlign w:val="center"/>
          </w:tcPr>
          <w:p w14:paraId="3232FD88">
            <w:pPr>
              <w:widowControl/>
              <w:spacing w:line="360" w:lineRule="auto"/>
              <w:jc w:val="center"/>
              <w:rPr>
                <w:rFonts w:ascii="宋体" w:hAnsi="宋体" w:eastAsia="宋体"/>
                <w:color w:val="auto"/>
                <w:kern w:val="2"/>
                <w:sz w:val="21"/>
                <w:szCs w:val="21"/>
                <w:lang w:val="en-US" w:eastAsia="zh-CN" w:bidi="ar-SA"/>
              </w:rPr>
            </w:pPr>
            <w:r>
              <w:rPr>
                <w:rFonts w:hint="eastAsia" w:ascii="宋体" w:hAnsi="宋体" w:eastAsia="宋体"/>
                <w:color w:val="auto"/>
                <w:kern w:val="2"/>
                <w:sz w:val="21"/>
                <w:szCs w:val="21"/>
                <w:highlight w:val="white"/>
                <w:lang w:val="en-US" w:eastAsia="zh-CN" w:bidi="ar-SA"/>
              </w:rPr>
              <w:t>级别</w:t>
            </w:r>
          </w:p>
        </w:tc>
        <w:tc>
          <w:tcPr>
            <w:tcW w:w="992" w:type="dxa"/>
            <w:tcBorders>
              <w:top w:val="single" w:color="auto" w:sz="4" w:space="0"/>
              <w:left w:val="single" w:color="auto" w:sz="4" w:space="0"/>
              <w:right w:val="single" w:color="auto" w:sz="4" w:space="0"/>
            </w:tcBorders>
            <w:noWrap w:val="0"/>
            <w:vAlign w:val="center"/>
          </w:tcPr>
          <w:p w14:paraId="2435FB52">
            <w:pPr>
              <w:widowControl/>
              <w:spacing w:line="360" w:lineRule="auto"/>
              <w:jc w:val="center"/>
              <w:rPr>
                <w:rFonts w:ascii="宋体" w:hAnsi="宋体" w:eastAsia="宋体"/>
                <w:color w:val="auto"/>
                <w:kern w:val="2"/>
                <w:sz w:val="21"/>
                <w:szCs w:val="21"/>
                <w:lang w:val="en-US" w:eastAsia="zh-CN" w:bidi="ar-SA"/>
              </w:rPr>
            </w:pPr>
            <w:r>
              <w:rPr>
                <w:rFonts w:hint="eastAsia" w:ascii="宋体" w:hAnsi="宋体" w:eastAsia="宋体"/>
                <w:color w:val="auto"/>
                <w:kern w:val="2"/>
                <w:sz w:val="21"/>
                <w:szCs w:val="21"/>
                <w:highlight w:val="white"/>
                <w:lang w:val="en-US" w:eastAsia="zh-CN" w:bidi="ar-SA"/>
              </w:rPr>
              <w:t>证号</w:t>
            </w:r>
          </w:p>
        </w:tc>
        <w:tc>
          <w:tcPr>
            <w:tcW w:w="851" w:type="dxa"/>
            <w:tcBorders>
              <w:top w:val="single" w:color="auto" w:sz="4" w:space="0"/>
              <w:left w:val="single" w:color="auto" w:sz="4" w:space="0"/>
            </w:tcBorders>
            <w:noWrap w:val="0"/>
            <w:vAlign w:val="center"/>
          </w:tcPr>
          <w:p w14:paraId="2A0AD6F6">
            <w:pPr>
              <w:widowControl/>
              <w:spacing w:line="360" w:lineRule="auto"/>
              <w:jc w:val="center"/>
              <w:rPr>
                <w:rFonts w:ascii="宋体" w:hAnsi="宋体" w:eastAsia="宋体"/>
                <w:color w:val="auto"/>
                <w:kern w:val="2"/>
                <w:sz w:val="21"/>
                <w:szCs w:val="21"/>
                <w:lang w:val="en-US" w:eastAsia="zh-CN" w:bidi="ar-SA"/>
              </w:rPr>
            </w:pPr>
          </w:p>
        </w:tc>
      </w:tr>
      <w:tr w14:paraId="170389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9" w:type="dxa"/>
            <w:noWrap w:val="0"/>
            <w:vAlign w:val="top"/>
          </w:tcPr>
          <w:p w14:paraId="00E309BB">
            <w:pPr>
              <w:widowControl/>
              <w:spacing w:line="360" w:lineRule="auto"/>
              <w:jc w:val="center"/>
              <w:rPr>
                <w:rFonts w:ascii="宋体" w:hAnsi="宋体" w:eastAsia="宋体"/>
                <w:color w:val="auto"/>
                <w:kern w:val="2"/>
                <w:sz w:val="21"/>
                <w:szCs w:val="21"/>
                <w:lang w:val="en-US" w:eastAsia="zh-CN" w:bidi="ar-SA"/>
              </w:rPr>
            </w:pPr>
          </w:p>
        </w:tc>
        <w:tc>
          <w:tcPr>
            <w:tcW w:w="1276" w:type="dxa"/>
            <w:tcBorders>
              <w:right w:val="single" w:color="auto" w:sz="4" w:space="0"/>
            </w:tcBorders>
            <w:noWrap w:val="0"/>
            <w:vAlign w:val="top"/>
          </w:tcPr>
          <w:p w14:paraId="1B8FA580">
            <w:pPr>
              <w:widowControl/>
              <w:spacing w:line="360" w:lineRule="auto"/>
              <w:jc w:val="center"/>
              <w:rPr>
                <w:rFonts w:ascii="宋体" w:hAnsi="宋体" w:eastAsia="宋体"/>
                <w:color w:val="auto"/>
                <w:kern w:val="2"/>
                <w:sz w:val="21"/>
                <w:szCs w:val="21"/>
                <w:lang w:val="en-US" w:eastAsia="zh-CN" w:bidi="ar-SA"/>
              </w:rPr>
            </w:pPr>
          </w:p>
        </w:tc>
        <w:tc>
          <w:tcPr>
            <w:tcW w:w="850" w:type="dxa"/>
            <w:tcBorders>
              <w:left w:val="single" w:color="auto" w:sz="4" w:space="0"/>
              <w:right w:val="single" w:color="auto" w:sz="4" w:space="0"/>
            </w:tcBorders>
            <w:noWrap w:val="0"/>
            <w:vAlign w:val="top"/>
          </w:tcPr>
          <w:p w14:paraId="47C81086">
            <w:pPr>
              <w:widowControl/>
              <w:spacing w:line="360" w:lineRule="auto"/>
              <w:jc w:val="center"/>
              <w:rPr>
                <w:rFonts w:ascii="宋体" w:hAnsi="宋体" w:eastAsia="宋体"/>
                <w:color w:val="auto"/>
                <w:kern w:val="2"/>
                <w:sz w:val="21"/>
                <w:szCs w:val="21"/>
                <w:lang w:val="en-US" w:eastAsia="zh-CN" w:bidi="ar-SA"/>
              </w:rPr>
            </w:pPr>
          </w:p>
        </w:tc>
        <w:tc>
          <w:tcPr>
            <w:tcW w:w="851" w:type="dxa"/>
            <w:tcBorders>
              <w:left w:val="single" w:color="auto" w:sz="4" w:space="0"/>
              <w:right w:val="single" w:color="auto" w:sz="4" w:space="0"/>
            </w:tcBorders>
            <w:noWrap w:val="0"/>
            <w:vAlign w:val="top"/>
          </w:tcPr>
          <w:p w14:paraId="1252A5BA">
            <w:pPr>
              <w:widowControl/>
              <w:spacing w:line="360" w:lineRule="auto"/>
              <w:jc w:val="center"/>
              <w:rPr>
                <w:rFonts w:ascii="宋体" w:hAnsi="宋体" w:eastAsia="宋体"/>
                <w:color w:val="auto"/>
                <w:kern w:val="2"/>
                <w:sz w:val="21"/>
                <w:szCs w:val="21"/>
                <w:lang w:val="en-US" w:eastAsia="zh-CN" w:bidi="ar-SA"/>
              </w:rPr>
            </w:pPr>
          </w:p>
        </w:tc>
        <w:tc>
          <w:tcPr>
            <w:tcW w:w="992" w:type="dxa"/>
            <w:tcBorders>
              <w:left w:val="single" w:color="auto" w:sz="4" w:space="0"/>
              <w:right w:val="single" w:color="auto" w:sz="4" w:space="0"/>
            </w:tcBorders>
            <w:noWrap w:val="0"/>
            <w:vAlign w:val="top"/>
          </w:tcPr>
          <w:p w14:paraId="397EE86A">
            <w:pPr>
              <w:widowControl/>
              <w:spacing w:line="360" w:lineRule="auto"/>
              <w:jc w:val="center"/>
              <w:rPr>
                <w:rFonts w:ascii="宋体" w:hAnsi="宋体" w:eastAsia="宋体"/>
                <w:color w:val="auto"/>
                <w:kern w:val="2"/>
                <w:sz w:val="21"/>
                <w:szCs w:val="21"/>
                <w:lang w:val="en-US" w:eastAsia="zh-CN" w:bidi="ar-SA"/>
              </w:rPr>
            </w:pPr>
          </w:p>
        </w:tc>
        <w:tc>
          <w:tcPr>
            <w:tcW w:w="1276" w:type="dxa"/>
            <w:tcBorders>
              <w:left w:val="single" w:color="auto" w:sz="4" w:space="0"/>
              <w:right w:val="single" w:color="auto" w:sz="4" w:space="0"/>
            </w:tcBorders>
            <w:noWrap w:val="0"/>
            <w:vAlign w:val="top"/>
          </w:tcPr>
          <w:p w14:paraId="4DAE6C8B">
            <w:pPr>
              <w:widowControl/>
              <w:spacing w:line="360" w:lineRule="auto"/>
              <w:jc w:val="center"/>
              <w:rPr>
                <w:rFonts w:ascii="宋体" w:hAnsi="宋体" w:eastAsia="宋体"/>
                <w:color w:val="auto"/>
                <w:kern w:val="2"/>
                <w:sz w:val="21"/>
                <w:szCs w:val="21"/>
                <w:lang w:val="en-US" w:eastAsia="zh-CN" w:bidi="ar-SA"/>
              </w:rPr>
            </w:pPr>
          </w:p>
        </w:tc>
        <w:tc>
          <w:tcPr>
            <w:tcW w:w="992" w:type="dxa"/>
            <w:tcBorders>
              <w:left w:val="single" w:color="auto" w:sz="4" w:space="0"/>
              <w:right w:val="single" w:color="auto" w:sz="4" w:space="0"/>
            </w:tcBorders>
            <w:noWrap w:val="0"/>
            <w:vAlign w:val="top"/>
          </w:tcPr>
          <w:p w14:paraId="03D301C1">
            <w:pPr>
              <w:widowControl/>
              <w:spacing w:line="360" w:lineRule="auto"/>
              <w:jc w:val="center"/>
              <w:rPr>
                <w:rFonts w:ascii="宋体" w:hAnsi="宋体" w:eastAsia="宋体"/>
                <w:color w:val="auto"/>
                <w:kern w:val="2"/>
                <w:sz w:val="21"/>
                <w:szCs w:val="21"/>
                <w:lang w:val="en-US" w:eastAsia="zh-CN" w:bidi="ar-SA"/>
              </w:rPr>
            </w:pPr>
          </w:p>
        </w:tc>
        <w:tc>
          <w:tcPr>
            <w:tcW w:w="992" w:type="dxa"/>
            <w:tcBorders>
              <w:left w:val="single" w:color="auto" w:sz="4" w:space="0"/>
              <w:right w:val="single" w:color="auto" w:sz="4" w:space="0"/>
            </w:tcBorders>
            <w:noWrap w:val="0"/>
            <w:vAlign w:val="top"/>
          </w:tcPr>
          <w:p w14:paraId="46D1B84F">
            <w:pPr>
              <w:widowControl/>
              <w:spacing w:line="360" w:lineRule="auto"/>
              <w:jc w:val="center"/>
              <w:rPr>
                <w:rFonts w:ascii="宋体" w:hAnsi="宋体" w:eastAsia="宋体"/>
                <w:color w:val="auto"/>
                <w:kern w:val="2"/>
                <w:sz w:val="21"/>
                <w:szCs w:val="21"/>
                <w:lang w:val="en-US" w:eastAsia="zh-CN" w:bidi="ar-SA"/>
              </w:rPr>
            </w:pPr>
          </w:p>
        </w:tc>
        <w:tc>
          <w:tcPr>
            <w:tcW w:w="851" w:type="dxa"/>
            <w:tcBorders>
              <w:left w:val="single" w:color="auto" w:sz="4" w:space="0"/>
            </w:tcBorders>
            <w:noWrap w:val="0"/>
            <w:vAlign w:val="top"/>
          </w:tcPr>
          <w:p w14:paraId="2486B19D">
            <w:pPr>
              <w:widowControl/>
              <w:spacing w:line="360" w:lineRule="auto"/>
              <w:jc w:val="center"/>
              <w:rPr>
                <w:rFonts w:ascii="宋体" w:hAnsi="宋体" w:eastAsia="宋体"/>
                <w:color w:val="auto"/>
                <w:kern w:val="2"/>
                <w:sz w:val="21"/>
                <w:szCs w:val="21"/>
                <w:lang w:val="en-US" w:eastAsia="zh-CN" w:bidi="ar-SA"/>
              </w:rPr>
            </w:pPr>
          </w:p>
        </w:tc>
      </w:tr>
      <w:tr w14:paraId="210356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9" w:type="dxa"/>
            <w:noWrap w:val="0"/>
            <w:vAlign w:val="top"/>
          </w:tcPr>
          <w:p w14:paraId="1B0E7395">
            <w:pPr>
              <w:widowControl/>
              <w:spacing w:line="360" w:lineRule="auto"/>
              <w:jc w:val="center"/>
              <w:rPr>
                <w:rFonts w:ascii="宋体" w:hAnsi="宋体" w:eastAsia="宋体"/>
                <w:color w:val="auto"/>
                <w:kern w:val="2"/>
                <w:sz w:val="21"/>
                <w:szCs w:val="21"/>
                <w:lang w:val="en-US" w:eastAsia="zh-CN" w:bidi="ar-SA"/>
              </w:rPr>
            </w:pPr>
          </w:p>
        </w:tc>
        <w:tc>
          <w:tcPr>
            <w:tcW w:w="1276" w:type="dxa"/>
            <w:tcBorders>
              <w:right w:val="single" w:color="auto" w:sz="4" w:space="0"/>
            </w:tcBorders>
            <w:noWrap w:val="0"/>
            <w:vAlign w:val="top"/>
          </w:tcPr>
          <w:p w14:paraId="3B3FF70A">
            <w:pPr>
              <w:widowControl/>
              <w:spacing w:line="360" w:lineRule="auto"/>
              <w:jc w:val="center"/>
              <w:rPr>
                <w:rFonts w:ascii="宋体" w:hAnsi="宋体" w:eastAsia="宋体"/>
                <w:color w:val="auto"/>
                <w:kern w:val="2"/>
                <w:sz w:val="21"/>
                <w:szCs w:val="21"/>
                <w:lang w:val="en-US" w:eastAsia="zh-CN" w:bidi="ar-SA"/>
              </w:rPr>
            </w:pPr>
          </w:p>
        </w:tc>
        <w:tc>
          <w:tcPr>
            <w:tcW w:w="850" w:type="dxa"/>
            <w:tcBorders>
              <w:left w:val="single" w:color="auto" w:sz="4" w:space="0"/>
              <w:right w:val="single" w:color="auto" w:sz="4" w:space="0"/>
            </w:tcBorders>
            <w:noWrap w:val="0"/>
            <w:vAlign w:val="top"/>
          </w:tcPr>
          <w:p w14:paraId="306190CB">
            <w:pPr>
              <w:widowControl/>
              <w:spacing w:line="360" w:lineRule="auto"/>
              <w:jc w:val="center"/>
              <w:rPr>
                <w:rFonts w:ascii="宋体" w:hAnsi="宋体" w:eastAsia="宋体"/>
                <w:color w:val="auto"/>
                <w:kern w:val="2"/>
                <w:sz w:val="21"/>
                <w:szCs w:val="21"/>
                <w:lang w:val="en-US" w:eastAsia="zh-CN" w:bidi="ar-SA"/>
              </w:rPr>
            </w:pPr>
          </w:p>
        </w:tc>
        <w:tc>
          <w:tcPr>
            <w:tcW w:w="851" w:type="dxa"/>
            <w:tcBorders>
              <w:left w:val="single" w:color="auto" w:sz="4" w:space="0"/>
              <w:right w:val="single" w:color="auto" w:sz="4" w:space="0"/>
            </w:tcBorders>
            <w:noWrap w:val="0"/>
            <w:vAlign w:val="top"/>
          </w:tcPr>
          <w:p w14:paraId="2F8A928B">
            <w:pPr>
              <w:widowControl/>
              <w:spacing w:line="360" w:lineRule="auto"/>
              <w:jc w:val="center"/>
              <w:rPr>
                <w:rFonts w:ascii="宋体" w:hAnsi="宋体" w:eastAsia="宋体"/>
                <w:color w:val="auto"/>
                <w:kern w:val="2"/>
                <w:sz w:val="21"/>
                <w:szCs w:val="21"/>
                <w:lang w:val="en-US" w:eastAsia="zh-CN" w:bidi="ar-SA"/>
              </w:rPr>
            </w:pPr>
          </w:p>
        </w:tc>
        <w:tc>
          <w:tcPr>
            <w:tcW w:w="992" w:type="dxa"/>
            <w:tcBorders>
              <w:left w:val="single" w:color="auto" w:sz="4" w:space="0"/>
              <w:right w:val="single" w:color="auto" w:sz="4" w:space="0"/>
            </w:tcBorders>
            <w:noWrap w:val="0"/>
            <w:vAlign w:val="top"/>
          </w:tcPr>
          <w:p w14:paraId="4FDAE8EE">
            <w:pPr>
              <w:widowControl/>
              <w:spacing w:line="360" w:lineRule="auto"/>
              <w:jc w:val="center"/>
              <w:rPr>
                <w:rFonts w:ascii="宋体" w:hAnsi="宋体" w:eastAsia="宋体"/>
                <w:color w:val="auto"/>
                <w:kern w:val="2"/>
                <w:sz w:val="21"/>
                <w:szCs w:val="21"/>
                <w:lang w:val="en-US" w:eastAsia="zh-CN" w:bidi="ar-SA"/>
              </w:rPr>
            </w:pPr>
          </w:p>
        </w:tc>
        <w:tc>
          <w:tcPr>
            <w:tcW w:w="1276" w:type="dxa"/>
            <w:tcBorders>
              <w:left w:val="single" w:color="auto" w:sz="4" w:space="0"/>
              <w:right w:val="single" w:color="auto" w:sz="4" w:space="0"/>
            </w:tcBorders>
            <w:noWrap w:val="0"/>
            <w:vAlign w:val="top"/>
          </w:tcPr>
          <w:p w14:paraId="2F4C228B">
            <w:pPr>
              <w:widowControl/>
              <w:spacing w:line="360" w:lineRule="auto"/>
              <w:jc w:val="center"/>
              <w:rPr>
                <w:rFonts w:ascii="宋体" w:hAnsi="宋体" w:eastAsia="宋体"/>
                <w:color w:val="auto"/>
                <w:kern w:val="2"/>
                <w:sz w:val="21"/>
                <w:szCs w:val="21"/>
                <w:lang w:val="en-US" w:eastAsia="zh-CN" w:bidi="ar-SA"/>
              </w:rPr>
            </w:pPr>
          </w:p>
        </w:tc>
        <w:tc>
          <w:tcPr>
            <w:tcW w:w="992" w:type="dxa"/>
            <w:tcBorders>
              <w:left w:val="single" w:color="auto" w:sz="4" w:space="0"/>
              <w:right w:val="single" w:color="auto" w:sz="4" w:space="0"/>
            </w:tcBorders>
            <w:noWrap w:val="0"/>
            <w:vAlign w:val="top"/>
          </w:tcPr>
          <w:p w14:paraId="65425040">
            <w:pPr>
              <w:widowControl/>
              <w:spacing w:line="360" w:lineRule="auto"/>
              <w:jc w:val="center"/>
              <w:rPr>
                <w:rFonts w:ascii="宋体" w:hAnsi="宋体" w:eastAsia="宋体"/>
                <w:color w:val="auto"/>
                <w:kern w:val="2"/>
                <w:sz w:val="21"/>
                <w:szCs w:val="21"/>
                <w:lang w:val="en-US" w:eastAsia="zh-CN" w:bidi="ar-SA"/>
              </w:rPr>
            </w:pPr>
          </w:p>
        </w:tc>
        <w:tc>
          <w:tcPr>
            <w:tcW w:w="992" w:type="dxa"/>
            <w:tcBorders>
              <w:left w:val="single" w:color="auto" w:sz="4" w:space="0"/>
              <w:right w:val="single" w:color="auto" w:sz="4" w:space="0"/>
            </w:tcBorders>
            <w:noWrap w:val="0"/>
            <w:vAlign w:val="top"/>
          </w:tcPr>
          <w:p w14:paraId="42963D86">
            <w:pPr>
              <w:widowControl/>
              <w:spacing w:line="360" w:lineRule="auto"/>
              <w:jc w:val="center"/>
              <w:rPr>
                <w:rFonts w:ascii="宋体" w:hAnsi="宋体" w:eastAsia="宋体"/>
                <w:color w:val="auto"/>
                <w:kern w:val="2"/>
                <w:sz w:val="21"/>
                <w:szCs w:val="21"/>
                <w:lang w:val="en-US" w:eastAsia="zh-CN" w:bidi="ar-SA"/>
              </w:rPr>
            </w:pPr>
          </w:p>
        </w:tc>
        <w:tc>
          <w:tcPr>
            <w:tcW w:w="851" w:type="dxa"/>
            <w:tcBorders>
              <w:left w:val="single" w:color="auto" w:sz="4" w:space="0"/>
            </w:tcBorders>
            <w:noWrap w:val="0"/>
            <w:vAlign w:val="top"/>
          </w:tcPr>
          <w:p w14:paraId="7E0DDD11">
            <w:pPr>
              <w:widowControl/>
              <w:spacing w:line="360" w:lineRule="auto"/>
              <w:jc w:val="center"/>
              <w:rPr>
                <w:rFonts w:ascii="宋体" w:hAnsi="宋体" w:eastAsia="宋体"/>
                <w:color w:val="auto"/>
                <w:kern w:val="2"/>
                <w:sz w:val="21"/>
                <w:szCs w:val="21"/>
                <w:lang w:val="en-US" w:eastAsia="zh-CN" w:bidi="ar-SA"/>
              </w:rPr>
            </w:pPr>
          </w:p>
        </w:tc>
      </w:tr>
      <w:tr w14:paraId="2EB2E7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9" w:type="dxa"/>
            <w:noWrap w:val="0"/>
            <w:vAlign w:val="top"/>
          </w:tcPr>
          <w:p w14:paraId="6DBE230A">
            <w:pPr>
              <w:widowControl/>
              <w:spacing w:line="360" w:lineRule="auto"/>
              <w:jc w:val="center"/>
              <w:rPr>
                <w:rFonts w:ascii="宋体" w:hAnsi="宋体" w:eastAsia="宋体"/>
                <w:color w:val="auto"/>
                <w:kern w:val="2"/>
                <w:sz w:val="21"/>
                <w:szCs w:val="21"/>
                <w:lang w:val="en-US" w:eastAsia="zh-CN" w:bidi="ar-SA"/>
              </w:rPr>
            </w:pPr>
          </w:p>
        </w:tc>
        <w:tc>
          <w:tcPr>
            <w:tcW w:w="1276" w:type="dxa"/>
            <w:tcBorders>
              <w:right w:val="single" w:color="auto" w:sz="4" w:space="0"/>
            </w:tcBorders>
            <w:noWrap w:val="0"/>
            <w:vAlign w:val="top"/>
          </w:tcPr>
          <w:p w14:paraId="2A924A0D">
            <w:pPr>
              <w:widowControl/>
              <w:spacing w:line="360" w:lineRule="auto"/>
              <w:jc w:val="center"/>
              <w:rPr>
                <w:rFonts w:ascii="宋体" w:hAnsi="宋体" w:eastAsia="宋体"/>
                <w:color w:val="auto"/>
                <w:kern w:val="2"/>
                <w:sz w:val="21"/>
                <w:szCs w:val="21"/>
                <w:lang w:val="en-US" w:eastAsia="zh-CN" w:bidi="ar-SA"/>
              </w:rPr>
            </w:pPr>
          </w:p>
        </w:tc>
        <w:tc>
          <w:tcPr>
            <w:tcW w:w="850" w:type="dxa"/>
            <w:tcBorders>
              <w:left w:val="single" w:color="auto" w:sz="4" w:space="0"/>
              <w:right w:val="single" w:color="auto" w:sz="4" w:space="0"/>
            </w:tcBorders>
            <w:noWrap w:val="0"/>
            <w:vAlign w:val="top"/>
          </w:tcPr>
          <w:p w14:paraId="52FA80CD">
            <w:pPr>
              <w:widowControl/>
              <w:spacing w:line="360" w:lineRule="auto"/>
              <w:jc w:val="center"/>
              <w:rPr>
                <w:rFonts w:ascii="宋体" w:hAnsi="宋体" w:eastAsia="宋体"/>
                <w:color w:val="auto"/>
                <w:kern w:val="2"/>
                <w:sz w:val="21"/>
                <w:szCs w:val="21"/>
                <w:lang w:val="en-US" w:eastAsia="zh-CN" w:bidi="ar-SA"/>
              </w:rPr>
            </w:pPr>
          </w:p>
        </w:tc>
        <w:tc>
          <w:tcPr>
            <w:tcW w:w="851" w:type="dxa"/>
            <w:tcBorders>
              <w:left w:val="single" w:color="auto" w:sz="4" w:space="0"/>
              <w:right w:val="single" w:color="auto" w:sz="4" w:space="0"/>
            </w:tcBorders>
            <w:noWrap w:val="0"/>
            <w:vAlign w:val="top"/>
          </w:tcPr>
          <w:p w14:paraId="202E5677">
            <w:pPr>
              <w:widowControl/>
              <w:spacing w:line="360" w:lineRule="auto"/>
              <w:jc w:val="center"/>
              <w:rPr>
                <w:rFonts w:ascii="宋体" w:hAnsi="宋体" w:eastAsia="宋体"/>
                <w:color w:val="auto"/>
                <w:kern w:val="2"/>
                <w:sz w:val="21"/>
                <w:szCs w:val="21"/>
                <w:lang w:val="en-US" w:eastAsia="zh-CN" w:bidi="ar-SA"/>
              </w:rPr>
            </w:pPr>
          </w:p>
        </w:tc>
        <w:tc>
          <w:tcPr>
            <w:tcW w:w="992" w:type="dxa"/>
            <w:tcBorders>
              <w:left w:val="single" w:color="auto" w:sz="4" w:space="0"/>
              <w:right w:val="single" w:color="auto" w:sz="4" w:space="0"/>
            </w:tcBorders>
            <w:noWrap w:val="0"/>
            <w:vAlign w:val="top"/>
          </w:tcPr>
          <w:p w14:paraId="16E51493">
            <w:pPr>
              <w:widowControl/>
              <w:spacing w:line="360" w:lineRule="auto"/>
              <w:jc w:val="center"/>
              <w:rPr>
                <w:rFonts w:ascii="宋体" w:hAnsi="宋体" w:eastAsia="宋体"/>
                <w:color w:val="auto"/>
                <w:kern w:val="2"/>
                <w:sz w:val="21"/>
                <w:szCs w:val="21"/>
                <w:lang w:val="en-US" w:eastAsia="zh-CN" w:bidi="ar-SA"/>
              </w:rPr>
            </w:pPr>
          </w:p>
        </w:tc>
        <w:tc>
          <w:tcPr>
            <w:tcW w:w="1276" w:type="dxa"/>
            <w:tcBorders>
              <w:left w:val="single" w:color="auto" w:sz="4" w:space="0"/>
              <w:right w:val="single" w:color="auto" w:sz="4" w:space="0"/>
            </w:tcBorders>
            <w:noWrap w:val="0"/>
            <w:vAlign w:val="top"/>
          </w:tcPr>
          <w:p w14:paraId="6A902A48">
            <w:pPr>
              <w:widowControl/>
              <w:spacing w:line="360" w:lineRule="auto"/>
              <w:jc w:val="center"/>
              <w:rPr>
                <w:rFonts w:ascii="宋体" w:hAnsi="宋体" w:eastAsia="宋体"/>
                <w:color w:val="auto"/>
                <w:kern w:val="2"/>
                <w:sz w:val="21"/>
                <w:szCs w:val="21"/>
                <w:lang w:val="en-US" w:eastAsia="zh-CN" w:bidi="ar-SA"/>
              </w:rPr>
            </w:pPr>
          </w:p>
        </w:tc>
        <w:tc>
          <w:tcPr>
            <w:tcW w:w="992" w:type="dxa"/>
            <w:tcBorders>
              <w:left w:val="single" w:color="auto" w:sz="4" w:space="0"/>
              <w:right w:val="single" w:color="auto" w:sz="4" w:space="0"/>
            </w:tcBorders>
            <w:noWrap w:val="0"/>
            <w:vAlign w:val="top"/>
          </w:tcPr>
          <w:p w14:paraId="03A0F3F7">
            <w:pPr>
              <w:widowControl/>
              <w:spacing w:line="360" w:lineRule="auto"/>
              <w:jc w:val="center"/>
              <w:rPr>
                <w:rFonts w:ascii="宋体" w:hAnsi="宋体" w:eastAsia="宋体"/>
                <w:color w:val="auto"/>
                <w:kern w:val="2"/>
                <w:sz w:val="21"/>
                <w:szCs w:val="21"/>
                <w:lang w:val="en-US" w:eastAsia="zh-CN" w:bidi="ar-SA"/>
              </w:rPr>
            </w:pPr>
          </w:p>
        </w:tc>
        <w:tc>
          <w:tcPr>
            <w:tcW w:w="992" w:type="dxa"/>
            <w:tcBorders>
              <w:left w:val="single" w:color="auto" w:sz="4" w:space="0"/>
              <w:right w:val="single" w:color="auto" w:sz="4" w:space="0"/>
            </w:tcBorders>
            <w:noWrap w:val="0"/>
            <w:vAlign w:val="top"/>
          </w:tcPr>
          <w:p w14:paraId="0928FE9E">
            <w:pPr>
              <w:widowControl/>
              <w:spacing w:line="360" w:lineRule="auto"/>
              <w:jc w:val="center"/>
              <w:rPr>
                <w:rFonts w:ascii="宋体" w:hAnsi="宋体" w:eastAsia="宋体"/>
                <w:color w:val="auto"/>
                <w:kern w:val="2"/>
                <w:sz w:val="21"/>
                <w:szCs w:val="21"/>
                <w:lang w:val="en-US" w:eastAsia="zh-CN" w:bidi="ar-SA"/>
              </w:rPr>
            </w:pPr>
          </w:p>
        </w:tc>
        <w:tc>
          <w:tcPr>
            <w:tcW w:w="851" w:type="dxa"/>
            <w:tcBorders>
              <w:left w:val="single" w:color="auto" w:sz="4" w:space="0"/>
            </w:tcBorders>
            <w:noWrap w:val="0"/>
            <w:vAlign w:val="top"/>
          </w:tcPr>
          <w:p w14:paraId="52F1DA41">
            <w:pPr>
              <w:widowControl/>
              <w:spacing w:line="360" w:lineRule="auto"/>
              <w:jc w:val="center"/>
              <w:rPr>
                <w:rFonts w:ascii="宋体" w:hAnsi="宋体" w:eastAsia="宋体"/>
                <w:color w:val="auto"/>
                <w:kern w:val="2"/>
                <w:sz w:val="21"/>
                <w:szCs w:val="21"/>
                <w:lang w:val="en-US" w:eastAsia="zh-CN" w:bidi="ar-SA"/>
              </w:rPr>
            </w:pPr>
          </w:p>
        </w:tc>
      </w:tr>
      <w:tr w14:paraId="438488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9" w:type="dxa"/>
            <w:noWrap w:val="0"/>
            <w:vAlign w:val="top"/>
          </w:tcPr>
          <w:p w14:paraId="022B4C45">
            <w:pPr>
              <w:widowControl/>
              <w:spacing w:line="360" w:lineRule="auto"/>
              <w:jc w:val="center"/>
              <w:rPr>
                <w:rFonts w:ascii="宋体" w:hAnsi="宋体" w:eastAsia="宋体"/>
                <w:color w:val="auto"/>
                <w:kern w:val="2"/>
                <w:sz w:val="21"/>
                <w:szCs w:val="21"/>
                <w:lang w:val="en-US" w:eastAsia="zh-CN" w:bidi="ar-SA"/>
              </w:rPr>
            </w:pPr>
          </w:p>
        </w:tc>
        <w:tc>
          <w:tcPr>
            <w:tcW w:w="1276" w:type="dxa"/>
            <w:tcBorders>
              <w:right w:val="single" w:color="auto" w:sz="4" w:space="0"/>
            </w:tcBorders>
            <w:noWrap w:val="0"/>
            <w:vAlign w:val="top"/>
          </w:tcPr>
          <w:p w14:paraId="06D52ED3">
            <w:pPr>
              <w:widowControl/>
              <w:spacing w:line="360" w:lineRule="auto"/>
              <w:jc w:val="center"/>
              <w:rPr>
                <w:rFonts w:ascii="宋体" w:hAnsi="宋体" w:eastAsia="宋体"/>
                <w:color w:val="auto"/>
                <w:kern w:val="2"/>
                <w:sz w:val="21"/>
                <w:szCs w:val="21"/>
                <w:lang w:val="en-US" w:eastAsia="zh-CN" w:bidi="ar-SA"/>
              </w:rPr>
            </w:pPr>
          </w:p>
        </w:tc>
        <w:tc>
          <w:tcPr>
            <w:tcW w:w="850" w:type="dxa"/>
            <w:tcBorders>
              <w:left w:val="single" w:color="auto" w:sz="4" w:space="0"/>
              <w:right w:val="single" w:color="auto" w:sz="4" w:space="0"/>
            </w:tcBorders>
            <w:noWrap w:val="0"/>
            <w:vAlign w:val="top"/>
          </w:tcPr>
          <w:p w14:paraId="095E47DC">
            <w:pPr>
              <w:widowControl/>
              <w:spacing w:line="360" w:lineRule="auto"/>
              <w:jc w:val="center"/>
              <w:rPr>
                <w:rFonts w:ascii="宋体" w:hAnsi="宋体" w:eastAsia="宋体"/>
                <w:color w:val="auto"/>
                <w:kern w:val="2"/>
                <w:sz w:val="21"/>
                <w:szCs w:val="21"/>
                <w:lang w:val="en-US" w:eastAsia="zh-CN" w:bidi="ar-SA"/>
              </w:rPr>
            </w:pPr>
          </w:p>
        </w:tc>
        <w:tc>
          <w:tcPr>
            <w:tcW w:w="851" w:type="dxa"/>
            <w:tcBorders>
              <w:left w:val="single" w:color="auto" w:sz="4" w:space="0"/>
              <w:right w:val="single" w:color="auto" w:sz="4" w:space="0"/>
            </w:tcBorders>
            <w:noWrap w:val="0"/>
            <w:vAlign w:val="top"/>
          </w:tcPr>
          <w:p w14:paraId="4B0EA26A">
            <w:pPr>
              <w:widowControl/>
              <w:spacing w:line="360" w:lineRule="auto"/>
              <w:jc w:val="center"/>
              <w:rPr>
                <w:rFonts w:ascii="宋体" w:hAnsi="宋体" w:eastAsia="宋体"/>
                <w:color w:val="auto"/>
                <w:kern w:val="2"/>
                <w:sz w:val="21"/>
                <w:szCs w:val="21"/>
                <w:lang w:val="en-US" w:eastAsia="zh-CN" w:bidi="ar-SA"/>
              </w:rPr>
            </w:pPr>
          </w:p>
        </w:tc>
        <w:tc>
          <w:tcPr>
            <w:tcW w:w="992" w:type="dxa"/>
            <w:tcBorders>
              <w:left w:val="single" w:color="auto" w:sz="4" w:space="0"/>
              <w:right w:val="single" w:color="auto" w:sz="4" w:space="0"/>
            </w:tcBorders>
            <w:noWrap w:val="0"/>
            <w:vAlign w:val="top"/>
          </w:tcPr>
          <w:p w14:paraId="57611078">
            <w:pPr>
              <w:widowControl/>
              <w:spacing w:line="360" w:lineRule="auto"/>
              <w:jc w:val="center"/>
              <w:rPr>
                <w:rFonts w:ascii="宋体" w:hAnsi="宋体" w:eastAsia="宋体"/>
                <w:color w:val="auto"/>
                <w:kern w:val="2"/>
                <w:sz w:val="21"/>
                <w:szCs w:val="21"/>
                <w:lang w:val="en-US" w:eastAsia="zh-CN" w:bidi="ar-SA"/>
              </w:rPr>
            </w:pPr>
          </w:p>
        </w:tc>
        <w:tc>
          <w:tcPr>
            <w:tcW w:w="1276" w:type="dxa"/>
            <w:tcBorders>
              <w:left w:val="single" w:color="auto" w:sz="4" w:space="0"/>
              <w:right w:val="single" w:color="auto" w:sz="4" w:space="0"/>
            </w:tcBorders>
            <w:noWrap w:val="0"/>
            <w:vAlign w:val="top"/>
          </w:tcPr>
          <w:p w14:paraId="3B7CD57D">
            <w:pPr>
              <w:widowControl/>
              <w:spacing w:line="360" w:lineRule="auto"/>
              <w:jc w:val="center"/>
              <w:rPr>
                <w:rFonts w:ascii="宋体" w:hAnsi="宋体" w:eastAsia="宋体"/>
                <w:color w:val="auto"/>
                <w:kern w:val="2"/>
                <w:sz w:val="21"/>
                <w:szCs w:val="21"/>
                <w:lang w:val="en-US" w:eastAsia="zh-CN" w:bidi="ar-SA"/>
              </w:rPr>
            </w:pPr>
          </w:p>
        </w:tc>
        <w:tc>
          <w:tcPr>
            <w:tcW w:w="992" w:type="dxa"/>
            <w:tcBorders>
              <w:left w:val="single" w:color="auto" w:sz="4" w:space="0"/>
              <w:right w:val="single" w:color="auto" w:sz="4" w:space="0"/>
            </w:tcBorders>
            <w:noWrap w:val="0"/>
            <w:vAlign w:val="top"/>
          </w:tcPr>
          <w:p w14:paraId="0580D9C5">
            <w:pPr>
              <w:widowControl/>
              <w:spacing w:line="360" w:lineRule="auto"/>
              <w:jc w:val="center"/>
              <w:rPr>
                <w:rFonts w:ascii="宋体" w:hAnsi="宋体" w:eastAsia="宋体"/>
                <w:color w:val="auto"/>
                <w:kern w:val="2"/>
                <w:sz w:val="21"/>
                <w:szCs w:val="21"/>
                <w:lang w:val="en-US" w:eastAsia="zh-CN" w:bidi="ar-SA"/>
              </w:rPr>
            </w:pPr>
          </w:p>
        </w:tc>
        <w:tc>
          <w:tcPr>
            <w:tcW w:w="992" w:type="dxa"/>
            <w:tcBorders>
              <w:left w:val="single" w:color="auto" w:sz="4" w:space="0"/>
              <w:right w:val="single" w:color="auto" w:sz="4" w:space="0"/>
            </w:tcBorders>
            <w:noWrap w:val="0"/>
            <w:vAlign w:val="top"/>
          </w:tcPr>
          <w:p w14:paraId="6B31C868">
            <w:pPr>
              <w:widowControl/>
              <w:spacing w:line="360" w:lineRule="auto"/>
              <w:jc w:val="center"/>
              <w:rPr>
                <w:rFonts w:ascii="宋体" w:hAnsi="宋体" w:eastAsia="宋体"/>
                <w:color w:val="auto"/>
                <w:kern w:val="2"/>
                <w:sz w:val="21"/>
                <w:szCs w:val="21"/>
                <w:lang w:val="en-US" w:eastAsia="zh-CN" w:bidi="ar-SA"/>
              </w:rPr>
            </w:pPr>
          </w:p>
        </w:tc>
        <w:tc>
          <w:tcPr>
            <w:tcW w:w="851" w:type="dxa"/>
            <w:tcBorders>
              <w:left w:val="single" w:color="auto" w:sz="4" w:space="0"/>
            </w:tcBorders>
            <w:noWrap w:val="0"/>
            <w:vAlign w:val="top"/>
          </w:tcPr>
          <w:p w14:paraId="485752EE">
            <w:pPr>
              <w:widowControl/>
              <w:spacing w:line="360" w:lineRule="auto"/>
              <w:jc w:val="center"/>
              <w:rPr>
                <w:rFonts w:ascii="宋体" w:hAnsi="宋体" w:eastAsia="宋体"/>
                <w:color w:val="auto"/>
                <w:kern w:val="2"/>
                <w:sz w:val="21"/>
                <w:szCs w:val="21"/>
                <w:lang w:val="en-US" w:eastAsia="zh-CN" w:bidi="ar-SA"/>
              </w:rPr>
            </w:pPr>
          </w:p>
        </w:tc>
      </w:tr>
      <w:tr w14:paraId="5C7276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9" w:type="dxa"/>
            <w:noWrap w:val="0"/>
            <w:vAlign w:val="top"/>
          </w:tcPr>
          <w:p w14:paraId="1027D356">
            <w:pPr>
              <w:widowControl/>
              <w:spacing w:line="360" w:lineRule="auto"/>
              <w:jc w:val="center"/>
              <w:rPr>
                <w:rFonts w:ascii="宋体" w:hAnsi="宋体" w:eastAsia="宋体"/>
                <w:color w:val="auto"/>
                <w:kern w:val="2"/>
                <w:sz w:val="21"/>
                <w:szCs w:val="21"/>
                <w:lang w:val="en-US" w:eastAsia="zh-CN" w:bidi="ar-SA"/>
              </w:rPr>
            </w:pPr>
          </w:p>
        </w:tc>
        <w:tc>
          <w:tcPr>
            <w:tcW w:w="1276" w:type="dxa"/>
            <w:tcBorders>
              <w:right w:val="single" w:color="auto" w:sz="4" w:space="0"/>
            </w:tcBorders>
            <w:noWrap w:val="0"/>
            <w:vAlign w:val="top"/>
          </w:tcPr>
          <w:p w14:paraId="7A5D30C5">
            <w:pPr>
              <w:widowControl/>
              <w:spacing w:line="360" w:lineRule="auto"/>
              <w:jc w:val="center"/>
              <w:rPr>
                <w:rFonts w:ascii="宋体" w:hAnsi="宋体" w:eastAsia="宋体"/>
                <w:color w:val="auto"/>
                <w:kern w:val="2"/>
                <w:sz w:val="21"/>
                <w:szCs w:val="21"/>
                <w:lang w:val="en-US" w:eastAsia="zh-CN" w:bidi="ar-SA"/>
              </w:rPr>
            </w:pPr>
          </w:p>
        </w:tc>
        <w:tc>
          <w:tcPr>
            <w:tcW w:w="850" w:type="dxa"/>
            <w:tcBorders>
              <w:left w:val="single" w:color="auto" w:sz="4" w:space="0"/>
              <w:right w:val="single" w:color="auto" w:sz="4" w:space="0"/>
            </w:tcBorders>
            <w:noWrap w:val="0"/>
            <w:vAlign w:val="top"/>
          </w:tcPr>
          <w:p w14:paraId="62CE5C97">
            <w:pPr>
              <w:widowControl/>
              <w:spacing w:line="360" w:lineRule="auto"/>
              <w:jc w:val="center"/>
              <w:rPr>
                <w:rFonts w:ascii="宋体" w:hAnsi="宋体" w:eastAsia="宋体"/>
                <w:color w:val="auto"/>
                <w:kern w:val="2"/>
                <w:sz w:val="21"/>
                <w:szCs w:val="21"/>
                <w:lang w:val="en-US" w:eastAsia="zh-CN" w:bidi="ar-SA"/>
              </w:rPr>
            </w:pPr>
          </w:p>
        </w:tc>
        <w:tc>
          <w:tcPr>
            <w:tcW w:w="851" w:type="dxa"/>
            <w:tcBorders>
              <w:left w:val="single" w:color="auto" w:sz="4" w:space="0"/>
              <w:right w:val="single" w:color="auto" w:sz="4" w:space="0"/>
            </w:tcBorders>
            <w:noWrap w:val="0"/>
            <w:vAlign w:val="top"/>
          </w:tcPr>
          <w:p w14:paraId="327FB3FE">
            <w:pPr>
              <w:widowControl/>
              <w:spacing w:line="360" w:lineRule="auto"/>
              <w:jc w:val="center"/>
              <w:rPr>
                <w:rFonts w:ascii="宋体" w:hAnsi="宋体" w:eastAsia="宋体"/>
                <w:color w:val="auto"/>
                <w:kern w:val="2"/>
                <w:sz w:val="21"/>
                <w:szCs w:val="21"/>
                <w:lang w:val="en-US" w:eastAsia="zh-CN" w:bidi="ar-SA"/>
              </w:rPr>
            </w:pPr>
          </w:p>
        </w:tc>
        <w:tc>
          <w:tcPr>
            <w:tcW w:w="992" w:type="dxa"/>
            <w:tcBorders>
              <w:left w:val="single" w:color="auto" w:sz="4" w:space="0"/>
              <w:right w:val="single" w:color="auto" w:sz="4" w:space="0"/>
            </w:tcBorders>
            <w:noWrap w:val="0"/>
            <w:vAlign w:val="top"/>
          </w:tcPr>
          <w:p w14:paraId="76691887">
            <w:pPr>
              <w:widowControl/>
              <w:spacing w:line="360" w:lineRule="auto"/>
              <w:jc w:val="center"/>
              <w:rPr>
                <w:rFonts w:ascii="宋体" w:hAnsi="宋体" w:eastAsia="宋体"/>
                <w:color w:val="auto"/>
                <w:kern w:val="2"/>
                <w:sz w:val="21"/>
                <w:szCs w:val="21"/>
                <w:lang w:val="en-US" w:eastAsia="zh-CN" w:bidi="ar-SA"/>
              </w:rPr>
            </w:pPr>
          </w:p>
        </w:tc>
        <w:tc>
          <w:tcPr>
            <w:tcW w:w="1276" w:type="dxa"/>
            <w:tcBorders>
              <w:left w:val="single" w:color="auto" w:sz="4" w:space="0"/>
              <w:right w:val="single" w:color="auto" w:sz="4" w:space="0"/>
            </w:tcBorders>
            <w:noWrap w:val="0"/>
            <w:vAlign w:val="top"/>
          </w:tcPr>
          <w:p w14:paraId="317707AE">
            <w:pPr>
              <w:widowControl/>
              <w:spacing w:line="360" w:lineRule="auto"/>
              <w:jc w:val="center"/>
              <w:rPr>
                <w:rFonts w:ascii="宋体" w:hAnsi="宋体" w:eastAsia="宋体"/>
                <w:color w:val="auto"/>
                <w:kern w:val="2"/>
                <w:sz w:val="21"/>
                <w:szCs w:val="21"/>
                <w:lang w:val="en-US" w:eastAsia="zh-CN" w:bidi="ar-SA"/>
              </w:rPr>
            </w:pPr>
          </w:p>
        </w:tc>
        <w:tc>
          <w:tcPr>
            <w:tcW w:w="992" w:type="dxa"/>
            <w:tcBorders>
              <w:left w:val="single" w:color="auto" w:sz="4" w:space="0"/>
              <w:right w:val="single" w:color="auto" w:sz="4" w:space="0"/>
            </w:tcBorders>
            <w:noWrap w:val="0"/>
            <w:vAlign w:val="top"/>
          </w:tcPr>
          <w:p w14:paraId="2CD8473D">
            <w:pPr>
              <w:widowControl/>
              <w:spacing w:line="360" w:lineRule="auto"/>
              <w:jc w:val="center"/>
              <w:rPr>
                <w:rFonts w:ascii="宋体" w:hAnsi="宋体" w:eastAsia="宋体"/>
                <w:color w:val="auto"/>
                <w:kern w:val="2"/>
                <w:sz w:val="21"/>
                <w:szCs w:val="21"/>
                <w:lang w:val="en-US" w:eastAsia="zh-CN" w:bidi="ar-SA"/>
              </w:rPr>
            </w:pPr>
          </w:p>
        </w:tc>
        <w:tc>
          <w:tcPr>
            <w:tcW w:w="992" w:type="dxa"/>
            <w:tcBorders>
              <w:left w:val="single" w:color="auto" w:sz="4" w:space="0"/>
              <w:right w:val="single" w:color="auto" w:sz="4" w:space="0"/>
            </w:tcBorders>
            <w:noWrap w:val="0"/>
            <w:vAlign w:val="top"/>
          </w:tcPr>
          <w:p w14:paraId="0861541B">
            <w:pPr>
              <w:widowControl/>
              <w:spacing w:line="360" w:lineRule="auto"/>
              <w:jc w:val="center"/>
              <w:rPr>
                <w:rFonts w:ascii="宋体" w:hAnsi="宋体" w:eastAsia="宋体"/>
                <w:color w:val="auto"/>
                <w:kern w:val="2"/>
                <w:sz w:val="21"/>
                <w:szCs w:val="21"/>
                <w:lang w:val="en-US" w:eastAsia="zh-CN" w:bidi="ar-SA"/>
              </w:rPr>
            </w:pPr>
          </w:p>
        </w:tc>
        <w:tc>
          <w:tcPr>
            <w:tcW w:w="851" w:type="dxa"/>
            <w:tcBorders>
              <w:left w:val="single" w:color="auto" w:sz="4" w:space="0"/>
            </w:tcBorders>
            <w:noWrap w:val="0"/>
            <w:vAlign w:val="top"/>
          </w:tcPr>
          <w:p w14:paraId="01DB1744">
            <w:pPr>
              <w:widowControl/>
              <w:spacing w:line="360" w:lineRule="auto"/>
              <w:jc w:val="center"/>
              <w:rPr>
                <w:rFonts w:ascii="宋体" w:hAnsi="宋体" w:eastAsia="宋体"/>
                <w:color w:val="auto"/>
                <w:kern w:val="2"/>
                <w:sz w:val="21"/>
                <w:szCs w:val="21"/>
                <w:lang w:val="en-US" w:eastAsia="zh-CN" w:bidi="ar-SA"/>
              </w:rPr>
            </w:pPr>
          </w:p>
        </w:tc>
      </w:tr>
      <w:tr w14:paraId="475B9A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9" w:type="dxa"/>
            <w:noWrap w:val="0"/>
            <w:vAlign w:val="top"/>
          </w:tcPr>
          <w:p w14:paraId="3FE30ABE">
            <w:pPr>
              <w:widowControl/>
              <w:spacing w:line="360" w:lineRule="auto"/>
              <w:jc w:val="center"/>
              <w:rPr>
                <w:rFonts w:ascii="宋体" w:hAnsi="宋体" w:eastAsia="宋体"/>
                <w:color w:val="auto"/>
                <w:kern w:val="2"/>
                <w:sz w:val="21"/>
                <w:szCs w:val="21"/>
                <w:lang w:val="en-US" w:eastAsia="zh-CN" w:bidi="ar-SA"/>
              </w:rPr>
            </w:pPr>
          </w:p>
        </w:tc>
        <w:tc>
          <w:tcPr>
            <w:tcW w:w="1276" w:type="dxa"/>
            <w:tcBorders>
              <w:right w:val="single" w:color="auto" w:sz="4" w:space="0"/>
            </w:tcBorders>
            <w:noWrap w:val="0"/>
            <w:vAlign w:val="top"/>
          </w:tcPr>
          <w:p w14:paraId="5B4C2B50">
            <w:pPr>
              <w:widowControl/>
              <w:spacing w:line="360" w:lineRule="auto"/>
              <w:jc w:val="center"/>
              <w:rPr>
                <w:rFonts w:ascii="宋体" w:hAnsi="宋体" w:eastAsia="宋体"/>
                <w:color w:val="auto"/>
                <w:kern w:val="2"/>
                <w:sz w:val="21"/>
                <w:szCs w:val="21"/>
                <w:lang w:val="en-US" w:eastAsia="zh-CN" w:bidi="ar-SA"/>
              </w:rPr>
            </w:pPr>
          </w:p>
        </w:tc>
        <w:tc>
          <w:tcPr>
            <w:tcW w:w="850" w:type="dxa"/>
            <w:tcBorders>
              <w:left w:val="single" w:color="auto" w:sz="4" w:space="0"/>
              <w:right w:val="single" w:color="auto" w:sz="4" w:space="0"/>
            </w:tcBorders>
            <w:noWrap w:val="0"/>
            <w:vAlign w:val="top"/>
          </w:tcPr>
          <w:p w14:paraId="6DD5D6F9">
            <w:pPr>
              <w:widowControl/>
              <w:spacing w:line="360" w:lineRule="auto"/>
              <w:jc w:val="center"/>
              <w:rPr>
                <w:rFonts w:ascii="宋体" w:hAnsi="宋体" w:eastAsia="宋体"/>
                <w:color w:val="auto"/>
                <w:kern w:val="2"/>
                <w:sz w:val="21"/>
                <w:szCs w:val="21"/>
                <w:lang w:val="en-US" w:eastAsia="zh-CN" w:bidi="ar-SA"/>
              </w:rPr>
            </w:pPr>
          </w:p>
        </w:tc>
        <w:tc>
          <w:tcPr>
            <w:tcW w:w="851" w:type="dxa"/>
            <w:tcBorders>
              <w:left w:val="single" w:color="auto" w:sz="4" w:space="0"/>
              <w:right w:val="single" w:color="auto" w:sz="4" w:space="0"/>
            </w:tcBorders>
            <w:noWrap w:val="0"/>
            <w:vAlign w:val="top"/>
          </w:tcPr>
          <w:p w14:paraId="1D906500">
            <w:pPr>
              <w:widowControl/>
              <w:spacing w:line="360" w:lineRule="auto"/>
              <w:jc w:val="center"/>
              <w:rPr>
                <w:rFonts w:ascii="宋体" w:hAnsi="宋体" w:eastAsia="宋体"/>
                <w:color w:val="auto"/>
                <w:kern w:val="2"/>
                <w:sz w:val="21"/>
                <w:szCs w:val="21"/>
                <w:lang w:val="en-US" w:eastAsia="zh-CN" w:bidi="ar-SA"/>
              </w:rPr>
            </w:pPr>
          </w:p>
        </w:tc>
        <w:tc>
          <w:tcPr>
            <w:tcW w:w="992" w:type="dxa"/>
            <w:tcBorders>
              <w:left w:val="single" w:color="auto" w:sz="4" w:space="0"/>
              <w:right w:val="single" w:color="auto" w:sz="4" w:space="0"/>
            </w:tcBorders>
            <w:noWrap w:val="0"/>
            <w:vAlign w:val="top"/>
          </w:tcPr>
          <w:p w14:paraId="016F4D12">
            <w:pPr>
              <w:widowControl/>
              <w:spacing w:line="360" w:lineRule="auto"/>
              <w:jc w:val="center"/>
              <w:rPr>
                <w:rFonts w:ascii="宋体" w:hAnsi="宋体" w:eastAsia="宋体"/>
                <w:color w:val="auto"/>
                <w:kern w:val="2"/>
                <w:sz w:val="21"/>
                <w:szCs w:val="21"/>
                <w:lang w:val="en-US" w:eastAsia="zh-CN" w:bidi="ar-SA"/>
              </w:rPr>
            </w:pPr>
          </w:p>
        </w:tc>
        <w:tc>
          <w:tcPr>
            <w:tcW w:w="1276" w:type="dxa"/>
            <w:tcBorders>
              <w:left w:val="single" w:color="auto" w:sz="4" w:space="0"/>
              <w:right w:val="single" w:color="auto" w:sz="4" w:space="0"/>
            </w:tcBorders>
            <w:noWrap w:val="0"/>
            <w:vAlign w:val="top"/>
          </w:tcPr>
          <w:p w14:paraId="157CE313">
            <w:pPr>
              <w:widowControl/>
              <w:spacing w:line="360" w:lineRule="auto"/>
              <w:jc w:val="center"/>
              <w:rPr>
                <w:rFonts w:ascii="宋体" w:hAnsi="宋体" w:eastAsia="宋体"/>
                <w:color w:val="auto"/>
                <w:kern w:val="2"/>
                <w:sz w:val="21"/>
                <w:szCs w:val="21"/>
                <w:lang w:val="en-US" w:eastAsia="zh-CN" w:bidi="ar-SA"/>
              </w:rPr>
            </w:pPr>
          </w:p>
        </w:tc>
        <w:tc>
          <w:tcPr>
            <w:tcW w:w="992" w:type="dxa"/>
            <w:tcBorders>
              <w:left w:val="single" w:color="auto" w:sz="4" w:space="0"/>
              <w:right w:val="single" w:color="auto" w:sz="4" w:space="0"/>
            </w:tcBorders>
            <w:noWrap w:val="0"/>
            <w:vAlign w:val="top"/>
          </w:tcPr>
          <w:p w14:paraId="0C57CA51">
            <w:pPr>
              <w:widowControl/>
              <w:spacing w:line="360" w:lineRule="auto"/>
              <w:jc w:val="center"/>
              <w:rPr>
                <w:rFonts w:ascii="宋体" w:hAnsi="宋体" w:eastAsia="宋体"/>
                <w:color w:val="auto"/>
                <w:kern w:val="2"/>
                <w:sz w:val="21"/>
                <w:szCs w:val="21"/>
                <w:lang w:val="en-US" w:eastAsia="zh-CN" w:bidi="ar-SA"/>
              </w:rPr>
            </w:pPr>
          </w:p>
        </w:tc>
        <w:tc>
          <w:tcPr>
            <w:tcW w:w="992" w:type="dxa"/>
            <w:tcBorders>
              <w:left w:val="single" w:color="auto" w:sz="4" w:space="0"/>
              <w:right w:val="single" w:color="auto" w:sz="4" w:space="0"/>
            </w:tcBorders>
            <w:noWrap w:val="0"/>
            <w:vAlign w:val="top"/>
          </w:tcPr>
          <w:p w14:paraId="2DEFD59B">
            <w:pPr>
              <w:widowControl/>
              <w:spacing w:line="360" w:lineRule="auto"/>
              <w:jc w:val="center"/>
              <w:rPr>
                <w:rFonts w:ascii="宋体" w:hAnsi="宋体" w:eastAsia="宋体"/>
                <w:color w:val="auto"/>
                <w:kern w:val="2"/>
                <w:sz w:val="21"/>
                <w:szCs w:val="21"/>
                <w:lang w:val="en-US" w:eastAsia="zh-CN" w:bidi="ar-SA"/>
              </w:rPr>
            </w:pPr>
          </w:p>
        </w:tc>
        <w:tc>
          <w:tcPr>
            <w:tcW w:w="851" w:type="dxa"/>
            <w:tcBorders>
              <w:left w:val="single" w:color="auto" w:sz="4" w:space="0"/>
            </w:tcBorders>
            <w:noWrap w:val="0"/>
            <w:vAlign w:val="top"/>
          </w:tcPr>
          <w:p w14:paraId="4CE425CC">
            <w:pPr>
              <w:widowControl/>
              <w:spacing w:line="360" w:lineRule="auto"/>
              <w:jc w:val="center"/>
              <w:rPr>
                <w:rFonts w:ascii="宋体" w:hAnsi="宋体" w:eastAsia="宋体"/>
                <w:color w:val="auto"/>
                <w:kern w:val="2"/>
                <w:sz w:val="21"/>
                <w:szCs w:val="21"/>
                <w:lang w:val="en-US" w:eastAsia="zh-CN" w:bidi="ar-SA"/>
              </w:rPr>
            </w:pPr>
          </w:p>
        </w:tc>
      </w:tr>
      <w:tr w14:paraId="3FCE41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9" w:type="dxa"/>
            <w:noWrap w:val="0"/>
            <w:vAlign w:val="top"/>
          </w:tcPr>
          <w:p w14:paraId="2B730B21">
            <w:pPr>
              <w:widowControl/>
              <w:spacing w:line="360" w:lineRule="auto"/>
              <w:jc w:val="center"/>
              <w:rPr>
                <w:rFonts w:ascii="宋体" w:hAnsi="宋体" w:eastAsia="宋体"/>
                <w:color w:val="auto"/>
                <w:kern w:val="2"/>
                <w:sz w:val="21"/>
                <w:szCs w:val="21"/>
                <w:lang w:val="en-US" w:eastAsia="zh-CN" w:bidi="ar-SA"/>
              </w:rPr>
            </w:pPr>
          </w:p>
        </w:tc>
        <w:tc>
          <w:tcPr>
            <w:tcW w:w="1276" w:type="dxa"/>
            <w:tcBorders>
              <w:right w:val="single" w:color="auto" w:sz="4" w:space="0"/>
            </w:tcBorders>
            <w:noWrap w:val="0"/>
            <w:vAlign w:val="top"/>
          </w:tcPr>
          <w:p w14:paraId="3FD7EEA9">
            <w:pPr>
              <w:widowControl/>
              <w:spacing w:line="360" w:lineRule="auto"/>
              <w:jc w:val="center"/>
              <w:rPr>
                <w:rFonts w:ascii="宋体" w:hAnsi="宋体" w:eastAsia="宋体"/>
                <w:color w:val="auto"/>
                <w:kern w:val="2"/>
                <w:sz w:val="21"/>
                <w:szCs w:val="21"/>
                <w:lang w:val="en-US" w:eastAsia="zh-CN" w:bidi="ar-SA"/>
              </w:rPr>
            </w:pPr>
          </w:p>
        </w:tc>
        <w:tc>
          <w:tcPr>
            <w:tcW w:w="850" w:type="dxa"/>
            <w:tcBorders>
              <w:left w:val="single" w:color="auto" w:sz="4" w:space="0"/>
              <w:right w:val="single" w:color="auto" w:sz="4" w:space="0"/>
            </w:tcBorders>
            <w:noWrap w:val="0"/>
            <w:vAlign w:val="top"/>
          </w:tcPr>
          <w:p w14:paraId="777498EB">
            <w:pPr>
              <w:widowControl/>
              <w:spacing w:line="360" w:lineRule="auto"/>
              <w:jc w:val="center"/>
              <w:rPr>
                <w:rFonts w:ascii="宋体" w:hAnsi="宋体" w:eastAsia="宋体"/>
                <w:color w:val="auto"/>
                <w:kern w:val="2"/>
                <w:sz w:val="21"/>
                <w:szCs w:val="21"/>
                <w:lang w:val="en-US" w:eastAsia="zh-CN" w:bidi="ar-SA"/>
              </w:rPr>
            </w:pPr>
          </w:p>
        </w:tc>
        <w:tc>
          <w:tcPr>
            <w:tcW w:w="851" w:type="dxa"/>
            <w:tcBorders>
              <w:left w:val="single" w:color="auto" w:sz="4" w:space="0"/>
              <w:right w:val="single" w:color="auto" w:sz="4" w:space="0"/>
            </w:tcBorders>
            <w:noWrap w:val="0"/>
            <w:vAlign w:val="top"/>
          </w:tcPr>
          <w:p w14:paraId="7130F838">
            <w:pPr>
              <w:widowControl/>
              <w:spacing w:line="360" w:lineRule="auto"/>
              <w:jc w:val="center"/>
              <w:rPr>
                <w:rFonts w:ascii="宋体" w:hAnsi="宋体" w:eastAsia="宋体"/>
                <w:color w:val="auto"/>
                <w:kern w:val="2"/>
                <w:sz w:val="21"/>
                <w:szCs w:val="21"/>
                <w:lang w:val="en-US" w:eastAsia="zh-CN" w:bidi="ar-SA"/>
              </w:rPr>
            </w:pPr>
          </w:p>
        </w:tc>
        <w:tc>
          <w:tcPr>
            <w:tcW w:w="992" w:type="dxa"/>
            <w:tcBorders>
              <w:left w:val="single" w:color="auto" w:sz="4" w:space="0"/>
              <w:right w:val="single" w:color="auto" w:sz="4" w:space="0"/>
            </w:tcBorders>
            <w:noWrap w:val="0"/>
            <w:vAlign w:val="top"/>
          </w:tcPr>
          <w:p w14:paraId="0014F6A7">
            <w:pPr>
              <w:widowControl/>
              <w:spacing w:line="360" w:lineRule="auto"/>
              <w:jc w:val="center"/>
              <w:rPr>
                <w:rFonts w:ascii="宋体" w:hAnsi="宋体" w:eastAsia="宋体"/>
                <w:color w:val="auto"/>
                <w:kern w:val="2"/>
                <w:sz w:val="21"/>
                <w:szCs w:val="21"/>
                <w:lang w:val="en-US" w:eastAsia="zh-CN" w:bidi="ar-SA"/>
              </w:rPr>
            </w:pPr>
          </w:p>
        </w:tc>
        <w:tc>
          <w:tcPr>
            <w:tcW w:w="1276" w:type="dxa"/>
            <w:tcBorders>
              <w:left w:val="single" w:color="auto" w:sz="4" w:space="0"/>
              <w:right w:val="single" w:color="auto" w:sz="4" w:space="0"/>
            </w:tcBorders>
            <w:noWrap w:val="0"/>
            <w:vAlign w:val="top"/>
          </w:tcPr>
          <w:p w14:paraId="6043F582">
            <w:pPr>
              <w:widowControl/>
              <w:spacing w:line="360" w:lineRule="auto"/>
              <w:jc w:val="center"/>
              <w:rPr>
                <w:rFonts w:ascii="宋体" w:hAnsi="宋体" w:eastAsia="宋体"/>
                <w:color w:val="auto"/>
                <w:kern w:val="2"/>
                <w:sz w:val="21"/>
                <w:szCs w:val="21"/>
                <w:lang w:val="en-US" w:eastAsia="zh-CN" w:bidi="ar-SA"/>
              </w:rPr>
            </w:pPr>
          </w:p>
        </w:tc>
        <w:tc>
          <w:tcPr>
            <w:tcW w:w="992" w:type="dxa"/>
            <w:tcBorders>
              <w:left w:val="single" w:color="auto" w:sz="4" w:space="0"/>
              <w:right w:val="single" w:color="auto" w:sz="4" w:space="0"/>
            </w:tcBorders>
            <w:noWrap w:val="0"/>
            <w:vAlign w:val="top"/>
          </w:tcPr>
          <w:p w14:paraId="117C06D4">
            <w:pPr>
              <w:widowControl/>
              <w:spacing w:line="360" w:lineRule="auto"/>
              <w:jc w:val="center"/>
              <w:rPr>
                <w:rFonts w:ascii="宋体" w:hAnsi="宋体" w:eastAsia="宋体"/>
                <w:color w:val="auto"/>
                <w:kern w:val="2"/>
                <w:sz w:val="21"/>
                <w:szCs w:val="21"/>
                <w:lang w:val="en-US" w:eastAsia="zh-CN" w:bidi="ar-SA"/>
              </w:rPr>
            </w:pPr>
          </w:p>
        </w:tc>
        <w:tc>
          <w:tcPr>
            <w:tcW w:w="992" w:type="dxa"/>
            <w:tcBorders>
              <w:left w:val="single" w:color="auto" w:sz="4" w:space="0"/>
              <w:right w:val="single" w:color="auto" w:sz="4" w:space="0"/>
            </w:tcBorders>
            <w:noWrap w:val="0"/>
            <w:vAlign w:val="top"/>
          </w:tcPr>
          <w:p w14:paraId="3FFD3CBB">
            <w:pPr>
              <w:widowControl/>
              <w:spacing w:line="360" w:lineRule="auto"/>
              <w:jc w:val="center"/>
              <w:rPr>
                <w:rFonts w:ascii="宋体" w:hAnsi="宋体" w:eastAsia="宋体"/>
                <w:color w:val="auto"/>
                <w:kern w:val="2"/>
                <w:sz w:val="21"/>
                <w:szCs w:val="21"/>
                <w:lang w:val="en-US" w:eastAsia="zh-CN" w:bidi="ar-SA"/>
              </w:rPr>
            </w:pPr>
          </w:p>
        </w:tc>
        <w:tc>
          <w:tcPr>
            <w:tcW w:w="851" w:type="dxa"/>
            <w:tcBorders>
              <w:left w:val="single" w:color="auto" w:sz="4" w:space="0"/>
            </w:tcBorders>
            <w:noWrap w:val="0"/>
            <w:vAlign w:val="top"/>
          </w:tcPr>
          <w:p w14:paraId="71BFFE23">
            <w:pPr>
              <w:widowControl/>
              <w:spacing w:line="360" w:lineRule="auto"/>
              <w:jc w:val="center"/>
              <w:rPr>
                <w:rFonts w:ascii="宋体" w:hAnsi="宋体" w:eastAsia="宋体"/>
                <w:color w:val="auto"/>
                <w:kern w:val="2"/>
                <w:sz w:val="21"/>
                <w:szCs w:val="21"/>
                <w:lang w:val="en-US" w:eastAsia="zh-CN" w:bidi="ar-SA"/>
              </w:rPr>
            </w:pPr>
          </w:p>
        </w:tc>
      </w:tr>
      <w:tr w14:paraId="63E8B2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9" w:type="dxa"/>
            <w:noWrap w:val="0"/>
            <w:vAlign w:val="top"/>
          </w:tcPr>
          <w:p w14:paraId="711306A2">
            <w:pPr>
              <w:widowControl/>
              <w:spacing w:line="360" w:lineRule="auto"/>
              <w:jc w:val="center"/>
              <w:rPr>
                <w:rFonts w:ascii="宋体" w:hAnsi="宋体" w:eastAsia="宋体"/>
                <w:color w:val="auto"/>
                <w:kern w:val="2"/>
                <w:sz w:val="21"/>
                <w:szCs w:val="21"/>
                <w:lang w:val="en-US" w:eastAsia="zh-CN" w:bidi="ar-SA"/>
              </w:rPr>
            </w:pPr>
          </w:p>
        </w:tc>
        <w:tc>
          <w:tcPr>
            <w:tcW w:w="1276" w:type="dxa"/>
            <w:tcBorders>
              <w:right w:val="single" w:color="auto" w:sz="4" w:space="0"/>
            </w:tcBorders>
            <w:noWrap w:val="0"/>
            <w:vAlign w:val="top"/>
          </w:tcPr>
          <w:p w14:paraId="653074D7">
            <w:pPr>
              <w:widowControl/>
              <w:spacing w:line="360" w:lineRule="auto"/>
              <w:jc w:val="center"/>
              <w:rPr>
                <w:rFonts w:ascii="宋体" w:hAnsi="宋体" w:eastAsia="宋体"/>
                <w:color w:val="auto"/>
                <w:kern w:val="2"/>
                <w:sz w:val="21"/>
                <w:szCs w:val="21"/>
                <w:lang w:val="en-US" w:eastAsia="zh-CN" w:bidi="ar-SA"/>
              </w:rPr>
            </w:pPr>
          </w:p>
        </w:tc>
        <w:tc>
          <w:tcPr>
            <w:tcW w:w="850" w:type="dxa"/>
            <w:tcBorders>
              <w:left w:val="single" w:color="auto" w:sz="4" w:space="0"/>
              <w:right w:val="single" w:color="auto" w:sz="4" w:space="0"/>
            </w:tcBorders>
            <w:noWrap w:val="0"/>
            <w:vAlign w:val="top"/>
          </w:tcPr>
          <w:p w14:paraId="2E03C133">
            <w:pPr>
              <w:widowControl/>
              <w:spacing w:line="360" w:lineRule="auto"/>
              <w:jc w:val="center"/>
              <w:rPr>
                <w:rFonts w:ascii="宋体" w:hAnsi="宋体" w:eastAsia="宋体"/>
                <w:color w:val="auto"/>
                <w:kern w:val="2"/>
                <w:sz w:val="21"/>
                <w:szCs w:val="21"/>
                <w:lang w:val="en-US" w:eastAsia="zh-CN" w:bidi="ar-SA"/>
              </w:rPr>
            </w:pPr>
          </w:p>
        </w:tc>
        <w:tc>
          <w:tcPr>
            <w:tcW w:w="851" w:type="dxa"/>
            <w:tcBorders>
              <w:left w:val="single" w:color="auto" w:sz="4" w:space="0"/>
              <w:right w:val="single" w:color="auto" w:sz="4" w:space="0"/>
            </w:tcBorders>
            <w:noWrap w:val="0"/>
            <w:vAlign w:val="top"/>
          </w:tcPr>
          <w:p w14:paraId="6E409AC4">
            <w:pPr>
              <w:widowControl/>
              <w:spacing w:line="360" w:lineRule="auto"/>
              <w:jc w:val="center"/>
              <w:rPr>
                <w:rFonts w:ascii="宋体" w:hAnsi="宋体" w:eastAsia="宋体"/>
                <w:color w:val="auto"/>
                <w:kern w:val="2"/>
                <w:sz w:val="21"/>
                <w:szCs w:val="21"/>
                <w:lang w:val="en-US" w:eastAsia="zh-CN" w:bidi="ar-SA"/>
              </w:rPr>
            </w:pPr>
          </w:p>
        </w:tc>
        <w:tc>
          <w:tcPr>
            <w:tcW w:w="992" w:type="dxa"/>
            <w:tcBorders>
              <w:left w:val="single" w:color="auto" w:sz="4" w:space="0"/>
              <w:right w:val="single" w:color="auto" w:sz="4" w:space="0"/>
            </w:tcBorders>
            <w:noWrap w:val="0"/>
            <w:vAlign w:val="top"/>
          </w:tcPr>
          <w:p w14:paraId="07DE6987">
            <w:pPr>
              <w:widowControl/>
              <w:spacing w:line="360" w:lineRule="auto"/>
              <w:jc w:val="center"/>
              <w:rPr>
                <w:rFonts w:ascii="宋体" w:hAnsi="宋体" w:eastAsia="宋体"/>
                <w:color w:val="auto"/>
                <w:kern w:val="2"/>
                <w:sz w:val="21"/>
                <w:szCs w:val="21"/>
                <w:lang w:val="en-US" w:eastAsia="zh-CN" w:bidi="ar-SA"/>
              </w:rPr>
            </w:pPr>
          </w:p>
        </w:tc>
        <w:tc>
          <w:tcPr>
            <w:tcW w:w="1276" w:type="dxa"/>
            <w:tcBorders>
              <w:left w:val="single" w:color="auto" w:sz="4" w:space="0"/>
              <w:right w:val="single" w:color="auto" w:sz="4" w:space="0"/>
            </w:tcBorders>
            <w:noWrap w:val="0"/>
            <w:vAlign w:val="top"/>
          </w:tcPr>
          <w:p w14:paraId="2EE6517C">
            <w:pPr>
              <w:widowControl/>
              <w:spacing w:line="360" w:lineRule="auto"/>
              <w:jc w:val="center"/>
              <w:rPr>
                <w:rFonts w:ascii="宋体" w:hAnsi="宋体" w:eastAsia="宋体"/>
                <w:color w:val="auto"/>
                <w:kern w:val="2"/>
                <w:sz w:val="21"/>
                <w:szCs w:val="21"/>
                <w:lang w:val="en-US" w:eastAsia="zh-CN" w:bidi="ar-SA"/>
              </w:rPr>
            </w:pPr>
          </w:p>
        </w:tc>
        <w:tc>
          <w:tcPr>
            <w:tcW w:w="992" w:type="dxa"/>
            <w:tcBorders>
              <w:left w:val="single" w:color="auto" w:sz="4" w:space="0"/>
              <w:right w:val="single" w:color="auto" w:sz="4" w:space="0"/>
            </w:tcBorders>
            <w:noWrap w:val="0"/>
            <w:vAlign w:val="top"/>
          </w:tcPr>
          <w:p w14:paraId="0FF2A10D">
            <w:pPr>
              <w:widowControl/>
              <w:spacing w:line="360" w:lineRule="auto"/>
              <w:jc w:val="center"/>
              <w:rPr>
                <w:rFonts w:ascii="宋体" w:hAnsi="宋体" w:eastAsia="宋体"/>
                <w:color w:val="auto"/>
                <w:kern w:val="2"/>
                <w:sz w:val="21"/>
                <w:szCs w:val="21"/>
                <w:lang w:val="en-US" w:eastAsia="zh-CN" w:bidi="ar-SA"/>
              </w:rPr>
            </w:pPr>
          </w:p>
        </w:tc>
        <w:tc>
          <w:tcPr>
            <w:tcW w:w="992" w:type="dxa"/>
            <w:tcBorders>
              <w:left w:val="single" w:color="auto" w:sz="4" w:space="0"/>
              <w:right w:val="single" w:color="auto" w:sz="4" w:space="0"/>
            </w:tcBorders>
            <w:noWrap w:val="0"/>
            <w:vAlign w:val="top"/>
          </w:tcPr>
          <w:p w14:paraId="5DF62159">
            <w:pPr>
              <w:widowControl/>
              <w:spacing w:line="360" w:lineRule="auto"/>
              <w:jc w:val="center"/>
              <w:rPr>
                <w:rFonts w:ascii="宋体" w:hAnsi="宋体" w:eastAsia="宋体"/>
                <w:color w:val="auto"/>
                <w:kern w:val="2"/>
                <w:sz w:val="21"/>
                <w:szCs w:val="21"/>
                <w:lang w:val="en-US" w:eastAsia="zh-CN" w:bidi="ar-SA"/>
              </w:rPr>
            </w:pPr>
          </w:p>
        </w:tc>
        <w:tc>
          <w:tcPr>
            <w:tcW w:w="851" w:type="dxa"/>
            <w:tcBorders>
              <w:left w:val="single" w:color="auto" w:sz="4" w:space="0"/>
            </w:tcBorders>
            <w:noWrap w:val="0"/>
            <w:vAlign w:val="top"/>
          </w:tcPr>
          <w:p w14:paraId="481969DF">
            <w:pPr>
              <w:widowControl/>
              <w:spacing w:line="360" w:lineRule="auto"/>
              <w:jc w:val="center"/>
              <w:rPr>
                <w:rFonts w:ascii="宋体" w:hAnsi="宋体" w:eastAsia="宋体"/>
                <w:color w:val="auto"/>
                <w:kern w:val="2"/>
                <w:sz w:val="21"/>
                <w:szCs w:val="21"/>
                <w:lang w:val="en-US" w:eastAsia="zh-CN" w:bidi="ar-SA"/>
              </w:rPr>
            </w:pPr>
          </w:p>
        </w:tc>
      </w:tr>
      <w:tr w14:paraId="164C02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5" w:hRule="atLeast"/>
        </w:trPr>
        <w:tc>
          <w:tcPr>
            <w:tcW w:w="709" w:type="dxa"/>
            <w:tcBorders>
              <w:bottom w:val="single" w:color="auto" w:sz="4" w:space="0"/>
            </w:tcBorders>
            <w:noWrap w:val="0"/>
            <w:vAlign w:val="top"/>
          </w:tcPr>
          <w:p w14:paraId="175EEAC3">
            <w:pPr>
              <w:widowControl/>
              <w:spacing w:line="360" w:lineRule="auto"/>
              <w:jc w:val="center"/>
              <w:rPr>
                <w:rFonts w:ascii="宋体" w:hAnsi="宋体" w:eastAsia="宋体"/>
                <w:color w:val="auto"/>
                <w:kern w:val="2"/>
                <w:sz w:val="21"/>
                <w:szCs w:val="21"/>
                <w:lang w:val="en-US" w:eastAsia="zh-CN" w:bidi="ar-SA"/>
              </w:rPr>
            </w:pPr>
          </w:p>
        </w:tc>
        <w:tc>
          <w:tcPr>
            <w:tcW w:w="1276" w:type="dxa"/>
            <w:tcBorders>
              <w:bottom w:val="single" w:color="auto" w:sz="4" w:space="0"/>
              <w:right w:val="single" w:color="auto" w:sz="4" w:space="0"/>
            </w:tcBorders>
            <w:noWrap w:val="0"/>
            <w:vAlign w:val="top"/>
          </w:tcPr>
          <w:p w14:paraId="7EF64A23">
            <w:pPr>
              <w:widowControl/>
              <w:spacing w:line="360" w:lineRule="auto"/>
              <w:jc w:val="center"/>
              <w:rPr>
                <w:rFonts w:ascii="宋体" w:hAnsi="宋体" w:eastAsia="宋体"/>
                <w:color w:val="auto"/>
                <w:kern w:val="2"/>
                <w:sz w:val="21"/>
                <w:szCs w:val="21"/>
                <w:lang w:val="en-US" w:eastAsia="zh-CN" w:bidi="ar-SA"/>
              </w:rPr>
            </w:pPr>
          </w:p>
        </w:tc>
        <w:tc>
          <w:tcPr>
            <w:tcW w:w="850" w:type="dxa"/>
            <w:tcBorders>
              <w:left w:val="single" w:color="auto" w:sz="4" w:space="0"/>
              <w:bottom w:val="single" w:color="auto" w:sz="4" w:space="0"/>
              <w:right w:val="single" w:color="auto" w:sz="4" w:space="0"/>
            </w:tcBorders>
            <w:noWrap w:val="0"/>
            <w:vAlign w:val="top"/>
          </w:tcPr>
          <w:p w14:paraId="6D62E0E9">
            <w:pPr>
              <w:widowControl/>
              <w:spacing w:line="360" w:lineRule="auto"/>
              <w:jc w:val="center"/>
              <w:rPr>
                <w:rFonts w:ascii="宋体" w:hAnsi="宋体" w:eastAsia="宋体"/>
                <w:color w:val="auto"/>
                <w:kern w:val="2"/>
                <w:sz w:val="21"/>
                <w:szCs w:val="21"/>
                <w:lang w:val="en-US" w:eastAsia="zh-CN" w:bidi="ar-SA"/>
              </w:rPr>
            </w:pPr>
          </w:p>
        </w:tc>
        <w:tc>
          <w:tcPr>
            <w:tcW w:w="851" w:type="dxa"/>
            <w:tcBorders>
              <w:left w:val="single" w:color="auto" w:sz="4" w:space="0"/>
              <w:bottom w:val="single" w:color="auto" w:sz="4" w:space="0"/>
              <w:right w:val="single" w:color="auto" w:sz="4" w:space="0"/>
            </w:tcBorders>
            <w:noWrap w:val="0"/>
            <w:vAlign w:val="top"/>
          </w:tcPr>
          <w:p w14:paraId="24A146B1">
            <w:pPr>
              <w:widowControl/>
              <w:spacing w:line="360" w:lineRule="auto"/>
              <w:jc w:val="center"/>
              <w:rPr>
                <w:rFonts w:ascii="宋体" w:hAnsi="宋体" w:eastAsia="宋体"/>
                <w:color w:val="auto"/>
                <w:kern w:val="2"/>
                <w:sz w:val="21"/>
                <w:szCs w:val="21"/>
                <w:lang w:val="en-US" w:eastAsia="zh-CN" w:bidi="ar-SA"/>
              </w:rPr>
            </w:pPr>
          </w:p>
        </w:tc>
        <w:tc>
          <w:tcPr>
            <w:tcW w:w="992" w:type="dxa"/>
            <w:tcBorders>
              <w:left w:val="single" w:color="auto" w:sz="4" w:space="0"/>
              <w:bottom w:val="single" w:color="auto" w:sz="4" w:space="0"/>
              <w:right w:val="single" w:color="auto" w:sz="4" w:space="0"/>
            </w:tcBorders>
            <w:noWrap w:val="0"/>
            <w:vAlign w:val="top"/>
          </w:tcPr>
          <w:p w14:paraId="24204FBD">
            <w:pPr>
              <w:widowControl/>
              <w:spacing w:line="360" w:lineRule="auto"/>
              <w:jc w:val="center"/>
              <w:rPr>
                <w:rFonts w:ascii="宋体" w:hAnsi="宋体" w:eastAsia="宋体"/>
                <w:color w:val="auto"/>
                <w:kern w:val="2"/>
                <w:sz w:val="21"/>
                <w:szCs w:val="21"/>
                <w:lang w:val="en-US" w:eastAsia="zh-CN" w:bidi="ar-SA"/>
              </w:rPr>
            </w:pPr>
          </w:p>
        </w:tc>
        <w:tc>
          <w:tcPr>
            <w:tcW w:w="1276" w:type="dxa"/>
            <w:tcBorders>
              <w:left w:val="single" w:color="auto" w:sz="4" w:space="0"/>
              <w:bottom w:val="single" w:color="auto" w:sz="4" w:space="0"/>
              <w:right w:val="single" w:color="auto" w:sz="4" w:space="0"/>
            </w:tcBorders>
            <w:noWrap w:val="0"/>
            <w:vAlign w:val="top"/>
          </w:tcPr>
          <w:p w14:paraId="19CD24AD">
            <w:pPr>
              <w:widowControl/>
              <w:spacing w:line="360" w:lineRule="auto"/>
              <w:jc w:val="center"/>
              <w:rPr>
                <w:rFonts w:ascii="宋体" w:hAnsi="宋体" w:eastAsia="宋体"/>
                <w:color w:val="auto"/>
                <w:kern w:val="2"/>
                <w:sz w:val="21"/>
                <w:szCs w:val="21"/>
                <w:lang w:val="en-US" w:eastAsia="zh-CN" w:bidi="ar-SA"/>
              </w:rPr>
            </w:pPr>
          </w:p>
        </w:tc>
        <w:tc>
          <w:tcPr>
            <w:tcW w:w="992" w:type="dxa"/>
            <w:tcBorders>
              <w:left w:val="single" w:color="auto" w:sz="4" w:space="0"/>
              <w:bottom w:val="single" w:color="auto" w:sz="4" w:space="0"/>
              <w:right w:val="single" w:color="auto" w:sz="4" w:space="0"/>
            </w:tcBorders>
            <w:noWrap w:val="0"/>
            <w:vAlign w:val="top"/>
          </w:tcPr>
          <w:p w14:paraId="107BA25B">
            <w:pPr>
              <w:widowControl/>
              <w:spacing w:line="360" w:lineRule="auto"/>
              <w:jc w:val="center"/>
              <w:rPr>
                <w:rFonts w:ascii="宋体" w:hAnsi="宋体" w:eastAsia="宋体"/>
                <w:color w:val="auto"/>
                <w:kern w:val="2"/>
                <w:sz w:val="21"/>
                <w:szCs w:val="21"/>
                <w:lang w:val="en-US" w:eastAsia="zh-CN" w:bidi="ar-SA"/>
              </w:rPr>
            </w:pPr>
          </w:p>
        </w:tc>
        <w:tc>
          <w:tcPr>
            <w:tcW w:w="992" w:type="dxa"/>
            <w:tcBorders>
              <w:left w:val="single" w:color="auto" w:sz="4" w:space="0"/>
              <w:bottom w:val="single" w:color="auto" w:sz="4" w:space="0"/>
              <w:right w:val="single" w:color="auto" w:sz="4" w:space="0"/>
            </w:tcBorders>
            <w:noWrap w:val="0"/>
            <w:vAlign w:val="top"/>
          </w:tcPr>
          <w:p w14:paraId="15BF7F40">
            <w:pPr>
              <w:widowControl/>
              <w:spacing w:line="360" w:lineRule="auto"/>
              <w:jc w:val="center"/>
              <w:rPr>
                <w:rFonts w:ascii="宋体" w:hAnsi="宋体" w:eastAsia="宋体"/>
                <w:color w:val="auto"/>
                <w:kern w:val="2"/>
                <w:sz w:val="21"/>
                <w:szCs w:val="21"/>
                <w:lang w:val="en-US" w:eastAsia="zh-CN" w:bidi="ar-SA"/>
              </w:rPr>
            </w:pPr>
          </w:p>
        </w:tc>
        <w:tc>
          <w:tcPr>
            <w:tcW w:w="851" w:type="dxa"/>
            <w:tcBorders>
              <w:left w:val="single" w:color="auto" w:sz="4" w:space="0"/>
              <w:bottom w:val="single" w:color="auto" w:sz="4" w:space="0"/>
            </w:tcBorders>
            <w:noWrap w:val="0"/>
            <w:vAlign w:val="top"/>
          </w:tcPr>
          <w:p w14:paraId="26FDBEA5">
            <w:pPr>
              <w:widowControl/>
              <w:spacing w:line="360" w:lineRule="auto"/>
              <w:jc w:val="center"/>
              <w:rPr>
                <w:rFonts w:ascii="宋体" w:hAnsi="宋体" w:eastAsia="宋体"/>
                <w:color w:val="auto"/>
                <w:kern w:val="2"/>
                <w:sz w:val="21"/>
                <w:szCs w:val="21"/>
                <w:lang w:val="en-US" w:eastAsia="zh-CN" w:bidi="ar-SA"/>
              </w:rPr>
            </w:pPr>
          </w:p>
        </w:tc>
      </w:tr>
      <w:tr w14:paraId="2FB571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0" w:hRule="atLeast"/>
        </w:trPr>
        <w:tc>
          <w:tcPr>
            <w:tcW w:w="709" w:type="dxa"/>
            <w:tcBorders>
              <w:top w:val="single" w:color="auto" w:sz="4" w:space="0"/>
              <w:bottom w:val="single" w:color="auto" w:sz="4" w:space="0"/>
            </w:tcBorders>
            <w:noWrap w:val="0"/>
            <w:vAlign w:val="top"/>
          </w:tcPr>
          <w:p w14:paraId="35B380A7">
            <w:pPr>
              <w:widowControl/>
              <w:spacing w:line="360" w:lineRule="auto"/>
              <w:jc w:val="center"/>
              <w:rPr>
                <w:rFonts w:ascii="宋体" w:hAnsi="宋体" w:eastAsia="宋体"/>
                <w:color w:val="auto"/>
                <w:kern w:val="2"/>
                <w:sz w:val="21"/>
                <w:szCs w:val="21"/>
                <w:lang w:val="en-US" w:eastAsia="zh-CN" w:bidi="ar-SA"/>
              </w:rPr>
            </w:pPr>
          </w:p>
        </w:tc>
        <w:tc>
          <w:tcPr>
            <w:tcW w:w="1276" w:type="dxa"/>
            <w:tcBorders>
              <w:top w:val="single" w:color="auto" w:sz="4" w:space="0"/>
              <w:bottom w:val="single" w:color="auto" w:sz="4" w:space="0"/>
              <w:right w:val="single" w:color="auto" w:sz="4" w:space="0"/>
            </w:tcBorders>
            <w:noWrap w:val="0"/>
            <w:vAlign w:val="top"/>
          </w:tcPr>
          <w:p w14:paraId="0492AC7E">
            <w:pPr>
              <w:widowControl/>
              <w:spacing w:line="360" w:lineRule="auto"/>
              <w:jc w:val="center"/>
              <w:rPr>
                <w:rFonts w:ascii="宋体" w:hAnsi="宋体" w:eastAsia="宋体"/>
                <w:color w:val="auto"/>
                <w:kern w:val="2"/>
                <w:sz w:val="21"/>
                <w:szCs w:val="21"/>
                <w:lang w:val="en-US" w:eastAsia="zh-CN" w:bidi="ar-SA"/>
              </w:rPr>
            </w:pPr>
          </w:p>
        </w:tc>
        <w:tc>
          <w:tcPr>
            <w:tcW w:w="850" w:type="dxa"/>
            <w:tcBorders>
              <w:top w:val="single" w:color="auto" w:sz="4" w:space="0"/>
              <w:left w:val="single" w:color="auto" w:sz="4" w:space="0"/>
              <w:bottom w:val="single" w:color="auto" w:sz="4" w:space="0"/>
              <w:right w:val="single" w:color="auto" w:sz="4" w:space="0"/>
            </w:tcBorders>
            <w:noWrap w:val="0"/>
            <w:vAlign w:val="top"/>
          </w:tcPr>
          <w:p w14:paraId="192407EE">
            <w:pPr>
              <w:widowControl/>
              <w:spacing w:line="360" w:lineRule="auto"/>
              <w:jc w:val="center"/>
              <w:rPr>
                <w:rFonts w:ascii="宋体" w:hAnsi="宋体" w:eastAsia="宋体"/>
                <w:color w:val="auto"/>
                <w:kern w:val="2"/>
                <w:sz w:val="21"/>
                <w:szCs w:val="21"/>
                <w:lang w:val="en-US" w:eastAsia="zh-CN" w:bidi="ar-SA"/>
              </w:rPr>
            </w:pPr>
          </w:p>
        </w:tc>
        <w:tc>
          <w:tcPr>
            <w:tcW w:w="851" w:type="dxa"/>
            <w:tcBorders>
              <w:top w:val="single" w:color="auto" w:sz="4" w:space="0"/>
              <w:left w:val="single" w:color="auto" w:sz="4" w:space="0"/>
              <w:bottom w:val="single" w:color="auto" w:sz="4" w:space="0"/>
              <w:right w:val="single" w:color="auto" w:sz="4" w:space="0"/>
            </w:tcBorders>
            <w:noWrap w:val="0"/>
            <w:vAlign w:val="top"/>
          </w:tcPr>
          <w:p w14:paraId="3D449D49">
            <w:pPr>
              <w:widowControl/>
              <w:spacing w:line="360" w:lineRule="auto"/>
              <w:jc w:val="center"/>
              <w:rPr>
                <w:rFonts w:ascii="宋体" w:hAnsi="宋体" w:eastAsia="宋体"/>
                <w:color w:val="auto"/>
                <w:kern w:val="2"/>
                <w:sz w:val="21"/>
                <w:szCs w:val="21"/>
                <w:lang w:val="en-US" w:eastAsia="zh-CN" w:bidi="ar-SA"/>
              </w:rPr>
            </w:pPr>
          </w:p>
        </w:tc>
        <w:tc>
          <w:tcPr>
            <w:tcW w:w="992" w:type="dxa"/>
            <w:tcBorders>
              <w:top w:val="single" w:color="auto" w:sz="4" w:space="0"/>
              <w:left w:val="single" w:color="auto" w:sz="4" w:space="0"/>
              <w:bottom w:val="single" w:color="auto" w:sz="4" w:space="0"/>
              <w:right w:val="single" w:color="auto" w:sz="4" w:space="0"/>
            </w:tcBorders>
            <w:noWrap w:val="0"/>
            <w:vAlign w:val="top"/>
          </w:tcPr>
          <w:p w14:paraId="2691CCC8">
            <w:pPr>
              <w:widowControl/>
              <w:spacing w:line="360" w:lineRule="auto"/>
              <w:jc w:val="center"/>
              <w:rPr>
                <w:rFonts w:ascii="宋体" w:hAnsi="宋体" w:eastAsia="宋体"/>
                <w:color w:val="auto"/>
                <w:kern w:val="2"/>
                <w:sz w:val="21"/>
                <w:szCs w:val="21"/>
                <w:lang w:val="en-US" w:eastAsia="zh-CN" w:bidi="ar-SA"/>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2BD2FBAC">
            <w:pPr>
              <w:widowControl/>
              <w:spacing w:line="360" w:lineRule="auto"/>
              <w:jc w:val="center"/>
              <w:rPr>
                <w:rFonts w:ascii="宋体" w:hAnsi="宋体" w:eastAsia="宋体"/>
                <w:color w:val="auto"/>
                <w:kern w:val="2"/>
                <w:sz w:val="21"/>
                <w:szCs w:val="21"/>
                <w:lang w:val="en-US" w:eastAsia="zh-CN" w:bidi="ar-SA"/>
              </w:rPr>
            </w:pPr>
          </w:p>
        </w:tc>
        <w:tc>
          <w:tcPr>
            <w:tcW w:w="992" w:type="dxa"/>
            <w:tcBorders>
              <w:top w:val="single" w:color="auto" w:sz="4" w:space="0"/>
              <w:left w:val="single" w:color="auto" w:sz="4" w:space="0"/>
              <w:bottom w:val="single" w:color="auto" w:sz="4" w:space="0"/>
              <w:right w:val="single" w:color="auto" w:sz="4" w:space="0"/>
            </w:tcBorders>
            <w:noWrap w:val="0"/>
            <w:vAlign w:val="top"/>
          </w:tcPr>
          <w:p w14:paraId="254E44E5">
            <w:pPr>
              <w:widowControl/>
              <w:spacing w:line="360" w:lineRule="auto"/>
              <w:jc w:val="center"/>
              <w:rPr>
                <w:rFonts w:ascii="宋体" w:hAnsi="宋体" w:eastAsia="宋体"/>
                <w:color w:val="auto"/>
                <w:kern w:val="2"/>
                <w:sz w:val="21"/>
                <w:szCs w:val="21"/>
                <w:lang w:val="en-US" w:eastAsia="zh-CN" w:bidi="ar-SA"/>
              </w:rPr>
            </w:pPr>
          </w:p>
        </w:tc>
        <w:tc>
          <w:tcPr>
            <w:tcW w:w="992" w:type="dxa"/>
            <w:tcBorders>
              <w:top w:val="single" w:color="auto" w:sz="4" w:space="0"/>
              <w:left w:val="single" w:color="auto" w:sz="4" w:space="0"/>
              <w:bottom w:val="single" w:color="auto" w:sz="4" w:space="0"/>
              <w:right w:val="single" w:color="auto" w:sz="4" w:space="0"/>
            </w:tcBorders>
            <w:noWrap w:val="0"/>
            <w:vAlign w:val="top"/>
          </w:tcPr>
          <w:p w14:paraId="74DB33BA">
            <w:pPr>
              <w:widowControl/>
              <w:spacing w:line="360" w:lineRule="auto"/>
              <w:jc w:val="center"/>
              <w:rPr>
                <w:rFonts w:ascii="宋体" w:hAnsi="宋体" w:eastAsia="宋体"/>
                <w:color w:val="auto"/>
                <w:kern w:val="2"/>
                <w:sz w:val="21"/>
                <w:szCs w:val="21"/>
                <w:lang w:val="en-US" w:eastAsia="zh-CN" w:bidi="ar-SA"/>
              </w:rPr>
            </w:pPr>
          </w:p>
        </w:tc>
        <w:tc>
          <w:tcPr>
            <w:tcW w:w="851" w:type="dxa"/>
            <w:tcBorders>
              <w:top w:val="single" w:color="auto" w:sz="4" w:space="0"/>
              <w:left w:val="single" w:color="auto" w:sz="4" w:space="0"/>
              <w:bottom w:val="single" w:color="auto" w:sz="4" w:space="0"/>
            </w:tcBorders>
            <w:noWrap w:val="0"/>
            <w:vAlign w:val="top"/>
          </w:tcPr>
          <w:p w14:paraId="24C6AE58">
            <w:pPr>
              <w:widowControl/>
              <w:spacing w:line="360" w:lineRule="auto"/>
              <w:jc w:val="center"/>
              <w:rPr>
                <w:rFonts w:ascii="宋体" w:hAnsi="宋体" w:eastAsia="宋体"/>
                <w:color w:val="auto"/>
                <w:kern w:val="2"/>
                <w:sz w:val="21"/>
                <w:szCs w:val="21"/>
                <w:lang w:val="en-US" w:eastAsia="zh-CN" w:bidi="ar-SA"/>
              </w:rPr>
            </w:pPr>
          </w:p>
        </w:tc>
      </w:tr>
      <w:tr w14:paraId="5FC202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3" w:hRule="atLeast"/>
        </w:trPr>
        <w:tc>
          <w:tcPr>
            <w:tcW w:w="709" w:type="dxa"/>
            <w:tcBorders>
              <w:top w:val="single" w:color="auto" w:sz="4" w:space="0"/>
              <w:bottom w:val="single" w:color="auto" w:sz="4" w:space="0"/>
            </w:tcBorders>
            <w:noWrap w:val="0"/>
            <w:vAlign w:val="top"/>
          </w:tcPr>
          <w:p w14:paraId="0C1C2BC9">
            <w:pPr>
              <w:widowControl/>
              <w:spacing w:line="360" w:lineRule="auto"/>
              <w:jc w:val="center"/>
              <w:rPr>
                <w:rFonts w:ascii="宋体" w:hAnsi="宋体" w:eastAsia="宋体"/>
                <w:color w:val="auto"/>
                <w:kern w:val="2"/>
                <w:sz w:val="21"/>
                <w:szCs w:val="21"/>
                <w:lang w:val="en-US" w:eastAsia="zh-CN" w:bidi="ar-SA"/>
              </w:rPr>
            </w:pPr>
          </w:p>
        </w:tc>
        <w:tc>
          <w:tcPr>
            <w:tcW w:w="1276" w:type="dxa"/>
            <w:tcBorders>
              <w:top w:val="single" w:color="auto" w:sz="4" w:space="0"/>
              <w:bottom w:val="single" w:color="auto" w:sz="4" w:space="0"/>
              <w:right w:val="single" w:color="auto" w:sz="4" w:space="0"/>
            </w:tcBorders>
            <w:noWrap w:val="0"/>
            <w:vAlign w:val="top"/>
          </w:tcPr>
          <w:p w14:paraId="26DEF6C1">
            <w:pPr>
              <w:widowControl/>
              <w:spacing w:line="360" w:lineRule="auto"/>
              <w:jc w:val="center"/>
              <w:rPr>
                <w:rFonts w:ascii="宋体" w:hAnsi="宋体" w:eastAsia="宋体"/>
                <w:color w:val="auto"/>
                <w:kern w:val="2"/>
                <w:sz w:val="21"/>
                <w:szCs w:val="21"/>
                <w:lang w:val="en-US" w:eastAsia="zh-CN" w:bidi="ar-SA"/>
              </w:rPr>
            </w:pPr>
          </w:p>
        </w:tc>
        <w:tc>
          <w:tcPr>
            <w:tcW w:w="850" w:type="dxa"/>
            <w:tcBorders>
              <w:top w:val="single" w:color="auto" w:sz="4" w:space="0"/>
              <w:left w:val="single" w:color="auto" w:sz="4" w:space="0"/>
              <w:bottom w:val="single" w:color="auto" w:sz="4" w:space="0"/>
              <w:right w:val="single" w:color="auto" w:sz="4" w:space="0"/>
            </w:tcBorders>
            <w:noWrap w:val="0"/>
            <w:vAlign w:val="top"/>
          </w:tcPr>
          <w:p w14:paraId="2B58143E">
            <w:pPr>
              <w:widowControl/>
              <w:spacing w:line="360" w:lineRule="auto"/>
              <w:jc w:val="center"/>
              <w:rPr>
                <w:rFonts w:ascii="宋体" w:hAnsi="宋体" w:eastAsia="宋体"/>
                <w:color w:val="auto"/>
                <w:kern w:val="2"/>
                <w:sz w:val="21"/>
                <w:szCs w:val="21"/>
                <w:lang w:val="en-US" w:eastAsia="zh-CN" w:bidi="ar-SA"/>
              </w:rPr>
            </w:pPr>
          </w:p>
        </w:tc>
        <w:tc>
          <w:tcPr>
            <w:tcW w:w="851" w:type="dxa"/>
            <w:tcBorders>
              <w:top w:val="single" w:color="auto" w:sz="4" w:space="0"/>
              <w:left w:val="single" w:color="auto" w:sz="4" w:space="0"/>
              <w:bottom w:val="single" w:color="auto" w:sz="4" w:space="0"/>
              <w:right w:val="single" w:color="auto" w:sz="4" w:space="0"/>
            </w:tcBorders>
            <w:noWrap w:val="0"/>
            <w:vAlign w:val="top"/>
          </w:tcPr>
          <w:p w14:paraId="628C5EEF">
            <w:pPr>
              <w:widowControl/>
              <w:spacing w:line="360" w:lineRule="auto"/>
              <w:jc w:val="center"/>
              <w:rPr>
                <w:rFonts w:ascii="宋体" w:hAnsi="宋体" w:eastAsia="宋体"/>
                <w:color w:val="auto"/>
                <w:kern w:val="2"/>
                <w:sz w:val="21"/>
                <w:szCs w:val="21"/>
                <w:lang w:val="en-US" w:eastAsia="zh-CN" w:bidi="ar-SA"/>
              </w:rPr>
            </w:pPr>
          </w:p>
        </w:tc>
        <w:tc>
          <w:tcPr>
            <w:tcW w:w="992" w:type="dxa"/>
            <w:tcBorders>
              <w:top w:val="single" w:color="auto" w:sz="4" w:space="0"/>
              <w:left w:val="single" w:color="auto" w:sz="4" w:space="0"/>
              <w:bottom w:val="single" w:color="auto" w:sz="4" w:space="0"/>
              <w:right w:val="single" w:color="auto" w:sz="4" w:space="0"/>
            </w:tcBorders>
            <w:noWrap w:val="0"/>
            <w:vAlign w:val="top"/>
          </w:tcPr>
          <w:p w14:paraId="1C8A5759">
            <w:pPr>
              <w:widowControl/>
              <w:spacing w:line="360" w:lineRule="auto"/>
              <w:jc w:val="center"/>
              <w:rPr>
                <w:rFonts w:ascii="宋体" w:hAnsi="宋体" w:eastAsia="宋体"/>
                <w:color w:val="auto"/>
                <w:kern w:val="2"/>
                <w:sz w:val="21"/>
                <w:szCs w:val="21"/>
                <w:lang w:val="en-US" w:eastAsia="zh-CN" w:bidi="ar-SA"/>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38F78A34">
            <w:pPr>
              <w:widowControl/>
              <w:spacing w:line="360" w:lineRule="auto"/>
              <w:jc w:val="center"/>
              <w:rPr>
                <w:rFonts w:ascii="宋体" w:hAnsi="宋体" w:eastAsia="宋体"/>
                <w:color w:val="auto"/>
                <w:kern w:val="2"/>
                <w:sz w:val="21"/>
                <w:szCs w:val="21"/>
                <w:lang w:val="en-US" w:eastAsia="zh-CN" w:bidi="ar-SA"/>
              </w:rPr>
            </w:pPr>
          </w:p>
        </w:tc>
        <w:tc>
          <w:tcPr>
            <w:tcW w:w="992" w:type="dxa"/>
            <w:tcBorders>
              <w:top w:val="single" w:color="auto" w:sz="4" w:space="0"/>
              <w:left w:val="single" w:color="auto" w:sz="4" w:space="0"/>
              <w:bottom w:val="single" w:color="auto" w:sz="4" w:space="0"/>
              <w:right w:val="single" w:color="auto" w:sz="4" w:space="0"/>
            </w:tcBorders>
            <w:noWrap w:val="0"/>
            <w:vAlign w:val="top"/>
          </w:tcPr>
          <w:p w14:paraId="464E3AC1">
            <w:pPr>
              <w:widowControl/>
              <w:spacing w:line="360" w:lineRule="auto"/>
              <w:jc w:val="center"/>
              <w:rPr>
                <w:rFonts w:ascii="宋体" w:hAnsi="宋体" w:eastAsia="宋体"/>
                <w:color w:val="auto"/>
                <w:kern w:val="2"/>
                <w:sz w:val="21"/>
                <w:szCs w:val="21"/>
                <w:lang w:val="en-US" w:eastAsia="zh-CN" w:bidi="ar-SA"/>
              </w:rPr>
            </w:pPr>
          </w:p>
        </w:tc>
        <w:tc>
          <w:tcPr>
            <w:tcW w:w="992" w:type="dxa"/>
            <w:tcBorders>
              <w:top w:val="single" w:color="auto" w:sz="4" w:space="0"/>
              <w:left w:val="single" w:color="auto" w:sz="4" w:space="0"/>
              <w:bottom w:val="single" w:color="auto" w:sz="4" w:space="0"/>
              <w:right w:val="single" w:color="auto" w:sz="4" w:space="0"/>
            </w:tcBorders>
            <w:noWrap w:val="0"/>
            <w:vAlign w:val="top"/>
          </w:tcPr>
          <w:p w14:paraId="084FC860">
            <w:pPr>
              <w:widowControl/>
              <w:spacing w:line="360" w:lineRule="auto"/>
              <w:jc w:val="center"/>
              <w:rPr>
                <w:rFonts w:ascii="宋体" w:hAnsi="宋体" w:eastAsia="宋体"/>
                <w:color w:val="auto"/>
                <w:kern w:val="2"/>
                <w:sz w:val="21"/>
                <w:szCs w:val="21"/>
                <w:lang w:val="en-US" w:eastAsia="zh-CN" w:bidi="ar-SA"/>
              </w:rPr>
            </w:pPr>
          </w:p>
        </w:tc>
        <w:tc>
          <w:tcPr>
            <w:tcW w:w="851" w:type="dxa"/>
            <w:tcBorders>
              <w:top w:val="single" w:color="auto" w:sz="4" w:space="0"/>
              <w:left w:val="single" w:color="auto" w:sz="4" w:space="0"/>
              <w:bottom w:val="single" w:color="auto" w:sz="4" w:space="0"/>
            </w:tcBorders>
            <w:noWrap w:val="0"/>
            <w:vAlign w:val="top"/>
          </w:tcPr>
          <w:p w14:paraId="6EA40D14">
            <w:pPr>
              <w:widowControl/>
              <w:spacing w:line="360" w:lineRule="auto"/>
              <w:jc w:val="center"/>
              <w:rPr>
                <w:rFonts w:ascii="宋体" w:hAnsi="宋体" w:eastAsia="宋体"/>
                <w:color w:val="auto"/>
                <w:kern w:val="2"/>
                <w:sz w:val="21"/>
                <w:szCs w:val="21"/>
                <w:lang w:val="en-US" w:eastAsia="zh-CN" w:bidi="ar-SA"/>
              </w:rPr>
            </w:pPr>
          </w:p>
        </w:tc>
      </w:tr>
      <w:tr w14:paraId="40E45D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8" w:hRule="atLeast"/>
        </w:trPr>
        <w:tc>
          <w:tcPr>
            <w:tcW w:w="709" w:type="dxa"/>
            <w:tcBorders>
              <w:top w:val="single" w:color="auto" w:sz="4" w:space="0"/>
              <w:bottom w:val="single" w:color="auto" w:sz="4" w:space="0"/>
            </w:tcBorders>
            <w:noWrap w:val="0"/>
            <w:vAlign w:val="top"/>
          </w:tcPr>
          <w:p w14:paraId="07F48228">
            <w:pPr>
              <w:widowControl/>
              <w:spacing w:line="360" w:lineRule="auto"/>
              <w:jc w:val="center"/>
              <w:rPr>
                <w:rFonts w:ascii="宋体" w:hAnsi="宋体" w:eastAsia="宋体"/>
                <w:color w:val="auto"/>
                <w:kern w:val="2"/>
                <w:sz w:val="21"/>
                <w:szCs w:val="21"/>
                <w:lang w:val="en-US" w:eastAsia="zh-CN" w:bidi="ar-SA"/>
              </w:rPr>
            </w:pPr>
          </w:p>
        </w:tc>
        <w:tc>
          <w:tcPr>
            <w:tcW w:w="1276" w:type="dxa"/>
            <w:tcBorders>
              <w:top w:val="single" w:color="auto" w:sz="4" w:space="0"/>
              <w:bottom w:val="single" w:color="auto" w:sz="4" w:space="0"/>
              <w:right w:val="single" w:color="auto" w:sz="4" w:space="0"/>
            </w:tcBorders>
            <w:noWrap w:val="0"/>
            <w:vAlign w:val="top"/>
          </w:tcPr>
          <w:p w14:paraId="6EE0805D">
            <w:pPr>
              <w:widowControl/>
              <w:spacing w:line="360" w:lineRule="auto"/>
              <w:jc w:val="center"/>
              <w:rPr>
                <w:rFonts w:ascii="宋体" w:hAnsi="宋体" w:eastAsia="宋体"/>
                <w:color w:val="auto"/>
                <w:kern w:val="2"/>
                <w:sz w:val="21"/>
                <w:szCs w:val="21"/>
                <w:lang w:val="en-US" w:eastAsia="zh-CN" w:bidi="ar-SA"/>
              </w:rPr>
            </w:pPr>
          </w:p>
        </w:tc>
        <w:tc>
          <w:tcPr>
            <w:tcW w:w="850" w:type="dxa"/>
            <w:tcBorders>
              <w:top w:val="single" w:color="auto" w:sz="4" w:space="0"/>
              <w:left w:val="single" w:color="auto" w:sz="4" w:space="0"/>
              <w:bottom w:val="single" w:color="auto" w:sz="4" w:space="0"/>
              <w:right w:val="single" w:color="auto" w:sz="4" w:space="0"/>
            </w:tcBorders>
            <w:noWrap w:val="0"/>
            <w:vAlign w:val="top"/>
          </w:tcPr>
          <w:p w14:paraId="0BA7E2B5">
            <w:pPr>
              <w:widowControl/>
              <w:spacing w:line="360" w:lineRule="auto"/>
              <w:jc w:val="center"/>
              <w:rPr>
                <w:rFonts w:ascii="宋体" w:hAnsi="宋体" w:eastAsia="宋体"/>
                <w:color w:val="auto"/>
                <w:kern w:val="2"/>
                <w:sz w:val="21"/>
                <w:szCs w:val="21"/>
                <w:lang w:val="en-US" w:eastAsia="zh-CN" w:bidi="ar-SA"/>
              </w:rPr>
            </w:pPr>
          </w:p>
        </w:tc>
        <w:tc>
          <w:tcPr>
            <w:tcW w:w="851" w:type="dxa"/>
            <w:tcBorders>
              <w:top w:val="single" w:color="auto" w:sz="4" w:space="0"/>
              <w:left w:val="single" w:color="auto" w:sz="4" w:space="0"/>
              <w:bottom w:val="single" w:color="auto" w:sz="4" w:space="0"/>
              <w:right w:val="single" w:color="auto" w:sz="4" w:space="0"/>
            </w:tcBorders>
            <w:noWrap w:val="0"/>
            <w:vAlign w:val="top"/>
          </w:tcPr>
          <w:p w14:paraId="7E1D4A7A">
            <w:pPr>
              <w:widowControl/>
              <w:spacing w:line="360" w:lineRule="auto"/>
              <w:jc w:val="center"/>
              <w:rPr>
                <w:rFonts w:ascii="宋体" w:hAnsi="宋体" w:eastAsia="宋体"/>
                <w:color w:val="auto"/>
                <w:kern w:val="2"/>
                <w:sz w:val="21"/>
                <w:szCs w:val="21"/>
                <w:lang w:val="en-US" w:eastAsia="zh-CN" w:bidi="ar-SA"/>
              </w:rPr>
            </w:pPr>
          </w:p>
        </w:tc>
        <w:tc>
          <w:tcPr>
            <w:tcW w:w="992" w:type="dxa"/>
            <w:tcBorders>
              <w:top w:val="single" w:color="auto" w:sz="4" w:space="0"/>
              <w:left w:val="single" w:color="auto" w:sz="4" w:space="0"/>
              <w:bottom w:val="single" w:color="auto" w:sz="4" w:space="0"/>
              <w:right w:val="single" w:color="auto" w:sz="4" w:space="0"/>
            </w:tcBorders>
            <w:noWrap w:val="0"/>
            <w:vAlign w:val="top"/>
          </w:tcPr>
          <w:p w14:paraId="57941D4A">
            <w:pPr>
              <w:widowControl/>
              <w:spacing w:line="360" w:lineRule="auto"/>
              <w:jc w:val="center"/>
              <w:rPr>
                <w:rFonts w:ascii="宋体" w:hAnsi="宋体" w:eastAsia="宋体"/>
                <w:color w:val="auto"/>
                <w:kern w:val="2"/>
                <w:sz w:val="21"/>
                <w:szCs w:val="21"/>
                <w:lang w:val="en-US" w:eastAsia="zh-CN" w:bidi="ar-SA"/>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1DFFFB50">
            <w:pPr>
              <w:widowControl/>
              <w:spacing w:line="360" w:lineRule="auto"/>
              <w:jc w:val="center"/>
              <w:rPr>
                <w:rFonts w:ascii="宋体" w:hAnsi="宋体" w:eastAsia="宋体"/>
                <w:color w:val="auto"/>
                <w:kern w:val="2"/>
                <w:sz w:val="21"/>
                <w:szCs w:val="21"/>
                <w:lang w:val="en-US" w:eastAsia="zh-CN" w:bidi="ar-SA"/>
              </w:rPr>
            </w:pPr>
          </w:p>
        </w:tc>
        <w:tc>
          <w:tcPr>
            <w:tcW w:w="992" w:type="dxa"/>
            <w:tcBorders>
              <w:top w:val="single" w:color="auto" w:sz="4" w:space="0"/>
              <w:left w:val="single" w:color="auto" w:sz="4" w:space="0"/>
              <w:bottom w:val="single" w:color="auto" w:sz="4" w:space="0"/>
              <w:right w:val="single" w:color="auto" w:sz="4" w:space="0"/>
            </w:tcBorders>
            <w:noWrap w:val="0"/>
            <w:vAlign w:val="top"/>
          </w:tcPr>
          <w:p w14:paraId="2BDA1147">
            <w:pPr>
              <w:widowControl/>
              <w:spacing w:line="360" w:lineRule="auto"/>
              <w:jc w:val="center"/>
              <w:rPr>
                <w:rFonts w:ascii="宋体" w:hAnsi="宋体" w:eastAsia="宋体"/>
                <w:color w:val="auto"/>
                <w:kern w:val="2"/>
                <w:sz w:val="21"/>
                <w:szCs w:val="21"/>
                <w:lang w:val="en-US" w:eastAsia="zh-CN" w:bidi="ar-SA"/>
              </w:rPr>
            </w:pPr>
          </w:p>
        </w:tc>
        <w:tc>
          <w:tcPr>
            <w:tcW w:w="992" w:type="dxa"/>
            <w:tcBorders>
              <w:top w:val="single" w:color="auto" w:sz="4" w:space="0"/>
              <w:left w:val="single" w:color="auto" w:sz="4" w:space="0"/>
              <w:bottom w:val="single" w:color="auto" w:sz="4" w:space="0"/>
              <w:right w:val="single" w:color="auto" w:sz="4" w:space="0"/>
            </w:tcBorders>
            <w:noWrap w:val="0"/>
            <w:vAlign w:val="top"/>
          </w:tcPr>
          <w:p w14:paraId="495C44C2">
            <w:pPr>
              <w:widowControl/>
              <w:spacing w:line="360" w:lineRule="auto"/>
              <w:jc w:val="center"/>
              <w:rPr>
                <w:rFonts w:ascii="宋体" w:hAnsi="宋体" w:eastAsia="宋体"/>
                <w:color w:val="auto"/>
                <w:kern w:val="2"/>
                <w:sz w:val="21"/>
                <w:szCs w:val="21"/>
                <w:lang w:val="en-US" w:eastAsia="zh-CN" w:bidi="ar-SA"/>
              </w:rPr>
            </w:pPr>
          </w:p>
        </w:tc>
        <w:tc>
          <w:tcPr>
            <w:tcW w:w="851" w:type="dxa"/>
            <w:tcBorders>
              <w:top w:val="single" w:color="auto" w:sz="4" w:space="0"/>
              <w:left w:val="single" w:color="auto" w:sz="4" w:space="0"/>
              <w:bottom w:val="single" w:color="auto" w:sz="4" w:space="0"/>
            </w:tcBorders>
            <w:noWrap w:val="0"/>
            <w:vAlign w:val="top"/>
          </w:tcPr>
          <w:p w14:paraId="508E5522">
            <w:pPr>
              <w:widowControl/>
              <w:spacing w:line="360" w:lineRule="auto"/>
              <w:jc w:val="center"/>
              <w:rPr>
                <w:rFonts w:ascii="宋体" w:hAnsi="宋体" w:eastAsia="宋体"/>
                <w:color w:val="auto"/>
                <w:kern w:val="2"/>
                <w:sz w:val="21"/>
                <w:szCs w:val="21"/>
                <w:lang w:val="en-US" w:eastAsia="zh-CN" w:bidi="ar-SA"/>
              </w:rPr>
            </w:pPr>
          </w:p>
        </w:tc>
      </w:tr>
      <w:tr w14:paraId="72FB6A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0" w:hRule="atLeast"/>
        </w:trPr>
        <w:tc>
          <w:tcPr>
            <w:tcW w:w="709" w:type="dxa"/>
            <w:tcBorders>
              <w:top w:val="single" w:color="auto" w:sz="4" w:space="0"/>
              <w:bottom w:val="single" w:color="auto" w:sz="4" w:space="0"/>
            </w:tcBorders>
            <w:noWrap w:val="0"/>
            <w:vAlign w:val="top"/>
          </w:tcPr>
          <w:p w14:paraId="2F27B3AE">
            <w:pPr>
              <w:widowControl/>
              <w:spacing w:line="360" w:lineRule="auto"/>
              <w:jc w:val="center"/>
              <w:rPr>
                <w:rFonts w:ascii="宋体" w:hAnsi="宋体" w:eastAsia="宋体"/>
                <w:color w:val="auto"/>
                <w:kern w:val="2"/>
                <w:sz w:val="21"/>
                <w:szCs w:val="21"/>
                <w:lang w:val="en-US" w:eastAsia="zh-CN" w:bidi="ar-SA"/>
              </w:rPr>
            </w:pPr>
          </w:p>
        </w:tc>
        <w:tc>
          <w:tcPr>
            <w:tcW w:w="1276" w:type="dxa"/>
            <w:tcBorders>
              <w:top w:val="single" w:color="auto" w:sz="4" w:space="0"/>
              <w:bottom w:val="single" w:color="auto" w:sz="4" w:space="0"/>
              <w:right w:val="single" w:color="auto" w:sz="4" w:space="0"/>
            </w:tcBorders>
            <w:noWrap w:val="0"/>
            <w:vAlign w:val="top"/>
          </w:tcPr>
          <w:p w14:paraId="1FE14AA1">
            <w:pPr>
              <w:widowControl/>
              <w:spacing w:line="360" w:lineRule="auto"/>
              <w:jc w:val="center"/>
              <w:rPr>
                <w:rFonts w:ascii="宋体" w:hAnsi="宋体" w:eastAsia="宋体"/>
                <w:color w:val="auto"/>
                <w:kern w:val="2"/>
                <w:sz w:val="21"/>
                <w:szCs w:val="21"/>
                <w:lang w:val="en-US" w:eastAsia="zh-CN" w:bidi="ar-SA"/>
              </w:rPr>
            </w:pPr>
          </w:p>
        </w:tc>
        <w:tc>
          <w:tcPr>
            <w:tcW w:w="850" w:type="dxa"/>
            <w:tcBorders>
              <w:top w:val="single" w:color="auto" w:sz="4" w:space="0"/>
              <w:left w:val="single" w:color="auto" w:sz="4" w:space="0"/>
              <w:bottom w:val="single" w:color="auto" w:sz="4" w:space="0"/>
              <w:right w:val="single" w:color="auto" w:sz="4" w:space="0"/>
            </w:tcBorders>
            <w:noWrap w:val="0"/>
            <w:vAlign w:val="top"/>
          </w:tcPr>
          <w:p w14:paraId="6D2BBAC9">
            <w:pPr>
              <w:widowControl/>
              <w:spacing w:line="360" w:lineRule="auto"/>
              <w:jc w:val="center"/>
              <w:rPr>
                <w:rFonts w:ascii="宋体" w:hAnsi="宋体" w:eastAsia="宋体"/>
                <w:color w:val="auto"/>
                <w:kern w:val="2"/>
                <w:sz w:val="21"/>
                <w:szCs w:val="21"/>
                <w:lang w:val="en-US" w:eastAsia="zh-CN" w:bidi="ar-SA"/>
              </w:rPr>
            </w:pPr>
          </w:p>
        </w:tc>
        <w:tc>
          <w:tcPr>
            <w:tcW w:w="851" w:type="dxa"/>
            <w:tcBorders>
              <w:top w:val="single" w:color="auto" w:sz="4" w:space="0"/>
              <w:left w:val="single" w:color="auto" w:sz="4" w:space="0"/>
              <w:bottom w:val="single" w:color="auto" w:sz="4" w:space="0"/>
              <w:right w:val="single" w:color="auto" w:sz="4" w:space="0"/>
            </w:tcBorders>
            <w:noWrap w:val="0"/>
            <w:vAlign w:val="top"/>
          </w:tcPr>
          <w:p w14:paraId="5CCB9C1E">
            <w:pPr>
              <w:widowControl/>
              <w:spacing w:line="360" w:lineRule="auto"/>
              <w:jc w:val="center"/>
              <w:rPr>
                <w:rFonts w:ascii="宋体" w:hAnsi="宋体" w:eastAsia="宋体"/>
                <w:color w:val="auto"/>
                <w:kern w:val="2"/>
                <w:sz w:val="21"/>
                <w:szCs w:val="21"/>
                <w:lang w:val="en-US" w:eastAsia="zh-CN" w:bidi="ar-SA"/>
              </w:rPr>
            </w:pPr>
          </w:p>
        </w:tc>
        <w:tc>
          <w:tcPr>
            <w:tcW w:w="992" w:type="dxa"/>
            <w:tcBorders>
              <w:top w:val="single" w:color="auto" w:sz="4" w:space="0"/>
              <w:left w:val="single" w:color="auto" w:sz="4" w:space="0"/>
              <w:bottom w:val="single" w:color="auto" w:sz="4" w:space="0"/>
              <w:right w:val="single" w:color="auto" w:sz="4" w:space="0"/>
            </w:tcBorders>
            <w:noWrap w:val="0"/>
            <w:vAlign w:val="top"/>
          </w:tcPr>
          <w:p w14:paraId="431D036F">
            <w:pPr>
              <w:widowControl/>
              <w:spacing w:line="360" w:lineRule="auto"/>
              <w:jc w:val="center"/>
              <w:rPr>
                <w:rFonts w:ascii="宋体" w:hAnsi="宋体" w:eastAsia="宋体"/>
                <w:color w:val="auto"/>
                <w:kern w:val="2"/>
                <w:sz w:val="21"/>
                <w:szCs w:val="21"/>
                <w:lang w:val="en-US" w:eastAsia="zh-CN" w:bidi="ar-SA"/>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68EE569C">
            <w:pPr>
              <w:widowControl/>
              <w:spacing w:line="360" w:lineRule="auto"/>
              <w:jc w:val="center"/>
              <w:rPr>
                <w:rFonts w:ascii="宋体" w:hAnsi="宋体" w:eastAsia="宋体"/>
                <w:color w:val="auto"/>
                <w:kern w:val="2"/>
                <w:sz w:val="21"/>
                <w:szCs w:val="21"/>
                <w:lang w:val="en-US" w:eastAsia="zh-CN" w:bidi="ar-SA"/>
              </w:rPr>
            </w:pPr>
          </w:p>
        </w:tc>
        <w:tc>
          <w:tcPr>
            <w:tcW w:w="992" w:type="dxa"/>
            <w:tcBorders>
              <w:top w:val="single" w:color="auto" w:sz="4" w:space="0"/>
              <w:left w:val="single" w:color="auto" w:sz="4" w:space="0"/>
              <w:bottom w:val="single" w:color="auto" w:sz="4" w:space="0"/>
              <w:right w:val="single" w:color="auto" w:sz="4" w:space="0"/>
            </w:tcBorders>
            <w:noWrap w:val="0"/>
            <w:vAlign w:val="top"/>
          </w:tcPr>
          <w:p w14:paraId="7D34D3AC">
            <w:pPr>
              <w:widowControl/>
              <w:spacing w:line="360" w:lineRule="auto"/>
              <w:jc w:val="center"/>
              <w:rPr>
                <w:rFonts w:ascii="宋体" w:hAnsi="宋体" w:eastAsia="宋体"/>
                <w:color w:val="auto"/>
                <w:kern w:val="2"/>
                <w:sz w:val="21"/>
                <w:szCs w:val="21"/>
                <w:lang w:val="en-US" w:eastAsia="zh-CN" w:bidi="ar-SA"/>
              </w:rPr>
            </w:pPr>
          </w:p>
        </w:tc>
        <w:tc>
          <w:tcPr>
            <w:tcW w:w="992" w:type="dxa"/>
            <w:tcBorders>
              <w:top w:val="single" w:color="auto" w:sz="4" w:space="0"/>
              <w:left w:val="single" w:color="auto" w:sz="4" w:space="0"/>
              <w:bottom w:val="single" w:color="auto" w:sz="4" w:space="0"/>
              <w:right w:val="single" w:color="auto" w:sz="4" w:space="0"/>
            </w:tcBorders>
            <w:noWrap w:val="0"/>
            <w:vAlign w:val="top"/>
          </w:tcPr>
          <w:p w14:paraId="71307B27">
            <w:pPr>
              <w:widowControl/>
              <w:spacing w:line="360" w:lineRule="auto"/>
              <w:jc w:val="center"/>
              <w:rPr>
                <w:rFonts w:ascii="宋体" w:hAnsi="宋体" w:eastAsia="宋体"/>
                <w:color w:val="auto"/>
                <w:kern w:val="2"/>
                <w:sz w:val="21"/>
                <w:szCs w:val="21"/>
                <w:lang w:val="en-US" w:eastAsia="zh-CN" w:bidi="ar-SA"/>
              </w:rPr>
            </w:pPr>
          </w:p>
        </w:tc>
        <w:tc>
          <w:tcPr>
            <w:tcW w:w="851" w:type="dxa"/>
            <w:tcBorders>
              <w:top w:val="single" w:color="auto" w:sz="4" w:space="0"/>
              <w:left w:val="single" w:color="auto" w:sz="4" w:space="0"/>
              <w:bottom w:val="single" w:color="auto" w:sz="4" w:space="0"/>
            </w:tcBorders>
            <w:noWrap w:val="0"/>
            <w:vAlign w:val="top"/>
          </w:tcPr>
          <w:p w14:paraId="2E9A4A4F">
            <w:pPr>
              <w:widowControl/>
              <w:spacing w:line="360" w:lineRule="auto"/>
              <w:jc w:val="center"/>
              <w:rPr>
                <w:rFonts w:ascii="宋体" w:hAnsi="宋体" w:eastAsia="宋体"/>
                <w:color w:val="auto"/>
                <w:kern w:val="2"/>
                <w:sz w:val="21"/>
                <w:szCs w:val="21"/>
                <w:lang w:val="en-US" w:eastAsia="zh-CN" w:bidi="ar-SA"/>
              </w:rPr>
            </w:pPr>
          </w:p>
        </w:tc>
      </w:tr>
      <w:tr w14:paraId="1DC984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3" w:hRule="atLeast"/>
        </w:trPr>
        <w:tc>
          <w:tcPr>
            <w:tcW w:w="709" w:type="dxa"/>
            <w:tcBorders>
              <w:top w:val="single" w:color="auto" w:sz="4" w:space="0"/>
              <w:bottom w:val="single" w:color="auto" w:sz="4" w:space="0"/>
            </w:tcBorders>
            <w:noWrap w:val="0"/>
            <w:vAlign w:val="top"/>
          </w:tcPr>
          <w:p w14:paraId="430FB406">
            <w:pPr>
              <w:widowControl/>
              <w:spacing w:line="360" w:lineRule="auto"/>
              <w:jc w:val="center"/>
              <w:rPr>
                <w:rFonts w:ascii="宋体" w:hAnsi="宋体" w:eastAsia="宋体"/>
                <w:color w:val="auto"/>
                <w:kern w:val="2"/>
                <w:sz w:val="21"/>
                <w:szCs w:val="21"/>
                <w:lang w:val="en-US" w:eastAsia="zh-CN" w:bidi="ar-SA"/>
              </w:rPr>
            </w:pPr>
          </w:p>
        </w:tc>
        <w:tc>
          <w:tcPr>
            <w:tcW w:w="1276" w:type="dxa"/>
            <w:tcBorders>
              <w:top w:val="single" w:color="auto" w:sz="4" w:space="0"/>
              <w:bottom w:val="single" w:color="auto" w:sz="4" w:space="0"/>
              <w:right w:val="single" w:color="auto" w:sz="4" w:space="0"/>
            </w:tcBorders>
            <w:noWrap w:val="0"/>
            <w:vAlign w:val="top"/>
          </w:tcPr>
          <w:p w14:paraId="261B8F24">
            <w:pPr>
              <w:widowControl/>
              <w:spacing w:line="360" w:lineRule="auto"/>
              <w:jc w:val="center"/>
              <w:rPr>
                <w:rFonts w:ascii="宋体" w:hAnsi="宋体" w:eastAsia="宋体"/>
                <w:color w:val="auto"/>
                <w:kern w:val="2"/>
                <w:sz w:val="21"/>
                <w:szCs w:val="21"/>
                <w:lang w:val="en-US" w:eastAsia="zh-CN" w:bidi="ar-SA"/>
              </w:rPr>
            </w:pPr>
          </w:p>
        </w:tc>
        <w:tc>
          <w:tcPr>
            <w:tcW w:w="850" w:type="dxa"/>
            <w:tcBorders>
              <w:top w:val="single" w:color="auto" w:sz="4" w:space="0"/>
              <w:left w:val="single" w:color="auto" w:sz="4" w:space="0"/>
              <w:bottom w:val="single" w:color="auto" w:sz="4" w:space="0"/>
              <w:right w:val="single" w:color="auto" w:sz="4" w:space="0"/>
            </w:tcBorders>
            <w:noWrap w:val="0"/>
            <w:vAlign w:val="top"/>
          </w:tcPr>
          <w:p w14:paraId="4939D865">
            <w:pPr>
              <w:widowControl/>
              <w:spacing w:line="360" w:lineRule="auto"/>
              <w:jc w:val="center"/>
              <w:rPr>
                <w:rFonts w:ascii="宋体" w:hAnsi="宋体" w:eastAsia="宋体"/>
                <w:color w:val="auto"/>
                <w:kern w:val="2"/>
                <w:sz w:val="21"/>
                <w:szCs w:val="21"/>
                <w:lang w:val="en-US" w:eastAsia="zh-CN" w:bidi="ar-SA"/>
              </w:rPr>
            </w:pPr>
          </w:p>
        </w:tc>
        <w:tc>
          <w:tcPr>
            <w:tcW w:w="851" w:type="dxa"/>
            <w:tcBorders>
              <w:top w:val="single" w:color="auto" w:sz="4" w:space="0"/>
              <w:left w:val="single" w:color="auto" w:sz="4" w:space="0"/>
              <w:bottom w:val="single" w:color="auto" w:sz="4" w:space="0"/>
              <w:right w:val="single" w:color="auto" w:sz="4" w:space="0"/>
            </w:tcBorders>
            <w:noWrap w:val="0"/>
            <w:vAlign w:val="top"/>
          </w:tcPr>
          <w:p w14:paraId="7DC0C8B2">
            <w:pPr>
              <w:widowControl/>
              <w:spacing w:line="360" w:lineRule="auto"/>
              <w:jc w:val="center"/>
              <w:rPr>
                <w:rFonts w:ascii="宋体" w:hAnsi="宋体" w:eastAsia="宋体"/>
                <w:color w:val="auto"/>
                <w:kern w:val="2"/>
                <w:sz w:val="21"/>
                <w:szCs w:val="21"/>
                <w:lang w:val="en-US" w:eastAsia="zh-CN" w:bidi="ar-SA"/>
              </w:rPr>
            </w:pPr>
          </w:p>
        </w:tc>
        <w:tc>
          <w:tcPr>
            <w:tcW w:w="992" w:type="dxa"/>
            <w:tcBorders>
              <w:top w:val="single" w:color="auto" w:sz="4" w:space="0"/>
              <w:left w:val="single" w:color="auto" w:sz="4" w:space="0"/>
              <w:bottom w:val="single" w:color="auto" w:sz="4" w:space="0"/>
              <w:right w:val="single" w:color="auto" w:sz="4" w:space="0"/>
            </w:tcBorders>
            <w:noWrap w:val="0"/>
            <w:vAlign w:val="top"/>
          </w:tcPr>
          <w:p w14:paraId="2DE9936F">
            <w:pPr>
              <w:widowControl/>
              <w:spacing w:line="360" w:lineRule="auto"/>
              <w:jc w:val="center"/>
              <w:rPr>
                <w:rFonts w:ascii="宋体" w:hAnsi="宋体" w:eastAsia="宋体"/>
                <w:color w:val="auto"/>
                <w:kern w:val="2"/>
                <w:sz w:val="21"/>
                <w:szCs w:val="21"/>
                <w:lang w:val="en-US" w:eastAsia="zh-CN" w:bidi="ar-SA"/>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04366082">
            <w:pPr>
              <w:widowControl/>
              <w:spacing w:line="360" w:lineRule="auto"/>
              <w:jc w:val="center"/>
              <w:rPr>
                <w:rFonts w:ascii="宋体" w:hAnsi="宋体" w:eastAsia="宋体"/>
                <w:color w:val="auto"/>
                <w:kern w:val="2"/>
                <w:sz w:val="21"/>
                <w:szCs w:val="21"/>
                <w:lang w:val="en-US" w:eastAsia="zh-CN" w:bidi="ar-SA"/>
              </w:rPr>
            </w:pPr>
          </w:p>
        </w:tc>
        <w:tc>
          <w:tcPr>
            <w:tcW w:w="992" w:type="dxa"/>
            <w:tcBorders>
              <w:top w:val="single" w:color="auto" w:sz="4" w:space="0"/>
              <w:left w:val="single" w:color="auto" w:sz="4" w:space="0"/>
              <w:bottom w:val="single" w:color="auto" w:sz="4" w:space="0"/>
              <w:right w:val="single" w:color="auto" w:sz="4" w:space="0"/>
            </w:tcBorders>
            <w:noWrap w:val="0"/>
            <w:vAlign w:val="top"/>
          </w:tcPr>
          <w:p w14:paraId="125253AF">
            <w:pPr>
              <w:widowControl/>
              <w:spacing w:line="360" w:lineRule="auto"/>
              <w:jc w:val="center"/>
              <w:rPr>
                <w:rFonts w:ascii="宋体" w:hAnsi="宋体" w:eastAsia="宋体"/>
                <w:color w:val="auto"/>
                <w:kern w:val="2"/>
                <w:sz w:val="21"/>
                <w:szCs w:val="21"/>
                <w:lang w:val="en-US" w:eastAsia="zh-CN" w:bidi="ar-SA"/>
              </w:rPr>
            </w:pPr>
          </w:p>
        </w:tc>
        <w:tc>
          <w:tcPr>
            <w:tcW w:w="992" w:type="dxa"/>
            <w:tcBorders>
              <w:top w:val="single" w:color="auto" w:sz="4" w:space="0"/>
              <w:left w:val="single" w:color="auto" w:sz="4" w:space="0"/>
              <w:bottom w:val="single" w:color="auto" w:sz="4" w:space="0"/>
              <w:right w:val="single" w:color="auto" w:sz="4" w:space="0"/>
            </w:tcBorders>
            <w:noWrap w:val="0"/>
            <w:vAlign w:val="top"/>
          </w:tcPr>
          <w:p w14:paraId="46F35E24">
            <w:pPr>
              <w:widowControl/>
              <w:spacing w:line="360" w:lineRule="auto"/>
              <w:jc w:val="center"/>
              <w:rPr>
                <w:rFonts w:ascii="宋体" w:hAnsi="宋体" w:eastAsia="宋体"/>
                <w:color w:val="auto"/>
                <w:kern w:val="2"/>
                <w:sz w:val="21"/>
                <w:szCs w:val="21"/>
                <w:lang w:val="en-US" w:eastAsia="zh-CN" w:bidi="ar-SA"/>
              </w:rPr>
            </w:pPr>
          </w:p>
        </w:tc>
        <w:tc>
          <w:tcPr>
            <w:tcW w:w="851" w:type="dxa"/>
            <w:tcBorders>
              <w:top w:val="single" w:color="auto" w:sz="4" w:space="0"/>
              <w:left w:val="single" w:color="auto" w:sz="4" w:space="0"/>
              <w:bottom w:val="single" w:color="auto" w:sz="4" w:space="0"/>
            </w:tcBorders>
            <w:noWrap w:val="0"/>
            <w:vAlign w:val="top"/>
          </w:tcPr>
          <w:p w14:paraId="0C57BC6B">
            <w:pPr>
              <w:widowControl/>
              <w:spacing w:line="360" w:lineRule="auto"/>
              <w:jc w:val="center"/>
              <w:rPr>
                <w:rFonts w:ascii="宋体" w:hAnsi="宋体" w:eastAsia="宋体"/>
                <w:color w:val="auto"/>
                <w:kern w:val="2"/>
                <w:sz w:val="21"/>
                <w:szCs w:val="21"/>
                <w:lang w:val="en-US" w:eastAsia="zh-CN" w:bidi="ar-SA"/>
              </w:rPr>
            </w:pPr>
          </w:p>
        </w:tc>
      </w:tr>
      <w:tr w14:paraId="0CD114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0" w:hRule="atLeast"/>
        </w:trPr>
        <w:tc>
          <w:tcPr>
            <w:tcW w:w="709" w:type="dxa"/>
            <w:tcBorders>
              <w:top w:val="single" w:color="auto" w:sz="4" w:space="0"/>
            </w:tcBorders>
            <w:noWrap w:val="0"/>
            <w:vAlign w:val="top"/>
          </w:tcPr>
          <w:p w14:paraId="41E2EA90">
            <w:pPr>
              <w:widowControl/>
              <w:spacing w:line="360" w:lineRule="auto"/>
              <w:jc w:val="center"/>
              <w:rPr>
                <w:rFonts w:ascii="宋体" w:hAnsi="宋体" w:eastAsia="宋体"/>
                <w:color w:val="auto"/>
                <w:kern w:val="2"/>
                <w:sz w:val="21"/>
                <w:szCs w:val="21"/>
                <w:lang w:val="en-US" w:eastAsia="zh-CN" w:bidi="ar-SA"/>
              </w:rPr>
            </w:pPr>
          </w:p>
        </w:tc>
        <w:tc>
          <w:tcPr>
            <w:tcW w:w="1276" w:type="dxa"/>
            <w:tcBorders>
              <w:top w:val="single" w:color="auto" w:sz="4" w:space="0"/>
              <w:right w:val="single" w:color="auto" w:sz="4" w:space="0"/>
            </w:tcBorders>
            <w:noWrap w:val="0"/>
            <w:vAlign w:val="top"/>
          </w:tcPr>
          <w:p w14:paraId="6297C9A8">
            <w:pPr>
              <w:widowControl/>
              <w:spacing w:line="360" w:lineRule="auto"/>
              <w:jc w:val="center"/>
              <w:rPr>
                <w:rFonts w:ascii="宋体" w:hAnsi="宋体" w:eastAsia="宋体"/>
                <w:color w:val="auto"/>
                <w:kern w:val="2"/>
                <w:sz w:val="21"/>
                <w:szCs w:val="21"/>
                <w:lang w:val="en-US" w:eastAsia="zh-CN" w:bidi="ar-SA"/>
              </w:rPr>
            </w:pPr>
          </w:p>
        </w:tc>
        <w:tc>
          <w:tcPr>
            <w:tcW w:w="850" w:type="dxa"/>
            <w:tcBorders>
              <w:top w:val="single" w:color="auto" w:sz="4" w:space="0"/>
              <w:left w:val="single" w:color="auto" w:sz="4" w:space="0"/>
              <w:right w:val="single" w:color="auto" w:sz="4" w:space="0"/>
            </w:tcBorders>
            <w:noWrap w:val="0"/>
            <w:vAlign w:val="top"/>
          </w:tcPr>
          <w:p w14:paraId="4600A816">
            <w:pPr>
              <w:widowControl/>
              <w:spacing w:line="360" w:lineRule="auto"/>
              <w:jc w:val="center"/>
              <w:rPr>
                <w:rFonts w:ascii="宋体" w:hAnsi="宋体" w:eastAsia="宋体"/>
                <w:color w:val="auto"/>
                <w:kern w:val="2"/>
                <w:sz w:val="21"/>
                <w:szCs w:val="21"/>
                <w:lang w:val="en-US" w:eastAsia="zh-CN" w:bidi="ar-SA"/>
              </w:rPr>
            </w:pPr>
          </w:p>
        </w:tc>
        <w:tc>
          <w:tcPr>
            <w:tcW w:w="851" w:type="dxa"/>
            <w:tcBorders>
              <w:top w:val="single" w:color="auto" w:sz="4" w:space="0"/>
              <w:left w:val="single" w:color="auto" w:sz="4" w:space="0"/>
              <w:right w:val="single" w:color="auto" w:sz="4" w:space="0"/>
            </w:tcBorders>
            <w:noWrap w:val="0"/>
            <w:vAlign w:val="top"/>
          </w:tcPr>
          <w:p w14:paraId="1FB1F896">
            <w:pPr>
              <w:widowControl/>
              <w:spacing w:line="360" w:lineRule="auto"/>
              <w:jc w:val="center"/>
              <w:rPr>
                <w:rFonts w:ascii="宋体" w:hAnsi="宋体" w:eastAsia="宋体"/>
                <w:color w:val="auto"/>
                <w:kern w:val="2"/>
                <w:sz w:val="21"/>
                <w:szCs w:val="21"/>
                <w:lang w:val="en-US" w:eastAsia="zh-CN" w:bidi="ar-SA"/>
              </w:rPr>
            </w:pPr>
          </w:p>
        </w:tc>
        <w:tc>
          <w:tcPr>
            <w:tcW w:w="992" w:type="dxa"/>
            <w:tcBorders>
              <w:top w:val="single" w:color="auto" w:sz="4" w:space="0"/>
              <w:left w:val="single" w:color="auto" w:sz="4" w:space="0"/>
              <w:right w:val="single" w:color="auto" w:sz="4" w:space="0"/>
            </w:tcBorders>
            <w:noWrap w:val="0"/>
            <w:vAlign w:val="top"/>
          </w:tcPr>
          <w:p w14:paraId="5462C034">
            <w:pPr>
              <w:widowControl/>
              <w:spacing w:line="360" w:lineRule="auto"/>
              <w:jc w:val="center"/>
              <w:rPr>
                <w:rFonts w:ascii="宋体" w:hAnsi="宋体" w:eastAsia="宋体"/>
                <w:color w:val="auto"/>
                <w:kern w:val="2"/>
                <w:sz w:val="21"/>
                <w:szCs w:val="21"/>
                <w:lang w:val="en-US" w:eastAsia="zh-CN" w:bidi="ar-SA"/>
              </w:rPr>
            </w:pPr>
          </w:p>
        </w:tc>
        <w:tc>
          <w:tcPr>
            <w:tcW w:w="1276" w:type="dxa"/>
            <w:tcBorders>
              <w:top w:val="single" w:color="auto" w:sz="4" w:space="0"/>
              <w:left w:val="single" w:color="auto" w:sz="4" w:space="0"/>
              <w:right w:val="single" w:color="auto" w:sz="4" w:space="0"/>
            </w:tcBorders>
            <w:noWrap w:val="0"/>
            <w:vAlign w:val="top"/>
          </w:tcPr>
          <w:p w14:paraId="1F918DF2">
            <w:pPr>
              <w:widowControl/>
              <w:spacing w:line="360" w:lineRule="auto"/>
              <w:jc w:val="center"/>
              <w:rPr>
                <w:rFonts w:ascii="宋体" w:hAnsi="宋体" w:eastAsia="宋体"/>
                <w:color w:val="auto"/>
                <w:kern w:val="2"/>
                <w:sz w:val="21"/>
                <w:szCs w:val="21"/>
                <w:lang w:val="en-US" w:eastAsia="zh-CN" w:bidi="ar-SA"/>
              </w:rPr>
            </w:pPr>
          </w:p>
        </w:tc>
        <w:tc>
          <w:tcPr>
            <w:tcW w:w="992" w:type="dxa"/>
            <w:tcBorders>
              <w:top w:val="single" w:color="auto" w:sz="4" w:space="0"/>
              <w:left w:val="single" w:color="auto" w:sz="4" w:space="0"/>
              <w:right w:val="single" w:color="auto" w:sz="4" w:space="0"/>
            </w:tcBorders>
            <w:noWrap w:val="0"/>
            <w:vAlign w:val="top"/>
          </w:tcPr>
          <w:p w14:paraId="56617C13">
            <w:pPr>
              <w:widowControl/>
              <w:spacing w:line="360" w:lineRule="auto"/>
              <w:jc w:val="center"/>
              <w:rPr>
                <w:rFonts w:ascii="宋体" w:hAnsi="宋体" w:eastAsia="宋体"/>
                <w:color w:val="auto"/>
                <w:kern w:val="2"/>
                <w:sz w:val="21"/>
                <w:szCs w:val="21"/>
                <w:lang w:val="en-US" w:eastAsia="zh-CN" w:bidi="ar-SA"/>
              </w:rPr>
            </w:pPr>
          </w:p>
        </w:tc>
        <w:tc>
          <w:tcPr>
            <w:tcW w:w="992" w:type="dxa"/>
            <w:tcBorders>
              <w:top w:val="single" w:color="auto" w:sz="4" w:space="0"/>
              <w:left w:val="single" w:color="auto" w:sz="4" w:space="0"/>
              <w:right w:val="single" w:color="auto" w:sz="4" w:space="0"/>
            </w:tcBorders>
            <w:noWrap w:val="0"/>
            <w:vAlign w:val="top"/>
          </w:tcPr>
          <w:p w14:paraId="6B1A5B91">
            <w:pPr>
              <w:widowControl/>
              <w:spacing w:line="360" w:lineRule="auto"/>
              <w:jc w:val="center"/>
              <w:rPr>
                <w:rFonts w:ascii="宋体" w:hAnsi="宋体" w:eastAsia="宋体"/>
                <w:color w:val="auto"/>
                <w:kern w:val="2"/>
                <w:sz w:val="21"/>
                <w:szCs w:val="21"/>
                <w:lang w:val="en-US" w:eastAsia="zh-CN" w:bidi="ar-SA"/>
              </w:rPr>
            </w:pPr>
          </w:p>
        </w:tc>
        <w:tc>
          <w:tcPr>
            <w:tcW w:w="851" w:type="dxa"/>
            <w:tcBorders>
              <w:top w:val="single" w:color="auto" w:sz="4" w:space="0"/>
              <w:left w:val="single" w:color="auto" w:sz="4" w:space="0"/>
            </w:tcBorders>
            <w:noWrap w:val="0"/>
            <w:vAlign w:val="top"/>
          </w:tcPr>
          <w:p w14:paraId="5C64A59C">
            <w:pPr>
              <w:widowControl/>
              <w:spacing w:line="360" w:lineRule="auto"/>
              <w:jc w:val="center"/>
              <w:rPr>
                <w:rFonts w:ascii="宋体" w:hAnsi="宋体" w:eastAsia="宋体"/>
                <w:color w:val="auto"/>
                <w:kern w:val="2"/>
                <w:sz w:val="21"/>
                <w:szCs w:val="21"/>
                <w:lang w:val="en-US" w:eastAsia="zh-CN" w:bidi="ar-SA"/>
              </w:rPr>
            </w:pPr>
          </w:p>
        </w:tc>
      </w:tr>
      <w:tr w14:paraId="42878E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9" w:type="dxa"/>
            <w:noWrap w:val="0"/>
            <w:vAlign w:val="top"/>
          </w:tcPr>
          <w:p w14:paraId="76B4602F">
            <w:pPr>
              <w:widowControl/>
              <w:spacing w:line="360" w:lineRule="auto"/>
              <w:jc w:val="center"/>
              <w:rPr>
                <w:rFonts w:ascii="宋体" w:hAnsi="宋体" w:eastAsia="宋体"/>
                <w:color w:val="auto"/>
                <w:kern w:val="2"/>
                <w:sz w:val="21"/>
                <w:szCs w:val="21"/>
                <w:lang w:val="en-US" w:eastAsia="zh-CN" w:bidi="ar-SA"/>
              </w:rPr>
            </w:pPr>
          </w:p>
        </w:tc>
        <w:tc>
          <w:tcPr>
            <w:tcW w:w="1276" w:type="dxa"/>
            <w:tcBorders>
              <w:right w:val="single" w:color="auto" w:sz="4" w:space="0"/>
            </w:tcBorders>
            <w:noWrap w:val="0"/>
            <w:vAlign w:val="top"/>
          </w:tcPr>
          <w:p w14:paraId="5E6BB200">
            <w:pPr>
              <w:widowControl/>
              <w:spacing w:line="360" w:lineRule="auto"/>
              <w:jc w:val="center"/>
              <w:rPr>
                <w:rFonts w:ascii="宋体" w:hAnsi="宋体" w:eastAsia="宋体"/>
                <w:color w:val="auto"/>
                <w:kern w:val="2"/>
                <w:sz w:val="21"/>
                <w:szCs w:val="21"/>
                <w:lang w:val="en-US" w:eastAsia="zh-CN" w:bidi="ar-SA"/>
              </w:rPr>
            </w:pPr>
          </w:p>
        </w:tc>
        <w:tc>
          <w:tcPr>
            <w:tcW w:w="850" w:type="dxa"/>
            <w:tcBorders>
              <w:left w:val="single" w:color="auto" w:sz="4" w:space="0"/>
              <w:right w:val="single" w:color="auto" w:sz="4" w:space="0"/>
            </w:tcBorders>
            <w:noWrap w:val="0"/>
            <w:vAlign w:val="top"/>
          </w:tcPr>
          <w:p w14:paraId="3DB09504">
            <w:pPr>
              <w:widowControl/>
              <w:spacing w:line="360" w:lineRule="auto"/>
              <w:jc w:val="center"/>
              <w:rPr>
                <w:rFonts w:ascii="宋体" w:hAnsi="宋体" w:eastAsia="宋体"/>
                <w:color w:val="auto"/>
                <w:kern w:val="2"/>
                <w:sz w:val="21"/>
                <w:szCs w:val="21"/>
                <w:lang w:val="en-US" w:eastAsia="zh-CN" w:bidi="ar-SA"/>
              </w:rPr>
            </w:pPr>
          </w:p>
        </w:tc>
        <w:tc>
          <w:tcPr>
            <w:tcW w:w="851" w:type="dxa"/>
            <w:tcBorders>
              <w:left w:val="single" w:color="auto" w:sz="4" w:space="0"/>
              <w:right w:val="single" w:color="auto" w:sz="4" w:space="0"/>
            </w:tcBorders>
            <w:noWrap w:val="0"/>
            <w:vAlign w:val="top"/>
          </w:tcPr>
          <w:p w14:paraId="6BBF8D9A">
            <w:pPr>
              <w:widowControl/>
              <w:spacing w:line="360" w:lineRule="auto"/>
              <w:jc w:val="center"/>
              <w:rPr>
                <w:rFonts w:ascii="宋体" w:hAnsi="宋体" w:eastAsia="宋体"/>
                <w:color w:val="auto"/>
                <w:kern w:val="2"/>
                <w:sz w:val="21"/>
                <w:szCs w:val="21"/>
                <w:lang w:val="en-US" w:eastAsia="zh-CN" w:bidi="ar-SA"/>
              </w:rPr>
            </w:pPr>
          </w:p>
        </w:tc>
        <w:tc>
          <w:tcPr>
            <w:tcW w:w="992" w:type="dxa"/>
            <w:tcBorders>
              <w:left w:val="single" w:color="auto" w:sz="4" w:space="0"/>
              <w:right w:val="single" w:color="auto" w:sz="4" w:space="0"/>
            </w:tcBorders>
            <w:noWrap w:val="0"/>
            <w:vAlign w:val="top"/>
          </w:tcPr>
          <w:p w14:paraId="0AAC25BC">
            <w:pPr>
              <w:widowControl/>
              <w:spacing w:line="360" w:lineRule="auto"/>
              <w:jc w:val="center"/>
              <w:rPr>
                <w:rFonts w:ascii="宋体" w:hAnsi="宋体" w:eastAsia="宋体"/>
                <w:color w:val="auto"/>
                <w:kern w:val="2"/>
                <w:sz w:val="21"/>
                <w:szCs w:val="21"/>
                <w:lang w:val="en-US" w:eastAsia="zh-CN" w:bidi="ar-SA"/>
              </w:rPr>
            </w:pPr>
          </w:p>
        </w:tc>
        <w:tc>
          <w:tcPr>
            <w:tcW w:w="1276" w:type="dxa"/>
            <w:tcBorders>
              <w:left w:val="single" w:color="auto" w:sz="4" w:space="0"/>
              <w:right w:val="single" w:color="auto" w:sz="4" w:space="0"/>
            </w:tcBorders>
            <w:noWrap w:val="0"/>
            <w:vAlign w:val="top"/>
          </w:tcPr>
          <w:p w14:paraId="7EDE663B">
            <w:pPr>
              <w:widowControl/>
              <w:spacing w:line="360" w:lineRule="auto"/>
              <w:jc w:val="center"/>
              <w:rPr>
                <w:rFonts w:ascii="宋体" w:hAnsi="宋体" w:eastAsia="宋体"/>
                <w:color w:val="auto"/>
                <w:kern w:val="2"/>
                <w:sz w:val="21"/>
                <w:szCs w:val="21"/>
                <w:lang w:val="en-US" w:eastAsia="zh-CN" w:bidi="ar-SA"/>
              </w:rPr>
            </w:pPr>
          </w:p>
        </w:tc>
        <w:tc>
          <w:tcPr>
            <w:tcW w:w="992" w:type="dxa"/>
            <w:tcBorders>
              <w:left w:val="single" w:color="auto" w:sz="4" w:space="0"/>
              <w:right w:val="single" w:color="auto" w:sz="4" w:space="0"/>
            </w:tcBorders>
            <w:noWrap w:val="0"/>
            <w:vAlign w:val="top"/>
          </w:tcPr>
          <w:p w14:paraId="71C46676">
            <w:pPr>
              <w:widowControl/>
              <w:spacing w:line="360" w:lineRule="auto"/>
              <w:jc w:val="center"/>
              <w:rPr>
                <w:rFonts w:ascii="宋体" w:hAnsi="宋体" w:eastAsia="宋体"/>
                <w:color w:val="auto"/>
                <w:kern w:val="2"/>
                <w:sz w:val="21"/>
                <w:szCs w:val="21"/>
                <w:lang w:val="en-US" w:eastAsia="zh-CN" w:bidi="ar-SA"/>
              </w:rPr>
            </w:pPr>
          </w:p>
        </w:tc>
        <w:tc>
          <w:tcPr>
            <w:tcW w:w="992" w:type="dxa"/>
            <w:tcBorders>
              <w:left w:val="single" w:color="auto" w:sz="4" w:space="0"/>
              <w:right w:val="single" w:color="auto" w:sz="4" w:space="0"/>
            </w:tcBorders>
            <w:noWrap w:val="0"/>
            <w:vAlign w:val="top"/>
          </w:tcPr>
          <w:p w14:paraId="6AFAF0C3">
            <w:pPr>
              <w:widowControl/>
              <w:spacing w:line="360" w:lineRule="auto"/>
              <w:jc w:val="center"/>
              <w:rPr>
                <w:rFonts w:ascii="宋体" w:hAnsi="宋体" w:eastAsia="宋体"/>
                <w:color w:val="auto"/>
                <w:kern w:val="2"/>
                <w:sz w:val="21"/>
                <w:szCs w:val="21"/>
                <w:lang w:val="en-US" w:eastAsia="zh-CN" w:bidi="ar-SA"/>
              </w:rPr>
            </w:pPr>
          </w:p>
        </w:tc>
        <w:tc>
          <w:tcPr>
            <w:tcW w:w="851" w:type="dxa"/>
            <w:tcBorders>
              <w:left w:val="single" w:color="auto" w:sz="4" w:space="0"/>
            </w:tcBorders>
            <w:noWrap w:val="0"/>
            <w:vAlign w:val="top"/>
          </w:tcPr>
          <w:p w14:paraId="27E4017D">
            <w:pPr>
              <w:widowControl/>
              <w:spacing w:line="360" w:lineRule="auto"/>
              <w:jc w:val="center"/>
              <w:rPr>
                <w:rFonts w:ascii="宋体" w:hAnsi="宋体" w:eastAsia="宋体"/>
                <w:color w:val="auto"/>
                <w:kern w:val="2"/>
                <w:sz w:val="21"/>
                <w:szCs w:val="21"/>
                <w:lang w:val="en-US" w:eastAsia="zh-CN" w:bidi="ar-SA"/>
              </w:rPr>
            </w:pPr>
          </w:p>
        </w:tc>
      </w:tr>
    </w:tbl>
    <w:p w14:paraId="20CCB687">
      <w:pPr>
        <w:rPr>
          <w:rFonts w:hint="eastAsia" w:ascii="宋体" w:hAnsi="宋体" w:eastAsia="宋体" w:cs="宋体"/>
          <w:color w:val="auto"/>
          <w:sz w:val="28"/>
          <w:szCs w:val="28"/>
        </w:rPr>
      </w:pPr>
      <w:r>
        <w:rPr>
          <w:rFonts w:hint="eastAsia" w:ascii="宋体" w:hAnsi="宋体" w:eastAsia="宋体" w:cs="宋体"/>
          <w:color w:val="auto"/>
          <w:sz w:val="28"/>
          <w:szCs w:val="28"/>
        </w:rPr>
        <w:br w:type="page"/>
      </w:r>
    </w:p>
    <w:p w14:paraId="75118AFF">
      <w:pPr>
        <w:pStyle w:val="11"/>
        <w:jc w:val="left"/>
        <w:rPr>
          <w:rFonts w:hint="eastAsia" w:cs="Arial"/>
          <w:b/>
          <w:bCs/>
          <w:color w:val="auto"/>
          <w:kern w:val="2"/>
          <w:sz w:val="24"/>
          <w:szCs w:val="24"/>
          <w:highlight w:val="white"/>
          <w:lang w:val="en-US" w:eastAsia="zh-CN" w:bidi="ar-SA"/>
        </w:rPr>
      </w:pPr>
      <w:r>
        <w:rPr>
          <w:rFonts w:hint="eastAsia" w:ascii="Calibri" w:hAnsi="Calibri" w:eastAsia="宋体" w:cs="Arial"/>
          <w:b/>
          <w:bCs/>
          <w:color w:val="auto"/>
          <w:kern w:val="2"/>
          <w:sz w:val="24"/>
          <w:szCs w:val="24"/>
          <w:highlight w:val="white"/>
          <w:lang w:val="en-US" w:eastAsia="zh-CN" w:bidi="ar-SA"/>
        </w:rPr>
        <w:t>附件二</w:t>
      </w:r>
      <w:r>
        <w:rPr>
          <w:rFonts w:hint="eastAsia" w:cs="Arial"/>
          <w:b/>
          <w:bCs/>
          <w:color w:val="auto"/>
          <w:kern w:val="2"/>
          <w:sz w:val="24"/>
          <w:szCs w:val="24"/>
          <w:highlight w:val="white"/>
          <w:lang w:val="en-US" w:eastAsia="zh-CN" w:bidi="ar-SA"/>
        </w:rPr>
        <w:t xml:space="preserve"> 合同条款及格式</w:t>
      </w:r>
    </w:p>
    <w:p w14:paraId="44D46312">
      <w:pPr>
        <w:rPr>
          <w:color w:val="auto"/>
          <w:sz w:val="24"/>
          <w:szCs w:val="24"/>
          <w:highlight w:val="red"/>
        </w:rPr>
      </w:pPr>
    </w:p>
    <w:p w14:paraId="3BCC2E7D">
      <w:pPr>
        <w:keepNext/>
        <w:keepLines/>
        <w:adjustRightInd w:val="0"/>
        <w:snapToGrid w:val="0"/>
        <w:spacing w:before="260" w:after="260" w:line="520" w:lineRule="exact"/>
        <w:jc w:val="center"/>
        <w:outlineLvl w:val="1"/>
        <w:rPr>
          <w:rFonts w:ascii="Cambria" w:hAnsi="Cambria"/>
          <w:b/>
          <w:bCs/>
          <w:color w:val="auto"/>
          <w:sz w:val="24"/>
          <w:szCs w:val="24"/>
        </w:rPr>
      </w:pPr>
      <w:r>
        <w:rPr>
          <w:rFonts w:hint="eastAsia" w:ascii="Cambria" w:hAnsi="Cambria"/>
          <w:b/>
          <w:bCs/>
          <w:color w:val="auto"/>
          <w:sz w:val="24"/>
          <w:szCs w:val="24"/>
        </w:rPr>
        <w:t>第一节 通用合同条款</w:t>
      </w:r>
    </w:p>
    <w:p w14:paraId="7E075750">
      <w:pPr>
        <w:widowControl/>
        <w:shd w:val="clear" w:color="auto" w:fill="FFFFFF"/>
        <w:snapToGrid w:val="0"/>
        <w:spacing w:line="520" w:lineRule="exact"/>
        <w:ind w:firstLine="480" w:firstLineChars="200"/>
        <w:jc w:val="left"/>
        <w:rPr>
          <w:rFonts w:ascii="宋体" w:hAnsi="宋体"/>
          <w:color w:val="auto"/>
          <w:sz w:val="24"/>
          <w:szCs w:val="24"/>
        </w:rPr>
      </w:pPr>
    </w:p>
    <w:p w14:paraId="6BB1A528">
      <w:pPr>
        <w:widowControl/>
        <w:shd w:val="clear" w:color="auto" w:fill="FFFFFF"/>
        <w:adjustRightInd w:val="0"/>
        <w:snapToGrid w:val="0"/>
        <w:spacing w:line="520" w:lineRule="exact"/>
        <w:ind w:firstLine="482" w:firstLineChars="200"/>
        <w:jc w:val="left"/>
        <w:rPr>
          <w:rFonts w:ascii="宋体" w:hAnsi="宋体"/>
          <w:b/>
          <w:color w:val="auto"/>
          <w:sz w:val="24"/>
          <w:szCs w:val="24"/>
        </w:rPr>
      </w:pPr>
      <w:r>
        <w:rPr>
          <w:rFonts w:hint="eastAsia" w:ascii="宋体" w:hAnsi="宋体"/>
          <w:b/>
          <w:color w:val="auto"/>
          <w:sz w:val="24"/>
          <w:szCs w:val="24"/>
        </w:rPr>
        <w:t>【注：本通用合同条款引用中华人民共和国《标准监理招标文件》（2017版）通用合同条款。】</w:t>
      </w:r>
    </w:p>
    <w:p w14:paraId="45D63390">
      <w:pPr>
        <w:rPr>
          <w:rFonts w:hint="default" w:ascii="Calibri" w:hAnsi="Calibri" w:eastAsia="宋体" w:cs="Arial"/>
          <w:b/>
          <w:bCs/>
          <w:color w:val="auto"/>
          <w:kern w:val="2"/>
          <w:sz w:val="24"/>
          <w:szCs w:val="24"/>
          <w:highlight w:val="white"/>
          <w:lang w:val="en-US" w:eastAsia="zh-CN" w:bidi="ar-SA"/>
        </w:rPr>
      </w:pPr>
      <w:r>
        <w:rPr>
          <w:rFonts w:hint="default" w:ascii="Calibri" w:hAnsi="Calibri" w:eastAsia="宋体" w:cs="Arial"/>
          <w:b/>
          <w:bCs/>
          <w:color w:val="auto"/>
          <w:kern w:val="2"/>
          <w:sz w:val="24"/>
          <w:szCs w:val="24"/>
          <w:highlight w:val="white"/>
          <w:lang w:val="en-US" w:eastAsia="zh-CN" w:bidi="ar-SA"/>
        </w:rPr>
        <w:br w:type="page"/>
      </w:r>
    </w:p>
    <w:p w14:paraId="387FD45D">
      <w:pPr>
        <w:keepNext/>
        <w:keepLines/>
        <w:spacing w:line="520" w:lineRule="exact"/>
        <w:jc w:val="center"/>
        <w:outlineLvl w:val="1"/>
        <w:rPr>
          <w:rFonts w:ascii="Cambria" w:hAnsi="Cambria"/>
          <w:b/>
          <w:bCs/>
          <w:color w:val="auto"/>
          <w:sz w:val="36"/>
          <w:szCs w:val="36"/>
        </w:rPr>
      </w:pPr>
      <w:bookmarkStart w:id="6" w:name="_Toc256000102"/>
      <w:r>
        <w:rPr>
          <w:rFonts w:hint="eastAsia" w:ascii="Cambria" w:hAnsi="Cambria"/>
          <w:b/>
          <w:bCs/>
          <w:color w:val="auto"/>
          <w:sz w:val="36"/>
          <w:szCs w:val="36"/>
        </w:rPr>
        <w:t>第二节 专用合同条款</w:t>
      </w:r>
      <w:bookmarkEnd w:id="6"/>
    </w:p>
    <w:p w14:paraId="07D0E8B8">
      <w:pPr>
        <w:widowControl/>
        <w:shd w:val="clear" w:color="auto" w:fill="FFFFFF"/>
        <w:snapToGrid w:val="0"/>
        <w:spacing w:line="520" w:lineRule="exact"/>
        <w:ind w:firstLine="422" w:firstLineChars="200"/>
        <w:jc w:val="left"/>
        <w:rPr>
          <w:rFonts w:ascii="宋体" w:hAnsi="宋体"/>
          <w:b/>
          <w:color w:val="auto"/>
          <w:szCs w:val="21"/>
        </w:rPr>
      </w:pPr>
    </w:p>
    <w:p w14:paraId="15125675">
      <w:pPr>
        <w:widowControl/>
        <w:shd w:val="clear" w:color="auto" w:fill="FFFFFF"/>
        <w:snapToGrid w:val="0"/>
        <w:spacing w:line="520" w:lineRule="exact"/>
        <w:ind w:firstLine="482" w:firstLineChars="200"/>
        <w:jc w:val="left"/>
        <w:rPr>
          <w:rFonts w:hint="eastAsia" w:asciiTheme="majorEastAsia" w:hAnsiTheme="majorEastAsia" w:eastAsiaTheme="majorEastAsia" w:cstheme="majorEastAsia"/>
          <w:b/>
          <w:color w:val="auto"/>
          <w:sz w:val="24"/>
          <w:szCs w:val="24"/>
        </w:rPr>
      </w:pPr>
      <w:r>
        <w:rPr>
          <w:rFonts w:hint="eastAsia" w:asciiTheme="majorEastAsia" w:hAnsiTheme="majorEastAsia" w:eastAsiaTheme="majorEastAsia" w:cstheme="majorEastAsia"/>
          <w:b/>
          <w:color w:val="auto"/>
          <w:sz w:val="24"/>
          <w:szCs w:val="24"/>
        </w:rPr>
        <w:t>【注：专用合同条款是补充、细化通用合同条款款号相同或当需要时增加新的条款，除通用合同条款明确规定可以作出不同约定外，专用合同条款补充和细化的内容不得与通用合同条款相抵触，不得违反法律、行政法规的强制性规定，以及平等、自愿、公平和诚实信用原则。】</w:t>
      </w:r>
    </w:p>
    <w:p w14:paraId="209891A4">
      <w:pPr>
        <w:widowControl/>
        <w:shd w:val="clear" w:color="auto" w:fill="FFFFFF"/>
        <w:snapToGrid w:val="0"/>
        <w:ind w:firstLine="482" w:firstLineChars="200"/>
        <w:jc w:val="left"/>
        <w:rPr>
          <w:rFonts w:hint="eastAsia" w:asciiTheme="majorEastAsia" w:hAnsiTheme="majorEastAsia" w:eastAsiaTheme="majorEastAsia" w:cstheme="majorEastAsia"/>
          <w:b/>
          <w:color w:val="auto"/>
          <w:sz w:val="24"/>
          <w:szCs w:val="24"/>
        </w:rPr>
      </w:pPr>
      <w:r>
        <w:rPr>
          <w:rFonts w:hint="eastAsia" w:asciiTheme="majorEastAsia" w:hAnsiTheme="majorEastAsia" w:eastAsiaTheme="majorEastAsia" w:cstheme="majorEastAsia"/>
          <w:b/>
          <w:color w:val="auto"/>
          <w:sz w:val="24"/>
          <w:szCs w:val="24"/>
        </w:rPr>
        <w:t>本招标项目专用合同条款如下：</w:t>
      </w:r>
    </w:p>
    <w:p w14:paraId="34132EBF">
      <w:pPr>
        <w:keepNext/>
        <w:keepLines/>
        <w:spacing w:line="360" w:lineRule="auto"/>
        <w:outlineLvl w:val="3"/>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1.6 文件的提供和照管</w:t>
      </w:r>
    </w:p>
    <w:p w14:paraId="7E6FCD0B">
      <w:pPr>
        <w:widowControl/>
        <w:shd w:val="clear" w:color="auto" w:fill="FFFFFF"/>
        <w:snapToGrid w:val="0"/>
        <w:spacing w:line="360" w:lineRule="auto"/>
        <w:ind w:firstLine="482" w:firstLineChars="200"/>
        <w:jc w:val="left"/>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1.6.2 委托人提供的文件</w:t>
      </w:r>
    </w:p>
    <w:tbl>
      <w:tblPr>
        <w:tblStyle w:val="1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36"/>
        <w:gridCol w:w="1686"/>
        <w:gridCol w:w="865"/>
        <w:gridCol w:w="1476"/>
        <w:gridCol w:w="1866"/>
        <w:gridCol w:w="2556"/>
      </w:tblGrid>
      <w:tr w14:paraId="72085F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36" w:type="dxa"/>
            <w:tcBorders>
              <w:top w:val="single" w:color="000000" w:sz="4" w:space="0"/>
              <w:left w:val="single" w:color="000000" w:sz="4" w:space="0"/>
              <w:bottom w:val="single" w:color="000000" w:sz="4" w:space="0"/>
              <w:right w:val="single" w:color="000000" w:sz="4" w:space="0"/>
            </w:tcBorders>
            <w:noWrap w:val="0"/>
            <w:vAlign w:val="center"/>
          </w:tcPr>
          <w:p w14:paraId="4A4352E5">
            <w:pPr>
              <w:widowControl/>
              <w:shd w:val="clear" w:color="auto" w:fill="FFFFFF"/>
              <w:snapToGrid w:val="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序号</w:t>
            </w:r>
          </w:p>
        </w:tc>
        <w:tc>
          <w:tcPr>
            <w:tcW w:w="1686" w:type="dxa"/>
            <w:tcBorders>
              <w:top w:val="single" w:color="000000" w:sz="4" w:space="0"/>
              <w:left w:val="single" w:color="000000" w:sz="4" w:space="0"/>
              <w:bottom w:val="single" w:color="000000" w:sz="4" w:space="0"/>
              <w:right w:val="single" w:color="000000" w:sz="4" w:space="0"/>
            </w:tcBorders>
            <w:noWrap w:val="0"/>
            <w:vAlign w:val="center"/>
          </w:tcPr>
          <w:p w14:paraId="2FE07C03">
            <w:pPr>
              <w:widowControl/>
              <w:shd w:val="clear" w:color="auto" w:fill="FFFFFF"/>
              <w:snapToGrid w:val="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资料名称</w:t>
            </w:r>
          </w:p>
        </w:tc>
        <w:tc>
          <w:tcPr>
            <w:tcW w:w="865" w:type="dxa"/>
            <w:tcBorders>
              <w:top w:val="single" w:color="000000" w:sz="4" w:space="0"/>
              <w:left w:val="single" w:color="000000" w:sz="4" w:space="0"/>
              <w:bottom w:val="single" w:color="000000" w:sz="4" w:space="0"/>
              <w:right w:val="single" w:color="000000" w:sz="4" w:space="0"/>
            </w:tcBorders>
            <w:noWrap w:val="0"/>
            <w:vAlign w:val="center"/>
          </w:tcPr>
          <w:p w14:paraId="1C9869C7">
            <w:pPr>
              <w:widowControl/>
              <w:shd w:val="clear" w:color="auto" w:fill="FFFFFF"/>
              <w:snapToGrid w:val="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份数</w:t>
            </w:r>
          </w:p>
        </w:tc>
        <w:tc>
          <w:tcPr>
            <w:tcW w:w="1476" w:type="dxa"/>
            <w:tcBorders>
              <w:top w:val="single" w:color="000000" w:sz="4" w:space="0"/>
              <w:left w:val="single" w:color="000000" w:sz="4" w:space="0"/>
              <w:bottom w:val="single" w:color="000000" w:sz="4" w:space="0"/>
              <w:right w:val="single" w:color="000000" w:sz="4" w:space="0"/>
            </w:tcBorders>
            <w:noWrap w:val="0"/>
            <w:vAlign w:val="center"/>
          </w:tcPr>
          <w:p w14:paraId="2D837F84">
            <w:pPr>
              <w:widowControl/>
              <w:shd w:val="clear" w:color="auto" w:fill="FFFFFF"/>
              <w:snapToGrid w:val="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提供时间</w:t>
            </w:r>
          </w:p>
        </w:tc>
        <w:tc>
          <w:tcPr>
            <w:tcW w:w="1866" w:type="dxa"/>
            <w:tcBorders>
              <w:top w:val="single" w:color="000000" w:sz="4" w:space="0"/>
              <w:left w:val="single" w:color="000000" w:sz="4" w:space="0"/>
              <w:bottom w:val="single" w:color="000000" w:sz="4" w:space="0"/>
              <w:right w:val="single" w:color="000000" w:sz="4" w:space="0"/>
            </w:tcBorders>
            <w:noWrap w:val="0"/>
            <w:vAlign w:val="center"/>
          </w:tcPr>
          <w:p w14:paraId="31CA3386">
            <w:pPr>
              <w:widowControl/>
              <w:shd w:val="clear" w:color="auto" w:fill="FFFFFF"/>
              <w:snapToGrid w:val="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收回时间</w:t>
            </w:r>
          </w:p>
        </w:tc>
        <w:tc>
          <w:tcPr>
            <w:tcW w:w="2556" w:type="dxa"/>
            <w:tcBorders>
              <w:top w:val="single" w:color="000000" w:sz="4" w:space="0"/>
              <w:left w:val="single" w:color="000000" w:sz="4" w:space="0"/>
              <w:bottom w:val="single" w:color="000000" w:sz="4" w:space="0"/>
              <w:right w:val="single" w:color="000000" w:sz="4" w:space="0"/>
            </w:tcBorders>
            <w:noWrap w:val="0"/>
            <w:vAlign w:val="center"/>
          </w:tcPr>
          <w:p w14:paraId="54009692">
            <w:pPr>
              <w:widowControl/>
              <w:shd w:val="clear" w:color="auto" w:fill="FFFFFF"/>
              <w:snapToGrid w:val="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保存和保密要求</w:t>
            </w:r>
          </w:p>
        </w:tc>
      </w:tr>
      <w:tr w14:paraId="06CC02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36" w:type="dxa"/>
            <w:tcBorders>
              <w:top w:val="single" w:color="000000" w:sz="4" w:space="0"/>
              <w:left w:val="single" w:color="000000" w:sz="4" w:space="0"/>
              <w:bottom w:val="single" w:color="000000" w:sz="4" w:space="0"/>
              <w:right w:val="single" w:color="000000" w:sz="4" w:space="0"/>
            </w:tcBorders>
            <w:noWrap w:val="0"/>
            <w:vAlign w:val="center"/>
          </w:tcPr>
          <w:p w14:paraId="02A860A4">
            <w:pPr>
              <w:widowControl/>
              <w:shd w:val="clear" w:color="auto" w:fill="FFFFFF"/>
              <w:snapToGrid w:val="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c>
          <w:tcPr>
            <w:tcW w:w="1686" w:type="dxa"/>
            <w:tcBorders>
              <w:top w:val="single" w:color="000000" w:sz="4" w:space="0"/>
              <w:left w:val="single" w:color="000000" w:sz="4" w:space="0"/>
              <w:bottom w:val="single" w:color="000000" w:sz="4" w:space="0"/>
              <w:right w:val="single" w:color="000000" w:sz="4" w:space="0"/>
            </w:tcBorders>
            <w:noWrap w:val="0"/>
            <w:vAlign w:val="center"/>
          </w:tcPr>
          <w:p w14:paraId="3F896471">
            <w:pPr>
              <w:widowControl/>
              <w:shd w:val="clear" w:color="auto" w:fill="FFFFFF"/>
              <w:snapToGrid w:val="0"/>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工程招投标文件</w:t>
            </w:r>
          </w:p>
        </w:tc>
        <w:tc>
          <w:tcPr>
            <w:tcW w:w="865" w:type="dxa"/>
            <w:tcBorders>
              <w:top w:val="single" w:color="000000" w:sz="4" w:space="0"/>
              <w:left w:val="single" w:color="000000" w:sz="4" w:space="0"/>
              <w:bottom w:val="single" w:color="000000" w:sz="4" w:space="0"/>
              <w:right w:val="single" w:color="000000" w:sz="4" w:space="0"/>
            </w:tcBorders>
            <w:noWrap w:val="0"/>
            <w:vAlign w:val="center"/>
          </w:tcPr>
          <w:p w14:paraId="6BA82FB0">
            <w:pPr>
              <w:widowControl/>
              <w:shd w:val="clear" w:color="auto" w:fill="FFFFFF"/>
              <w:snapToGrid w:val="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各1套</w:t>
            </w:r>
          </w:p>
        </w:tc>
        <w:tc>
          <w:tcPr>
            <w:tcW w:w="1476" w:type="dxa"/>
            <w:tcBorders>
              <w:top w:val="single" w:color="000000" w:sz="4" w:space="0"/>
              <w:left w:val="single" w:color="000000" w:sz="4" w:space="0"/>
              <w:bottom w:val="single" w:color="000000" w:sz="4" w:space="0"/>
              <w:right w:val="single" w:color="000000" w:sz="4" w:space="0"/>
            </w:tcBorders>
            <w:noWrap w:val="0"/>
            <w:vAlign w:val="center"/>
          </w:tcPr>
          <w:p w14:paraId="460A372C">
            <w:pPr>
              <w:widowControl/>
              <w:shd w:val="clear" w:color="auto" w:fill="FFFFFF"/>
              <w:snapToGrid w:val="0"/>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监理机构进场</w:t>
            </w:r>
          </w:p>
        </w:tc>
        <w:tc>
          <w:tcPr>
            <w:tcW w:w="1866" w:type="dxa"/>
            <w:tcBorders>
              <w:top w:val="single" w:color="000000" w:sz="4" w:space="0"/>
              <w:left w:val="single" w:color="000000" w:sz="4" w:space="0"/>
              <w:bottom w:val="single" w:color="000000" w:sz="4" w:space="0"/>
              <w:right w:val="single" w:color="000000" w:sz="4" w:space="0"/>
            </w:tcBorders>
            <w:noWrap w:val="0"/>
            <w:vAlign w:val="top"/>
          </w:tcPr>
          <w:p w14:paraId="70BAF617">
            <w:pPr>
              <w:widowControl/>
              <w:shd w:val="clear" w:color="auto" w:fill="FFFFFF"/>
              <w:snapToGrid w:val="0"/>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监理业务完成</w:t>
            </w:r>
          </w:p>
        </w:tc>
        <w:tc>
          <w:tcPr>
            <w:tcW w:w="2556" w:type="dxa"/>
            <w:vMerge w:val="restart"/>
            <w:tcBorders>
              <w:top w:val="nil"/>
              <w:left w:val="single" w:color="000000" w:sz="4" w:space="0"/>
              <w:bottom w:val="single" w:color="000000" w:sz="4" w:space="0"/>
              <w:right w:val="single" w:color="000000" w:sz="4" w:space="0"/>
            </w:tcBorders>
            <w:noWrap w:val="0"/>
            <w:vAlign w:val="center"/>
          </w:tcPr>
          <w:p w14:paraId="02812148">
            <w:pPr>
              <w:widowControl/>
              <w:shd w:val="clear" w:color="auto" w:fill="FFFFFF"/>
              <w:snapToGrid w:val="0"/>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未经委托人书面同意，不得向任意第三方披露该文件。</w:t>
            </w:r>
          </w:p>
        </w:tc>
      </w:tr>
      <w:tr w14:paraId="69DD14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36" w:type="dxa"/>
            <w:tcBorders>
              <w:top w:val="single" w:color="000000" w:sz="4" w:space="0"/>
              <w:left w:val="single" w:color="000000" w:sz="4" w:space="0"/>
              <w:bottom w:val="single" w:color="000000" w:sz="4" w:space="0"/>
              <w:right w:val="single" w:color="000000" w:sz="4" w:space="0"/>
            </w:tcBorders>
            <w:noWrap w:val="0"/>
            <w:vAlign w:val="center"/>
          </w:tcPr>
          <w:p w14:paraId="7A08D6DC">
            <w:pPr>
              <w:widowControl/>
              <w:shd w:val="clear" w:color="auto" w:fill="FFFFFF"/>
              <w:snapToGrid w:val="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w:t>
            </w:r>
          </w:p>
        </w:tc>
        <w:tc>
          <w:tcPr>
            <w:tcW w:w="1686" w:type="dxa"/>
            <w:tcBorders>
              <w:top w:val="single" w:color="000000" w:sz="4" w:space="0"/>
              <w:left w:val="single" w:color="000000" w:sz="4" w:space="0"/>
              <w:bottom w:val="single" w:color="000000" w:sz="4" w:space="0"/>
              <w:right w:val="single" w:color="000000" w:sz="4" w:space="0"/>
            </w:tcBorders>
            <w:noWrap w:val="0"/>
            <w:vAlign w:val="center"/>
          </w:tcPr>
          <w:p w14:paraId="4EF9A487">
            <w:pPr>
              <w:widowControl/>
              <w:shd w:val="clear" w:color="auto" w:fill="FFFFFF"/>
              <w:snapToGrid w:val="0"/>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工程施工合同</w:t>
            </w:r>
          </w:p>
        </w:tc>
        <w:tc>
          <w:tcPr>
            <w:tcW w:w="865" w:type="dxa"/>
            <w:tcBorders>
              <w:top w:val="single" w:color="000000" w:sz="4" w:space="0"/>
              <w:left w:val="single" w:color="000000" w:sz="4" w:space="0"/>
              <w:bottom w:val="single" w:color="000000" w:sz="4" w:space="0"/>
              <w:right w:val="single" w:color="000000" w:sz="4" w:space="0"/>
            </w:tcBorders>
            <w:noWrap w:val="0"/>
            <w:vAlign w:val="center"/>
          </w:tcPr>
          <w:p w14:paraId="08A876F1">
            <w:pPr>
              <w:widowControl/>
              <w:shd w:val="clear" w:color="auto" w:fill="FFFFFF"/>
              <w:snapToGrid w:val="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c>
          <w:tcPr>
            <w:tcW w:w="1476" w:type="dxa"/>
            <w:tcBorders>
              <w:top w:val="single" w:color="000000" w:sz="4" w:space="0"/>
              <w:left w:val="single" w:color="000000" w:sz="4" w:space="0"/>
              <w:bottom w:val="single" w:color="000000" w:sz="4" w:space="0"/>
              <w:right w:val="single" w:color="000000" w:sz="4" w:space="0"/>
            </w:tcBorders>
            <w:noWrap w:val="0"/>
            <w:vAlign w:val="center"/>
          </w:tcPr>
          <w:p w14:paraId="52C7E169">
            <w:pPr>
              <w:widowControl/>
              <w:shd w:val="clear" w:color="auto" w:fill="FFFFFF"/>
              <w:snapToGrid w:val="0"/>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监理机构进场</w:t>
            </w:r>
          </w:p>
        </w:tc>
        <w:tc>
          <w:tcPr>
            <w:tcW w:w="1866" w:type="dxa"/>
            <w:tcBorders>
              <w:top w:val="single" w:color="000000" w:sz="4" w:space="0"/>
              <w:left w:val="single" w:color="000000" w:sz="4" w:space="0"/>
              <w:bottom w:val="single" w:color="000000" w:sz="4" w:space="0"/>
              <w:right w:val="single" w:color="000000" w:sz="4" w:space="0"/>
            </w:tcBorders>
            <w:noWrap w:val="0"/>
            <w:vAlign w:val="top"/>
          </w:tcPr>
          <w:p w14:paraId="25BFD31D">
            <w:pPr>
              <w:widowControl/>
              <w:shd w:val="clear" w:color="auto" w:fill="FFFFFF"/>
              <w:snapToGrid w:val="0"/>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监理业务完成</w:t>
            </w:r>
          </w:p>
        </w:tc>
        <w:tc>
          <w:tcPr>
            <w:tcW w:w="2556" w:type="dxa"/>
            <w:vMerge w:val="continue"/>
            <w:tcBorders>
              <w:top w:val="nil"/>
              <w:left w:val="single" w:color="000000" w:sz="4" w:space="0"/>
              <w:bottom w:val="single" w:color="000000" w:sz="4" w:space="0"/>
              <w:right w:val="single" w:color="000000" w:sz="4" w:space="0"/>
            </w:tcBorders>
            <w:noWrap w:val="0"/>
            <w:vAlign w:val="center"/>
          </w:tcPr>
          <w:p w14:paraId="5396DAEA">
            <w:pPr>
              <w:widowControl/>
              <w:jc w:val="left"/>
              <w:rPr>
                <w:rFonts w:hint="eastAsia" w:asciiTheme="minorEastAsia" w:hAnsiTheme="minorEastAsia" w:eastAsiaTheme="minorEastAsia" w:cstheme="minorEastAsia"/>
                <w:color w:val="auto"/>
                <w:sz w:val="24"/>
                <w:szCs w:val="24"/>
              </w:rPr>
            </w:pPr>
          </w:p>
        </w:tc>
      </w:tr>
      <w:tr w14:paraId="6B1BFA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36" w:type="dxa"/>
            <w:tcBorders>
              <w:top w:val="single" w:color="000000" w:sz="4" w:space="0"/>
              <w:left w:val="single" w:color="000000" w:sz="4" w:space="0"/>
              <w:bottom w:val="single" w:color="000000" w:sz="4" w:space="0"/>
              <w:right w:val="single" w:color="000000" w:sz="4" w:space="0"/>
            </w:tcBorders>
            <w:noWrap w:val="0"/>
            <w:vAlign w:val="center"/>
          </w:tcPr>
          <w:p w14:paraId="7807A656">
            <w:pPr>
              <w:widowControl/>
              <w:shd w:val="clear" w:color="auto" w:fill="FFFFFF"/>
              <w:snapToGrid w:val="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w:t>
            </w:r>
          </w:p>
        </w:tc>
        <w:tc>
          <w:tcPr>
            <w:tcW w:w="1686" w:type="dxa"/>
            <w:tcBorders>
              <w:top w:val="single" w:color="000000" w:sz="4" w:space="0"/>
              <w:left w:val="single" w:color="000000" w:sz="4" w:space="0"/>
              <w:bottom w:val="single" w:color="000000" w:sz="4" w:space="0"/>
              <w:right w:val="single" w:color="000000" w:sz="4" w:space="0"/>
            </w:tcBorders>
            <w:noWrap w:val="0"/>
            <w:vAlign w:val="center"/>
          </w:tcPr>
          <w:p w14:paraId="1FDC587D">
            <w:pPr>
              <w:widowControl/>
              <w:shd w:val="clear" w:color="auto" w:fill="FFFFFF"/>
              <w:snapToGrid w:val="0"/>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工程施工设计图</w:t>
            </w:r>
          </w:p>
        </w:tc>
        <w:tc>
          <w:tcPr>
            <w:tcW w:w="865" w:type="dxa"/>
            <w:tcBorders>
              <w:top w:val="single" w:color="000000" w:sz="4" w:space="0"/>
              <w:left w:val="single" w:color="000000" w:sz="4" w:space="0"/>
              <w:bottom w:val="single" w:color="000000" w:sz="4" w:space="0"/>
              <w:right w:val="single" w:color="000000" w:sz="4" w:space="0"/>
            </w:tcBorders>
            <w:noWrap w:val="0"/>
            <w:vAlign w:val="center"/>
          </w:tcPr>
          <w:p w14:paraId="1AC2695E">
            <w:pPr>
              <w:widowControl/>
              <w:shd w:val="clear" w:color="auto" w:fill="FFFFFF"/>
              <w:snapToGrid w:val="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w:t>
            </w:r>
          </w:p>
        </w:tc>
        <w:tc>
          <w:tcPr>
            <w:tcW w:w="1476" w:type="dxa"/>
            <w:tcBorders>
              <w:top w:val="single" w:color="000000" w:sz="4" w:space="0"/>
              <w:left w:val="single" w:color="000000" w:sz="4" w:space="0"/>
              <w:bottom w:val="single" w:color="000000" w:sz="4" w:space="0"/>
              <w:right w:val="single" w:color="000000" w:sz="4" w:space="0"/>
            </w:tcBorders>
            <w:noWrap w:val="0"/>
            <w:vAlign w:val="center"/>
          </w:tcPr>
          <w:p w14:paraId="6FE1F8B0">
            <w:pPr>
              <w:widowControl/>
              <w:shd w:val="clear" w:color="auto" w:fill="FFFFFF"/>
              <w:snapToGrid w:val="0"/>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按进度</w:t>
            </w:r>
          </w:p>
        </w:tc>
        <w:tc>
          <w:tcPr>
            <w:tcW w:w="1866" w:type="dxa"/>
            <w:tcBorders>
              <w:top w:val="single" w:color="000000" w:sz="4" w:space="0"/>
              <w:left w:val="single" w:color="000000" w:sz="4" w:space="0"/>
              <w:bottom w:val="single" w:color="000000" w:sz="4" w:space="0"/>
              <w:right w:val="single" w:color="000000" w:sz="4" w:space="0"/>
            </w:tcBorders>
            <w:noWrap w:val="0"/>
            <w:vAlign w:val="top"/>
          </w:tcPr>
          <w:p w14:paraId="6CCD6475">
            <w:pPr>
              <w:widowControl/>
              <w:shd w:val="clear" w:color="auto" w:fill="FFFFFF"/>
              <w:snapToGrid w:val="0"/>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监理业务完成</w:t>
            </w:r>
          </w:p>
        </w:tc>
        <w:tc>
          <w:tcPr>
            <w:tcW w:w="2556" w:type="dxa"/>
            <w:vMerge w:val="continue"/>
            <w:tcBorders>
              <w:top w:val="nil"/>
              <w:left w:val="single" w:color="000000" w:sz="4" w:space="0"/>
              <w:bottom w:val="single" w:color="000000" w:sz="4" w:space="0"/>
              <w:right w:val="single" w:color="000000" w:sz="4" w:space="0"/>
            </w:tcBorders>
            <w:noWrap w:val="0"/>
            <w:vAlign w:val="center"/>
          </w:tcPr>
          <w:p w14:paraId="46FE40BC">
            <w:pPr>
              <w:widowControl/>
              <w:jc w:val="left"/>
              <w:rPr>
                <w:rFonts w:hint="eastAsia" w:asciiTheme="minorEastAsia" w:hAnsiTheme="minorEastAsia" w:eastAsiaTheme="minorEastAsia" w:cstheme="minorEastAsia"/>
                <w:color w:val="auto"/>
                <w:sz w:val="24"/>
                <w:szCs w:val="24"/>
              </w:rPr>
            </w:pPr>
          </w:p>
        </w:tc>
      </w:tr>
    </w:tbl>
    <w:p w14:paraId="082C277A">
      <w:pPr>
        <w:keepNext/>
        <w:keepLines/>
        <w:spacing w:line="360" w:lineRule="auto"/>
        <w:outlineLvl w:val="3"/>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1.12 委托人要求</w:t>
      </w:r>
    </w:p>
    <w:p w14:paraId="7152FB16">
      <w:pPr>
        <w:widowControl/>
        <w:shd w:val="clear" w:color="auto" w:fill="FFFFFF"/>
        <w:snapToGrid w:val="0"/>
        <w:spacing w:line="360" w:lineRule="auto"/>
        <w:ind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1.12.1 监理人应认真阅读、复核委托人要求，发现错误的，应及时书面通知委托人。无论是否存在错误，委托人均有权修改委托人要求，并在修改后3日内通知监理人。由此导致监理人费用增加和(或)周期延误的，委托人不会增加费用，但会相应延长周期。</w:t>
      </w:r>
    </w:p>
    <w:p w14:paraId="32E2126E">
      <w:pPr>
        <w:keepNext/>
        <w:keepLines/>
        <w:spacing w:line="360" w:lineRule="auto"/>
        <w:outlineLvl w:val="3"/>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2.2 发出开始监理通知</w:t>
      </w:r>
    </w:p>
    <w:p w14:paraId="556D79F3">
      <w:pPr>
        <w:widowControl/>
        <w:shd w:val="clear" w:color="auto" w:fill="FFFFFF"/>
        <w:snapToGrid w:val="0"/>
        <w:spacing w:line="360" w:lineRule="auto"/>
        <w:ind w:firstLine="600" w:firstLineChars="25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委托人不提供监理人的办公和生活用房，监理人的办公和住宿场所发生相关费用包含在监理报酬中。监理人员的生活、工作、交通、通讯设备等费用均应在监理报酬中，委托人不予任何补偿。</w:t>
      </w:r>
    </w:p>
    <w:p w14:paraId="08650724">
      <w:pPr>
        <w:keepNext/>
        <w:keepLines/>
        <w:spacing w:line="360" w:lineRule="auto"/>
        <w:outlineLvl w:val="3"/>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2.4支付合同价款</w:t>
      </w:r>
    </w:p>
    <w:p w14:paraId="3E621CEE">
      <w:pPr>
        <w:widowControl/>
        <w:spacing w:line="360" w:lineRule="auto"/>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一、付款方式：</w:t>
      </w:r>
    </w:p>
    <w:p w14:paraId="53F153EF">
      <w:pPr>
        <w:widowControl/>
        <w:spacing w:line="360" w:lineRule="auto"/>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工程开工当月开始支付监理费，即按监理人投标时所报价格计算，按完成并经委托人审核后的工程投资（总承包合同包含所有费用）支付相应比例的监理服务酬金的80%。如监理人未能按约定完成工作或存在其他违约行为，委托人有权拒付酬金，并</w:t>
      </w:r>
      <w:r>
        <w:rPr>
          <w:rFonts w:hint="eastAsia" w:asciiTheme="minorEastAsia" w:hAnsiTheme="minorEastAsia" w:eastAsiaTheme="minorEastAsia" w:cstheme="minorEastAsia"/>
          <w:color w:val="auto"/>
          <w:sz w:val="24"/>
          <w:szCs w:val="24"/>
          <w:lang w:val="en-US" w:eastAsia="zh-CN"/>
        </w:rPr>
        <w:t>主张违约责任</w:t>
      </w:r>
      <w:r>
        <w:rPr>
          <w:rFonts w:hint="eastAsia" w:asciiTheme="minorEastAsia" w:hAnsiTheme="minorEastAsia" w:eastAsiaTheme="minorEastAsia" w:cstheme="minorEastAsia"/>
          <w:color w:val="auto"/>
          <w:sz w:val="24"/>
          <w:szCs w:val="24"/>
        </w:rPr>
        <w:t>。</w:t>
      </w:r>
    </w:p>
    <w:p w14:paraId="10B24E3E">
      <w:pPr>
        <w:widowControl/>
        <w:spacing w:line="360" w:lineRule="auto"/>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在工程完工验收且监理档案整理完毕通过档案验收，并向委托人归档移交后，并经结算审核，在相关资料（审核单位出具的所监理工程结算审核报告、工程监理考核报告及工程延期的处理意见等）完备情况下，支付至实际监理报酬（按实调整）的97%，剩余款项于工程竣工验收合格完成后，30日内一次性支付完毕。</w:t>
      </w:r>
    </w:p>
    <w:p w14:paraId="6088F79E">
      <w:pPr>
        <w:widowControl/>
        <w:spacing w:line="360" w:lineRule="auto"/>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（3）委托人向监理人支付费用前，监理人应向委托人提供合法的符合合同约定定额的等额增值税专用发票，否则委托人有权拒绝支付，由此造成的损失监理人自行承担。</w:t>
      </w:r>
    </w:p>
    <w:p w14:paraId="7C7335A2">
      <w:pPr>
        <w:widowControl/>
        <w:shd w:val="clear" w:color="auto" w:fill="FFFFFF"/>
        <w:snapToGrid w:val="0"/>
        <w:spacing w:line="360" w:lineRule="auto"/>
        <w:ind w:firstLine="480" w:firstLineChars="200"/>
        <w:jc w:val="left"/>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color w:val="auto"/>
          <w:sz w:val="24"/>
          <w:szCs w:val="24"/>
        </w:rPr>
        <w:t>二、支付方式为：银行转账。</w:t>
      </w:r>
    </w:p>
    <w:p w14:paraId="52F1C5C9">
      <w:pPr>
        <w:keepNext/>
        <w:keepLines/>
        <w:spacing w:line="360" w:lineRule="auto"/>
        <w:outlineLvl w:val="2"/>
        <w:rPr>
          <w:rFonts w:hint="eastAsia" w:asciiTheme="minorEastAsia" w:hAnsiTheme="minorEastAsia" w:eastAsiaTheme="minorEastAsia" w:cstheme="minorEastAsia"/>
          <w:b/>
          <w:bCs/>
          <w:color w:val="auto"/>
          <w:sz w:val="24"/>
          <w:szCs w:val="24"/>
        </w:rPr>
      </w:pPr>
      <w:bookmarkStart w:id="7" w:name="_Toc256000178"/>
      <w:bookmarkStart w:id="8" w:name="_Toc256000124"/>
      <w:bookmarkStart w:id="9" w:name="_Toc256000151"/>
      <w:bookmarkStart w:id="10" w:name="_Toc19632"/>
      <w:bookmarkStart w:id="11" w:name="_Toc256000123"/>
      <w:bookmarkStart w:id="12" w:name="_Toc21194"/>
      <w:bookmarkStart w:id="13" w:name="_Toc256000105"/>
      <w:bookmarkStart w:id="14" w:name="_Toc256000204"/>
      <w:bookmarkStart w:id="15" w:name="_Toc256000150"/>
      <w:r>
        <w:rPr>
          <w:rFonts w:hint="eastAsia" w:asciiTheme="minorEastAsia" w:hAnsiTheme="minorEastAsia" w:eastAsiaTheme="minorEastAsia" w:cstheme="minorEastAsia"/>
          <w:b/>
          <w:bCs/>
          <w:color w:val="auto"/>
          <w:sz w:val="24"/>
          <w:szCs w:val="24"/>
        </w:rPr>
        <w:t>3. 委托人管理</w:t>
      </w:r>
      <w:bookmarkEnd w:id="7"/>
      <w:bookmarkEnd w:id="8"/>
      <w:bookmarkEnd w:id="9"/>
      <w:bookmarkEnd w:id="10"/>
      <w:bookmarkEnd w:id="11"/>
      <w:bookmarkEnd w:id="12"/>
      <w:bookmarkEnd w:id="13"/>
      <w:bookmarkEnd w:id="14"/>
      <w:bookmarkEnd w:id="15"/>
    </w:p>
    <w:p w14:paraId="1F5947AC">
      <w:pPr>
        <w:keepNext/>
        <w:keepLines/>
        <w:spacing w:line="360" w:lineRule="auto"/>
        <w:outlineLvl w:val="3"/>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3.3 决定或答复</w:t>
      </w:r>
    </w:p>
    <w:p w14:paraId="77B8D919">
      <w:pPr>
        <w:widowControl/>
        <w:shd w:val="clear" w:color="auto" w:fill="FFFFFF"/>
        <w:snapToGrid w:val="0"/>
        <w:spacing w:line="360" w:lineRule="auto"/>
        <w:ind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3.3.2委托人对监理机构书面提交并要求作出决定的事宜作出书面决定并送达的时限： 一般文件 7 天；紧急事项1天；变更文件7天。</w:t>
      </w:r>
    </w:p>
    <w:p w14:paraId="13DA2DDF">
      <w:pPr>
        <w:keepNext/>
        <w:keepLines/>
        <w:spacing w:line="360" w:lineRule="auto"/>
        <w:outlineLvl w:val="2"/>
        <w:rPr>
          <w:rFonts w:hint="eastAsia" w:asciiTheme="minorEastAsia" w:hAnsiTheme="minorEastAsia" w:eastAsiaTheme="minorEastAsia" w:cstheme="minorEastAsia"/>
          <w:b/>
          <w:bCs/>
          <w:color w:val="auto"/>
          <w:sz w:val="24"/>
          <w:szCs w:val="24"/>
        </w:rPr>
      </w:pPr>
      <w:bookmarkStart w:id="16" w:name="_Toc256000125"/>
      <w:bookmarkStart w:id="17" w:name="_Toc256000159"/>
      <w:bookmarkStart w:id="18" w:name="_Toc27530"/>
      <w:bookmarkStart w:id="19" w:name="_Toc256000179"/>
      <w:bookmarkStart w:id="20" w:name="_Toc256000205"/>
      <w:bookmarkStart w:id="21" w:name="_Toc256000152"/>
      <w:bookmarkStart w:id="22" w:name="_Toc13604"/>
      <w:bookmarkStart w:id="23" w:name="_Toc256000106"/>
      <w:r>
        <w:rPr>
          <w:rFonts w:hint="eastAsia" w:asciiTheme="minorEastAsia" w:hAnsiTheme="minorEastAsia" w:eastAsiaTheme="minorEastAsia" w:cstheme="minorEastAsia"/>
          <w:b/>
          <w:bCs/>
          <w:color w:val="auto"/>
          <w:sz w:val="24"/>
          <w:szCs w:val="24"/>
        </w:rPr>
        <w:t>5. 监理要求</w:t>
      </w:r>
      <w:bookmarkEnd w:id="16"/>
      <w:bookmarkEnd w:id="17"/>
      <w:bookmarkEnd w:id="18"/>
      <w:bookmarkEnd w:id="19"/>
      <w:bookmarkEnd w:id="20"/>
      <w:bookmarkEnd w:id="21"/>
      <w:bookmarkEnd w:id="22"/>
      <w:bookmarkEnd w:id="23"/>
    </w:p>
    <w:p w14:paraId="52317188">
      <w:pPr>
        <w:keepNext/>
        <w:keepLines/>
        <w:spacing w:line="360" w:lineRule="auto"/>
        <w:outlineLvl w:val="3"/>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5.1 监理范围</w:t>
      </w:r>
    </w:p>
    <w:p w14:paraId="77BD15FA">
      <w:pPr>
        <w:widowControl/>
        <w:shd w:val="clear" w:color="auto" w:fill="FFFFFF"/>
        <w:snapToGrid w:val="0"/>
        <w:spacing w:line="360" w:lineRule="auto"/>
        <w:ind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5.1.2 工程范围指所监理工程的建设内容，指</w:t>
      </w:r>
      <w:r>
        <w:rPr>
          <w:rFonts w:hint="eastAsia" w:asciiTheme="minorEastAsia" w:hAnsiTheme="minorEastAsia" w:eastAsiaTheme="minorEastAsia" w:cstheme="minorEastAsia"/>
          <w:b/>
          <w:color w:val="auto"/>
          <w:sz w:val="24"/>
          <w:szCs w:val="24"/>
          <w:highlight w:val="none"/>
          <w:u w:val="single"/>
          <w:lang w:eastAsia="zh-CN"/>
        </w:rPr>
        <w:t>连城县增发国债庙前等3个乡(镇)2025 年高标准农田建设项目(2024年结余资金)监理</w:t>
      </w:r>
      <w:r>
        <w:rPr>
          <w:rFonts w:hint="eastAsia" w:asciiTheme="minorEastAsia" w:hAnsiTheme="minorEastAsia" w:eastAsiaTheme="minorEastAsia" w:cstheme="minorEastAsia"/>
          <w:b/>
          <w:color w:val="auto"/>
          <w:sz w:val="24"/>
          <w:szCs w:val="24"/>
          <w:u w:val="single"/>
        </w:rPr>
        <w:t>。</w:t>
      </w:r>
    </w:p>
    <w:p w14:paraId="3203D411">
      <w:pPr>
        <w:widowControl/>
        <w:shd w:val="clear" w:color="auto" w:fill="FFFFFF"/>
        <w:snapToGrid w:val="0"/>
        <w:spacing w:line="360" w:lineRule="auto"/>
        <w:ind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5.1.3阶段范围指建设程序中的</w:t>
      </w:r>
      <w:r>
        <w:rPr>
          <w:rFonts w:hint="eastAsia" w:asciiTheme="minorEastAsia" w:hAnsiTheme="minorEastAsia" w:eastAsiaTheme="minorEastAsia" w:cstheme="minorEastAsia"/>
          <w:b/>
          <w:color w:val="auto"/>
          <w:sz w:val="24"/>
          <w:szCs w:val="24"/>
          <w:u w:val="single"/>
        </w:rPr>
        <w:t>准备阶段、施工阶段、设备采购阶段、竣工验收阶段、缺陷责任期与保修阶段的全过程监理</w:t>
      </w:r>
      <w:r>
        <w:rPr>
          <w:rFonts w:hint="eastAsia" w:asciiTheme="minorEastAsia" w:hAnsiTheme="minorEastAsia" w:eastAsiaTheme="minorEastAsia" w:cstheme="minorEastAsia"/>
          <w:b/>
          <w:color w:val="auto"/>
          <w:sz w:val="24"/>
          <w:szCs w:val="24"/>
        </w:rPr>
        <w:t>。</w:t>
      </w:r>
    </w:p>
    <w:p w14:paraId="040DB1DF">
      <w:pPr>
        <w:widowControl/>
        <w:shd w:val="clear" w:color="auto" w:fill="FFFFFF"/>
        <w:snapToGrid w:val="0"/>
        <w:spacing w:line="360" w:lineRule="auto"/>
        <w:ind w:firstLine="480" w:firstLineChars="200"/>
        <w:jc w:val="left"/>
        <w:rPr>
          <w:rFonts w:hint="eastAsia" w:asciiTheme="minorEastAsia" w:hAnsiTheme="minorEastAsia" w:eastAsiaTheme="minorEastAsia" w:cstheme="minorEastAsia"/>
          <w:strike/>
          <w:color w:val="auto"/>
          <w:sz w:val="24"/>
          <w:szCs w:val="24"/>
        </w:rPr>
      </w:pPr>
      <w:r>
        <w:rPr>
          <w:rFonts w:hint="eastAsia" w:asciiTheme="minorEastAsia" w:hAnsiTheme="minorEastAsia" w:eastAsiaTheme="minorEastAsia" w:cstheme="minorEastAsia"/>
          <w:color w:val="auto"/>
          <w:sz w:val="24"/>
          <w:szCs w:val="24"/>
        </w:rPr>
        <w:t>5.1.4工作范围指</w:t>
      </w:r>
      <w:r>
        <w:rPr>
          <w:rFonts w:hint="eastAsia" w:asciiTheme="minorEastAsia" w:hAnsiTheme="minorEastAsia" w:eastAsiaTheme="minorEastAsia" w:cstheme="minorEastAsia"/>
          <w:b/>
          <w:color w:val="auto"/>
          <w:sz w:val="24"/>
          <w:szCs w:val="24"/>
          <w:u w:val="single"/>
        </w:rPr>
        <w:t>监理工作中的质量控制、进度控制、投资控制、合同管理、信息管理、组织协调和安全监理、环保监理等工作内容的全过程监理</w:t>
      </w:r>
      <w:r>
        <w:rPr>
          <w:rFonts w:hint="eastAsia" w:asciiTheme="minorEastAsia" w:hAnsiTheme="minorEastAsia" w:eastAsiaTheme="minorEastAsia" w:cstheme="minorEastAsia"/>
          <w:color w:val="auto"/>
          <w:sz w:val="24"/>
          <w:szCs w:val="24"/>
        </w:rPr>
        <w:t>。</w:t>
      </w:r>
    </w:p>
    <w:p w14:paraId="10656835">
      <w:pPr>
        <w:keepNext/>
        <w:keepLines/>
        <w:spacing w:line="360" w:lineRule="auto"/>
        <w:outlineLvl w:val="2"/>
        <w:rPr>
          <w:rFonts w:hint="eastAsia" w:asciiTheme="minorEastAsia" w:hAnsiTheme="minorEastAsia" w:eastAsiaTheme="minorEastAsia" w:cstheme="minorEastAsia"/>
          <w:b/>
          <w:bCs/>
          <w:color w:val="auto"/>
          <w:sz w:val="24"/>
          <w:szCs w:val="24"/>
        </w:rPr>
      </w:pPr>
      <w:bookmarkStart w:id="24" w:name="_Toc256000206"/>
      <w:bookmarkStart w:id="25" w:name="_Toc4369"/>
      <w:bookmarkStart w:id="26" w:name="_Toc256000126"/>
      <w:bookmarkStart w:id="27" w:name="_Toc256000107"/>
      <w:bookmarkStart w:id="28" w:name="_Toc256000160"/>
      <w:bookmarkStart w:id="29" w:name="_Toc256000180"/>
      <w:bookmarkStart w:id="30" w:name="_Toc256000153"/>
      <w:bookmarkStart w:id="31" w:name="_Toc17624"/>
      <w:r>
        <w:rPr>
          <w:rFonts w:hint="eastAsia" w:asciiTheme="minorEastAsia" w:hAnsiTheme="minorEastAsia" w:eastAsiaTheme="minorEastAsia" w:cstheme="minorEastAsia"/>
          <w:b/>
          <w:bCs/>
          <w:color w:val="auto"/>
          <w:sz w:val="24"/>
          <w:szCs w:val="24"/>
        </w:rPr>
        <w:t>6. 开始监理和完成监理</w:t>
      </w:r>
      <w:bookmarkEnd w:id="24"/>
      <w:bookmarkEnd w:id="25"/>
      <w:bookmarkEnd w:id="26"/>
      <w:bookmarkEnd w:id="27"/>
      <w:bookmarkEnd w:id="28"/>
      <w:bookmarkEnd w:id="29"/>
      <w:bookmarkEnd w:id="30"/>
      <w:bookmarkEnd w:id="31"/>
    </w:p>
    <w:p w14:paraId="6DB505CE">
      <w:pPr>
        <w:keepNext/>
        <w:keepLines/>
        <w:spacing w:line="360" w:lineRule="auto"/>
        <w:outlineLvl w:val="3"/>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6.2 监理周期延误</w:t>
      </w:r>
    </w:p>
    <w:p w14:paraId="6B8D4F31">
      <w:pPr>
        <w:widowControl/>
        <w:shd w:val="clear" w:color="auto" w:fill="FFFFFF"/>
        <w:snapToGrid w:val="0"/>
        <w:spacing w:line="360" w:lineRule="auto"/>
        <w:ind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本条修改为：</w:t>
      </w:r>
    </w:p>
    <w:p w14:paraId="3A8139CA">
      <w:pPr>
        <w:spacing w:line="520" w:lineRule="exac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如本施工阶段监理服务期限延长时，委托人不再另行支付监理人附加工作酬金。</w:t>
      </w:r>
    </w:p>
    <w:p w14:paraId="3F2BAFBE">
      <w:pPr>
        <w:keepNext/>
        <w:keepLines/>
        <w:spacing w:line="360" w:lineRule="auto"/>
        <w:outlineLvl w:val="2"/>
        <w:rPr>
          <w:rFonts w:hint="eastAsia" w:asciiTheme="minorEastAsia" w:hAnsiTheme="minorEastAsia" w:eastAsiaTheme="minorEastAsia" w:cstheme="minorEastAsia"/>
          <w:b/>
          <w:bCs/>
          <w:color w:val="auto"/>
          <w:sz w:val="24"/>
          <w:szCs w:val="24"/>
        </w:rPr>
      </w:pPr>
      <w:bookmarkStart w:id="32" w:name="_Toc256000207"/>
      <w:bookmarkStart w:id="33" w:name="_Toc256000181"/>
      <w:bookmarkStart w:id="34" w:name="_Toc256000154"/>
      <w:bookmarkStart w:id="35" w:name="_Toc30347"/>
      <w:bookmarkStart w:id="36" w:name="_Toc256000161"/>
      <w:bookmarkStart w:id="37" w:name="_Toc3211"/>
      <w:bookmarkStart w:id="38" w:name="_Toc256000108"/>
      <w:bookmarkStart w:id="39" w:name="_Toc256000127"/>
      <w:r>
        <w:rPr>
          <w:rFonts w:hint="eastAsia" w:asciiTheme="minorEastAsia" w:hAnsiTheme="minorEastAsia" w:eastAsiaTheme="minorEastAsia" w:cstheme="minorEastAsia"/>
          <w:b/>
          <w:bCs/>
          <w:color w:val="auto"/>
          <w:sz w:val="24"/>
          <w:szCs w:val="24"/>
        </w:rPr>
        <w:t>8. 合同变更</w:t>
      </w:r>
      <w:bookmarkEnd w:id="32"/>
      <w:bookmarkEnd w:id="33"/>
      <w:bookmarkEnd w:id="34"/>
      <w:bookmarkEnd w:id="35"/>
      <w:bookmarkEnd w:id="36"/>
      <w:bookmarkEnd w:id="37"/>
      <w:bookmarkEnd w:id="38"/>
      <w:bookmarkEnd w:id="39"/>
    </w:p>
    <w:p w14:paraId="2C24DF7B">
      <w:pPr>
        <w:keepNext/>
        <w:keepLines/>
        <w:spacing w:line="360" w:lineRule="auto"/>
        <w:outlineLvl w:val="3"/>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8.1 变更情形</w:t>
      </w:r>
    </w:p>
    <w:p w14:paraId="6352B4EE">
      <w:pPr>
        <w:widowControl/>
        <w:shd w:val="clear" w:color="auto" w:fill="FFFFFF"/>
        <w:snapToGrid w:val="0"/>
        <w:spacing w:line="360" w:lineRule="auto"/>
        <w:ind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8.1.1双方对监理服务期限和监理报酬的调整方法等有关合同条款应当充分协商，签订监理补充协议。</w:t>
      </w:r>
    </w:p>
    <w:p w14:paraId="1B23B881">
      <w:pPr>
        <w:keepNext/>
        <w:keepLines/>
        <w:spacing w:line="360" w:lineRule="auto"/>
        <w:outlineLvl w:val="3"/>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8.2 合理化建议</w:t>
      </w:r>
    </w:p>
    <w:p w14:paraId="358C22BE">
      <w:pPr>
        <w:widowControl/>
        <w:shd w:val="clear" w:color="auto" w:fill="FFFFFF"/>
        <w:snapToGrid w:val="0"/>
        <w:spacing w:line="360" w:lineRule="auto"/>
        <w:ind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8.2.2 监理人提出的合理化建议降低了工程投资、缩短了施工期限或者提高了工程经济效益的，委托人给予奖励办法为：</w:t>
      </w:r>
      <w:r>
        <w:rPr>
          <w:rFonts w:hint="eastAsia" w:asciiTheme="minorEastAsia" w:hAnsiTheme="minorEastAsia" w:eastAsiaTheme="minorEastAsia" w:cstheme="minorEastAsia"/>
          <w:color w:val="auto"/>
          <w:sz w:val="24"/>
          <w:szCs w:val="24"/>
          <w:u w:val="single"/>
        </w:rPr>
        <w:t xml:space="preserve">   /  </w:t>
      </w:r>
      <w:r>
        <w:rPr>
          <w:rFonts w:hint="eastAsia" w:asciiTheme="minorEastAsia" w:hAnsiTheme="minorEastAsia" w:eastAsiaTheme="minorEastAsia" w:cstheme="minorEastAsia"/>
          <w:color w:val="auto"/>
          <w:sz w:val="24"/>
          <w:szCs w:val="24"/>
        </w:rPr>
        <w:t>。</w:t>
      </w:r>
    </w:p>
    <w:p w14:paraId="16A213AD">
      <w:pPr>
        <w:keepLines/>
        <w:spacing w:line="360" w:lineRule="auto"/>
        <w:outlineLvl w:val="2"/>
        <w:rPr>
          <w:rFonts w:hint="eastAsia" w:asciiTheme="minorEastAsia" w:hAnsiTheme="minorEastAsia" w:eastAsiaTheme="minorEastAsia" w:cstheme="minorEastAsia"/>
          <w:b/>
          <w:bCs/>
          <w:color w:val="auto"/>
          <w:sz w:val="24"/>
          <w:szCs w:val="24"/>
        </w:rPr>
      </w:pPr>
      <w:bookmarkStart w:id="40" w:name="_Toc256000128"/>
      <w:bookmarkStart w:id="41" w:name="_Toc256000182"/>
      <w:bookmarkStart w:id="42" w:name="_Toc5071"/>
      <w:bookmarkStart w:id="43" w:name="_Toc256000155"/>
      <w:bookmarkStart w:id="44" w:name="_Toc256000162"/>
      <w:bookmarkStart w:id="45" w:name="_Toc256000109"/>
      <w:bookmarkStart w:id="46" w:name="_Toc256000208"/>
      <w:bookmarkStart w:id="47" w:name="_Toc23924"/>
      <w:r>
        <w:rPr>
          <w:rFonts w:hint="eastAsia" w:asciiTheme="minorEastAsia" w:hAnsiTheme="minorEastAsia" w:eastAsiaTheme="minorEastAsia" w:cstheme="minorEastAsia"/>
          <w:b/>
          <w:bCs/>
          <w:color w:val="auto"/>
          <w:sz w:val="24"/>
          <w:szCs w:val="24"/>
        </w:rPr>
        <w:t>9. 合同价格与支付</w:t>
      </w:r>
      <w:bookmarkEnd w:id="40"/>
      <w:bookmarkEnd w:id="41"/>
      <w:bookmarkEnd w:id="42"/>
      <w:bookmarkEnd w:id="43"/>
      <w:bookmarkEnd w:id="44"/>
      <w:bookmarkEnd w:id="45"/>
      <w:bookmarkEnd w:id="46"/>
      <w:bookmarkEnd w:id="47"/>
    </w:p>
    <w:p w14:paraId="64678DD0">
      <w:pPr>
        <w:keepLines/>
        <w:spacing w:line="360" w:lineRule="auto"/>
        <w:outlineLvl w:val="3"/>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9.1 合同价格</w:t>
      </w:r>
    </w:p>
    <w:p w14:paraId="02C19CCF">
      <w:pPr>
        <w:widowControl/>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9.1.1工程实施过程中，实际监理的工作内容根据现场情况可能有增减，施工监理服务费结算的计费基数按所监理的工程范围内工程项目的结算价款为计费额，按招标文件规定的系数、计算方法及中标价与最高限价对应的下浮率，按实调整。工程项目的结算价款以经有权部门最终审定后的金额为准。</w:t>
      </w:r>
    </w:p>
    <w:p w14:paraId="06496AEE">
      <w:pPr>
        <w:keepLines/>
        <w:spacing w:line="360" w:lineRule="auto"/>
        <w:outlineLvl w:val="3"/>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9.2 预付款</w:t>
      </w:r>
    </w:p>
    <w:p w14:paraId="6EDA56CC">
      <w:pPr>
        <w:widowControl/>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9.2.1本项目没有预付款。</w:t>
      </w:r>
    </w:p>
    <w:p w14:paraId="70BE79FA">
      <w:pPr>
        <w:keepLines/>
        <w:spacing w:line="360" w:lineRule="auto"/>
        <w:outlineLvl w:val="3"/>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9.3 中期支付</w:t>
      </w:r>
    </w:p>
    <w:p w14:paraId="60979EE5">
      <w:pPr>
        <w:widowControl/>
        <w:spacing w:line="360" w:lineRule="auto"/>
        <w:ind w:firstLine="480"/>
        <w:jc w:val="left"/>
        <w:rPr>
          <w:rFonts w:hint="eastAsia" w:asciiTheme="minorEastAsia" w:hAnsiTheme="minorEastAsia" w:eastAsiaTheme="minorEastAsia" w:cstheme="minorEastAsia"/>
          <w:color w:val="auto"/>
          <w:sz w:val="24"/>
          <w:szCs w:val="24"/>
          <w:u w:val="single"/>
        </w:rPr>
      </w:pPr>
      <w:r>
        <w:rPr>
          <w:rFonts w:hint="eastAsia" w:asciiTheme="minorEastAsia" w:hAnsiTheme="minorEastAsia" w:eastAsiaTheme="minorEastAsia" w:cstheme="minorEastAsia"/>
          <w:color w:val="auto"/>
          <w:sz w:val="24"/>
          <w:szCs w:val="24"/>
        </w:rPr>
        <w:t>9.3.2本条补充： 委托人逾期支付监理报酬时违约金的计算及支付方法:</w:t>
      </w:r>
      <w:r>
        <w:rPr>
          <w:rFonts w:hint="eastAsia" w:asciiTheme="minorEastAsia" w:hAnsiTheme="minorEastAsia" w:eastAsiaTheme="minorEastAsia" w:cstheme="minorEastAsia"/>
          <w:color w:val="auto"/>
          <w:sz w:val="24"/>
          <w:szCs w:val="24"/>
          <w:u w:val="single"/>
        </w:rPr>
        <w:t xml:space="preserve"> 委托人超过约定的支付时间不支付相应的监理报酬，监理人应及时向委托人发出要求付款的通知，委托人收到承包人通知后仍不能按要求付款，可与承包人协商签订延期付款协议，经承包人同意后可延期支付，协议应明确延期支付的时间和从工程计量结果确认后第15天起计算应付款的利息(利率按同期银行贷款利率计)</w:t>
      </w:r>
      <w:r>
        <w:rPr>
          <w:rFonts w:hint="eastAsia" w:asciiTheme="minorEastAsia" w:hAnsiTheme="minorEastAsia" w:eastAsiaTheme="minorEastAsia" w:cstheme="minorEastAsia"/>
          <w:color w:val="auto"/>
          <w:sz w:val="24"/>
          <w:szCs w:val="24"/>
        </w:rPr>
        <w:t>。</w:t>
      </w:r>
    </w:p>
    <w:p w14:paraId="6A9BB173">
      <w:pPr>
        <w:keepNext/>
        <w:keepLines/>
        <w:spacing w:line="360" w:lineRule="auto"/>
        <w:outlineLvl w:val="3"/>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9.4 费用结算</w:t>
      </w:r>
    </w:p>
    <w:p w14:paraId="56969F31">
      <w:pPr>
        <w:widowControl/>
        <w:spacing w:line="360" w:lineRule="auto"/>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每期监理费支付按照工程施工进度款完成金额占施工合同价的的比例支付相应监理费，工程完工验收且施工造价审核后十五日内结清监理费。</w:t>
      </w:r>
    </w:p>
    <w:p w14:paraId="14BDE194">
      <w:pPr>
        <w:keepNext/>
        <w:keepLines/>
        <w:spacing w:line="360" w:lineRule="auto"/>
        <w:outlineLvl w:val="2"/>
        <w:rPr>
          <w:rFonts w:hint="eastAsia" w:asciiTheme="minorEastAsia" w:hAnsiTheme="minorEastAsia" w:eastAsiaTheme="minorEastAsia" w:cstheme="minorEastAsia"/>
          <w:b/>
          <w:bCs/>
          <w:color w:val="auto"/>
          <w:sz w:val="24"/>
          <w:szCs w:val="24"/>
        </w:rPr>
      </w:pPr>
      <w:bookmarkStart w:id="48" w:name="_Toc256000110"/>
      <w:bookmarkStart w:id="49" w:name="_Toc256000209"/>
      <w:bookmarkStart w:id="50" w:name="_Toc256000129"/>
      <w:bookmarkStart w:id="51" w:name="_Toc256000183"/>
      <w:bookmarkStart w:id="52" w:name="_Toc12399"/>
      <w:bookmarkStart w:id="53" w:name="_Toc256000156"/>
      <w:bookmarkStart w:id="54" w:name="_Toc256000163"/>
      <w:bookmarkStart w:id="55" w:name="_Toc26270"/>
      <w:r>
        <w:rPr>
          <w:rFonts w:hint="eastAsia" w:asciiTheme="minorEastAsia" w:hAnsiTheme="minorEastAsia" w:eastAsiaTheme="minorEastAsia" w:cstheme="minorEastAsia"/>
          <w:b/>
          <w:bCs/>
          <w:color w:val="auto"/>
          <w:sz w:val="24"/>
          <w:szCs w:val="24"/>
        </w:rPr>
        <w:t>11. 违约</w:t>
      </w:r>
      <w:bookmarkEnd w:id="48"/>
      <w:bookmarkEnd w:id="49"/>
      <w:bookmarkEnd w:id="50"/>
      <w:bookmarkEnd w:id="51"/>
      <w:bookmarkEnd w:id="52"/>
      <w:bookmarkEnd w:id="53"/>
      <w:bookmarkEnd w:id="54"/>
      <w:bookmarkEnd w:id="55"/>
    </w:p>
    <w:p w14:paraId="332B3FE8">
      <w:pPr>
        <w:keepNext/>
        <w:keepLines/>
        <w:spacing w:line="360" w:lineRule="auto"/>
        <w:outlineLvl w:val="3"/>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11.1 监理人违约</w:t>
      </w:r>
    </w:p>
    <w:p w14:paraId="30C663C9">
      <w:pPr>
        <w:widowControl/>
        <w:spacing w:line="360" w:lineRule="auto"/>
        <w:ind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11.1.2补充：</w:t>
      </w:r>
    </w:p>
    <w:p w14:paraId="0535E0A0">
      <w:pPr>
        <w:spacing w:line="360" w:lineRule="auto"/>
        <w:ind w:firstLine="482"/>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1、监理项目机构人员管理方面： </w:t>
      </w:r>
    </w:p>
    <w:p w14:paraId="437C7086">
      <w:pPr>
        <w:spacing w:line="360" w:lineRule="auto"/>
        <w:ind w:firstLine="482"/>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1）监理项目机构人员必须是该工程中标时所承诺的人员，不得擅自变更。如需变更监理机构人员，都必须经招标人及质量监督部门批准同意，否则委托人有权解除合同，没收履约保证金并应要求监理人赔偿委托人因此所导致的一切损失。经批准更换总监理工程师的，监理人应向委托人交纳违约金2万元/人•次，更换专业监理工程师的，监理人应向委托人交纳违约金1万元/人•次，更换其他现场监理人员的，监理人应向委托人交纳违约金0.5万元/人•次。并且拟变更的人员持证水平、工作经历、业绩不得低于招标要求的人员持证水平、工作经历、业绩。 </w:t>
      </w:r>
    </w:p>
    <w:p w14:paraId="308DC457">
      <w:pPr>
        <w:spacing w:line="360" w:lineRule="auto"/>
        <w:ind w:firstLine="482"/>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2）本工程的总监理工程师不允许同时承担本项目以外其它任何项目的监理工作或设计咨询工作，否则一经发现，除按相关规定处罚外，委托人将对监理人处以5万元违约金，并且总监理工程师应立即停止在本项目以外的其它工程兼任的工作，否则委托人有权解除合同并要求监理人赔偿一切损失。 </w:t>
      </w:r>
    </w:p>
    <w:p w14:paraId="52629936">
      <w:pPr>
        <w:spacing w:line="360" w:lineRule="auto"/>
        <w:ind w:firstLine="482"/>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3）监理人派驻现场监理项目机构人员必须到位尽责，离开工地应经委托人批准。未经委托人批准擅离工作岗位者，监理人应向委托人交纳违约金1000元/人•日。本项目将实行严格的考勤制度，现场监理项目机构任何人员每月应驻工地22天以上。委托人考勤时发现每少一天，监理人应向委托人交纳违约金1000元/人•日；上级部门检查时发现每少一天，监理人应向委托人交纳违约金2000元/人•日。所有违约金均从当月监理报酬中扣除。 </w:t>
      </w:r>
    </w:p>
    <w:p w14:paraId="52A35A64">
      <w:pPr>
        <w:spacing w:line="360" w:lineRule="auto"/>
        <w:ind w:firstLine="482"/>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（4）经委托人检查，发现监理人承诺到场使用的检测试验设备未能按工程实际需要到位的，处以监理人1000元/台•次违约金，屡犯按相关规定从严处罚。 </w:t>
      </w:r>
    </w:p>
    <w:p w14:paraId="10781238">
      <w:pPr>
        <w:spacing w:line="360" w:lineRule="auto"/>
        <w:ind w:firstLine="482"/>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（5）在监理服务期间，监理人及其工作人员不得从施工单位获得各种利益，若有违反，则处以2000元/人•次违约金，同时委托人有权解除合同并要求监理人承担一切损失。 </w:t>
      </w:r>
    </w:p>
    <w:p w14:paraId="58FAE622">
      <w:pPr>
        <w:spacing w:line="360" w:lineRule="auto"/>
        <w:ind w:firstLine="482"/>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6）监理人及其所属人员必须公正客观、及时准确、严格履行职责。监理人应严格按照国家有关规定履行监理职责，由于监理人失职造成工程损失，情节严重的，委托人有权给予清退出场，扣除相应的监理酬金，并要求监理人赔偿委托人的一切损失。 </w:t>
      </w:r>
    </w:p>
    <w:p w14:paraId="47FB2AAB">
      <w:pPr>
        <w:spacing w:line="360" w:lineRule="auto"/>
        <w:ind w:firstLine="482"/>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（7）监理人必须配置针对本工程需要的合同管理的专职监理工程师，负责合同的全面管理。</w:t>
      </w:r>
    </w:p>
    <w:p w14:paraId="724297DA">
      <w:pPr>
        <w:spacing w:line="360" w:lineRule="auto"/>
        <w:ind w:firstLine="482"/>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2、工程质量、安全、文明施工监理方面： </w:t>
      </w:r>
    </w:p>
    <w:p w14:paraId="0A8C6BFD">
      <w:pPr>
        <w:spacing w:line="360" w:lineRule="auto"/>
        <w:ind w:firstLine="482"/>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（1）因监理人重大过失或故意，致使工程发生质量、安全事故，应当全额赔偿损失； </w:t>
      </w:r>
    </w:p>
    <w:p w14:paraId="30CDBE35">
      <w:pPr>
        <w:spacing w:line="360" w:lineRule="auto"/>
        <w:ind w:firstLine="482"/>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（2）未按规定实施质量、安全监理，每项次支付1万元违约金； </w:t>
      </w:r>
    </w:p>
    <w:p w14:paraId="64387D65">
      <w:pPr>
        <w:spacing w:line="360" w:lineRule="auto"/>
        <w:ind w:firstLine="482"/>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3）如监理人员与施工单位串通弄虚作假，降低工程质量标准，将不合格材料按照合格签字的，出具虚假监理签证文件或监理报告，虚报工程进度的，经主管部门查实认定后，扣减监理费的10%外，由主管部门按相关法律法规对相关责任单位进行处罚。 </w:t>
      </w:r>
    </w:p>
    <w:p w14:paraId="15097050">
      <w:pPr>
        <w:spacing w:line="360" w:lineRule="auto"/>
        <w:ind w:firstLine="482"/>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（4）工程未达到监理合同约定的质量等级时，属监理人责任的，监理人应赔偿因监理人原因引起的委托人的全部损失，责任不清的，监理人应负连带赔偿责任。 </w:t>
      </w:r>
    </w:p>
    <w:p w14:paraId="0CC68D5A">
      <w:pPr>
        <w:spacing w:line="360" w:lineRule="auto"/>
        <w:ind w:firstLine="482"/>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（5）若工期延误，属监理人责任的，委托方有权索赔，索赔金额为每延误一天工期按监理费用的千分之五赔偿。 </w:t>
      </w:r>
    </w:p>
    <w:p w14:paraId="7AA515E4">
      <w:pPr>
        <w:spacing w:line="360" w:lineRule="auto"/>
        <w:ind w:firstLine="482"/>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3、合同费用监理方面： </w:t>
      </w:r>
    </w:p>
    <w:p w14:paraId="08B1441C">
      <w:pPr>
        <w:spacing w:line="360" w:lineRule="auto"/>
        <w:ind w:firstLine="482"/>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（1）未按施工合同和监理规范审查批准变更设计以及变更单价或变更价款的，每次支付违约金2～5万元； </w:t>
      </w:r>
    </w:p>
    <w:p w14:paraId="514EE539">
      <w:pPr>
        <w:spacing w:line="360" w:lineRule="auto"/>
        <w:ind w:firstLine="482"/>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（2）未按法律法规规定进行工程计量，签发支付证书，或将未经批准的设计变更款纳入中期支付证书并签发支付证书的，每次支付违约金2～5万元； </w:t>
      </w:r>
    </w:p>
    <w:p w14:paraId="429B98BB">
      <w:pPr>
        <w:spacing w:line="360" w:lineRule="auto"/>
        <w:ind w:firstLine="482"/>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（3）未按规定的程序、期限实施投资控制，每次按2千元支付违约金；给委托人造成损害或损失的，应当全额赔偿损失； </w:t>
      </w:r>
    </w:p>
    <w:p w14:paraId="02396997">
      <w:pPr>
        <w:spacing w:line="360" w:lineRule="auto"/>
        <w:ind w:firstLine="482"/>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（4）在监理中，监理人弄虚作假、伪造签字的，每人次按1～3千元支付违约金；给委托人造成损失的，应当全额赔偿损失。</w:t>
      </w:r>
    </w:p>
    <w:p w14:paraId="474510FB">
      <w:pPr>
        <w:spacing w:line="360" w:lineRule="auto"/>
        <w:ind w:firstLine="482"/>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4、赔偿金/损失：为扣除税金后的直接经济损失，包括但不限于调查费、律师费、支付给第三方的费用等。</w:t>
      </w:r>
    </w:p>
    <w:p w14:paraId="40AAB05C">
      <w:pPr>
        <w:keepNext/>
        <w:keepLines/>
        <w:spacing w:line="360" w:lineRule="auto"/>
        <w:outlineLvl w:val="2"/>
        <w:rPr>
          <w:rFonts w:hint="eastAsia" w:asciiTheme="minorEastAsia" w:hAnsiTheme="minorEastAsia" w:eastAsiaTheme="minorEastAsia" w:cstheme="minorEastAsia"/>
          <w:b/>
          <w:bCs/>
          <w:color w:val="auto"/>
          <w:sz w:val="24"/>
          <w:szCs w:val="24"/>
        </w:rPr>
      </w:pPr>
      <w:bookmarkStart w:id="56" w:name="_Toc256000130"/>
      <w:bookmarkStart w:id="57" w:name="_Toc256000111"/>
      <w:bookmarkStart w:id="58" w:name="_Toc256000164"/>
      <w:bookmarkStart w:id="59" w:name="_Toc256000184"/>
      <w:bookmarkStart w:id="60" w:name="_Toc29517"/>
      <w:bookmarkStart w:id="61" w:name="_Toc32010"/>
      <w:bookmarkStart w:id="62" w:name="_Toc256000103"/>
      <w:bookmarkStart w:id="63" w:name="_Toc256000210"/>
      <w:bookmarkStart w:id="64" w:name="_Toc256000157"/>
      <w:r>
        <w:rPr>
          <w:rFonts w:hint="eastAsia" w:asciiTheme="minorEastAsia" w:hAnsiTheme="minorEastAsia" w:eastAsiaTheme="minorEastAsia" w:cstheme="minorEastAsia"/>
          <w:b/>
          <w:bCs/>
          <w:color w:val="auto"/>
          <w:sz w:val="24"/>
          <w:szCs w:val="24"/>
        </w:rPr>
        <w:t>12. 争议的解决</w:t>
      </w:r>
      <w:bookmarkEnd w:id="56"/>
      <w:bookmarkEnd w:id="57"/>
      <w:bookmarkEnd w:id="58"/>
      <w:bookmarkEnd w:id="59"/>
      <w:bookmarkEnd w:id="60"/>
      <w:bookmarkEnd w:id="61"/>
      <w:bookmarkEnd w:id="62"/>
      <w:bookmarkEnd w:id="63"/>
      <w:bookmarkEnd w:id="64"/>
    </w:p>
    <w:p w14:paraId="6CD9117E">
      <w:pPr>
        <w:widowControl/>
        <w:shd w:val="clear" w:color="auto" w:fill="FFFFFF"/>
        <w:snapToGrid w:val="0"/>
        <w:spacing w:line="360" w:lineRule="auto"/>
        <w:ind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委托人和监理人在履行合同中发生争议的，可以友好协商解决。合同当事人友好协商解决不成的，可在专用合同条款中约定下列一种方式解决：</w:t>
      </w:r>
      <w:r>
        <w:rPr>
          <w:rFonts w:hint="eastAsia" w:asciiTheme="minorEastAsia" w:hAnsiTheme="minorEastAsia" w:eastAsiaTheme="minorEastAsia" w:cstheme="minorEastAsia"/>
          <w:color w:val="auto"/>
          <w:sz w:val="24"/>
          <w:szCs w:val="24"/>
          <w:u w:val="single"/>
        </w:rPr>
        <w:t>向有管辖权的人民法院（工程所在地）提起诉讼</w:t>
      </w:r>
      <w:r>
        <w:rPr>
          <w:rFonts w:hint="eastAsia" w:asciiTheme="minorEastAsia" w:hAnsiTheme="minorEastAsia" w:eastAsiaTheme="minorEastAsia" w:cstheme="minorEastAsia"/>
          <w:color w:val="auto"/>
          <w:sz w:val="24"/>
          <w:szCs w:val="24"/>
        </w:rPr>
        <w:t>。</w:t>
      </w:r>
      <w:bookmarkStart w:id="65" w:name="_Toc28448"/>
      <w:bookmarkStart w:id="66" w:name="_Toc256000104"/>
      <w:bookmarkStart w:id="67" w:name="_Toc256000185"/>
      <w:bookmarkStart w:id="68" w:name="_Toc256000158"/>
    </w:p>
    <w:p w14:paraId="4A62D433">
      <w:pPr>
        <w:widowControl/>
        <w:shd w:val="clear" w:color="auto" w:fill="FFFFFF"/>
        <w:snapToGrid w:val="0"/>
        <w:spacing w:line="360" w:lineRule="auto"/>
        <w:ind w:firstLine="482" w:firstLineChars="200"/>
        <w:jc w:val="left"/>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13.其他要求</w:t>
      </w:r>
      <w:bookmarkEnd w:id="65"/>
      <w:bookmarkEnd w:id="66"/>
      <w:bookmarkEnd w:id="67"/>
      <w:bookmarkEnd w:id="68"/>
    </w:p>
    <w:p w14:paraId="5F7B6CF1">
      <w:pPr>
        <w:widowControl/>
        <w:shd w:val="clear" w:color="auto" w:fill="FFFFFF"/>
        <w:snapToGrid w:val="0"/>
        <w:spacing w:line="360" w:lineRule="auto"/>
        <w:ind w:firstLine="480" w:firstLineChars="200"/>
        <w:jc w:val="lef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rPr>
        <w:t>水利工程以完工验收作为付款结算依据，市政工程以竣工验收作为付款结算依据</w:t>
      </w:r>
      <w:r>
        <w:rPr>
          <w:rFonts w:hint="eastAsia" w:asciiTheme="minorEastAsia" w:hAnsiTheme="minorEastAsia" w:eastAsiaTheme="minorEastAsia" w:cstheme="minorEastAsia"/>
          <w:color w:val="auto"/>
          <w:sz w:val="24"/>
          <w:szCs w:val="24"/>
          <w:lang w:eastAsia="zh-CN"/>
        </w:rPr>
        <w:t>。</w:t>
      </w:r>
    </w:p>
    <w:sectPr>
      <w:footerReference r:id="rId3" w:type="default"/>
      <w:pgSz w:w="11906" w:h="16838"/>
      <w:pgMar w:top="1043" w:right="1077" w:bottom="986" w:left="107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使用中文字体）">
    <w:altName w:val="宋体"/>
    <w:panose1 w:val="00000000000000000000"/>
    <w:charset w:val="86"/>
    <w:family w:val="roman"/>
    <w:pitch w:val="default"/>
    <w:sig w:usb0="00000000" w:usb1="00000000" w:usb2="00000010" w:usb3="00000000" w:csb0="00040001" w:csb1="00000000"/>
  </w:font>
  <w:font w:name="HiddenHorzOCl">
    <w:altName w:val="宋体"/>
    <w:panose1 w:val="00000000000000000000"/>
    <w:charset w:val="86"/>
    <w:family w:val="swiss"/>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394907">
    <w:pPr>
      <w:pStyle w:val="7"/>
    </w:pPr>
    <w:r>
      <w:pict>
        <v:shape id="_x0000_s4097" o:spid="_x0000_s4097"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path/>
          <v:fill on="f" focussize="0,0"/>
          <v:stroke on="f" weight="0.5pt" joinstyle="miter"/>
          <v:imagedata o:title=""/>
          <o:lock v:ext="edit"/>
          <v:textbox inset="0mm,0mm,0mm,0mm" style="mso-fit-shape-to-text:t;">
            <w:txbxContent>
              <w:p w14:paraId="04021E08">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- 3 -</w:t>
                </w:r>
                <w:r>
                  <w:rPr>
                    <w:rFonts w:hint="eastAsia" w:ascii="宋体" w:hAnsi="宋体" w:eastAsia="宋体" w:cs="宋体"/>
                    <w:sz w:val="28"/>
                    <w:szCs w:val="28"/>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GFjMmU0Yjk5NmUyMjAwNzM3OGEzNzg5ZGMyZDkzOWUifQ=="/>
  </w:docVars>
  <w:rsids>
    <w:rsidRoot w:val="3062140F"/>
    <w:rsid w:val="00061656"/>
    <w:rsid w:val="00072DF4"/>
    <w:rsid w:val="000F1B6A"/>
    <w:rsid w:val="001457F7"/>
    <w:rsid w:val="00160F00"/>
    <w:rsid w:val="003802F9"/>
    <w:rsid w:val="003F1AE5"/>
    <w:rsid w:val="004B7539"/>
    <w:rsid w:val="005E00E5"/>
    <w:rsid w:val="0077378A"/>
    <w:rsid w:val="007F0860"/>
    <w:rsid w:val="00814231"/>
    <w:rsid w:val="00826B3E"/>
    <w:rsid w:val="008A6B20"/>
    <w:rsid w:val="00911739"/>
    <w:rsid w:val="00954405"/>
    <w:rsid w:val="00A73D90"/>
    <w:rsid w:val="00A82968"/>
    <w:rsid w:val="00A90421"/>
    <w:rsid w:val="00B37402"/>
    <w:rsid w:val="00C353E3"/>
    <w:rsid w:val="00CD4699"/>
    <w:rsid w:val="00D17796"/>
    <w:rsid w:val="00DA2F8E"/>
    <w:rsid w:val="00F84E41"/>
    <w:rsid w:val="012F41F1"/>
    <w:rsid w:val="016A5229"/>
    <w:rsid w:val="01B60D47"/>
    <w:rsid w:val="039E3DB5"/>
    <w:rsid w:val="04973358"/>
    <w:rsid w:val="05043FB5"/>
    <w:rsid w:val="05A625A8"/>
    <w:rsid w:val="0804406F"/>
    <w:rsid w:val="081C4C9C"/>
    <w:rsid w:val="0834033F"/>
    <w:rsid w:val="0AEE0C79"/>
    <w:rsid w:val="0B22305A"/>
    <w:rsid w:val="0C0C7087"/>
    <w:rsid w:val="0C9C0329"/>
    <w:rsid w:val="0CA830A9"/>
    <w:rsid w:val="0CDA1129"/>
    <w:rsid w:val="0D0C3638"/>
    <w:rsid w:val="0D724C37"/>
    <w:rsid w:val="0E0F584E"/>
    <w:rsid w:val="0E6A79B6"/>
    <w:rsid w:val="0E8467A8"/>
    <w:rsid w:val="0F153787"/>
    <w:rsid w:val="10554859"/>
    <w:rsid w:val="108A4FA0"/>
    <w:rsid w:val="11501D32"/>
    <w:rsid w:val="115251AE"/>
    <w:rsid w:val="128A572B"/>
    <w:rsid w:val="12C14EC5"/>
    <w:rsid w:val="12C61C56"/>
    <w:rsid w:val="137205A3"/>
    <w:rsid w:val="138E2060"/>
    <w:rsid w:val="14416FC6"/>
    <w:rsid w:val="14DE0881"/>
    <w:rsid w:val="15474BF8"/>
    <w:rsid w:val="1569686F"/>
    <w:rsid w:val="16052A7F"/>
    <w:rsid w:val="167C30C3"/>
    <w:rsid w:val="169951BC"/>
    <w:rsid w:val="183B56FD"/>
    <w:rsid w:val="18AE0B48"/>
    <w:rsid w:val="18EF3710"/>
    <w:rsid w:val="1A394265"/>
    <w:rsid w:val="1B215742"/>
    <w:rsid w:val="1CC932F4"/>
    <w:rsid w:val="1E2C3B3A"/>
    <w:rsid w:val="1E303C84"/>
    <w:rsid w:val="1EA11EA0"/>
    <w:rsid w:val="1EA56673"/>
    <w:rsid w:val="1EF00CA7"/>
    <w:rsid w:val="1F633F72"/>
    <w:rsid w:val="1FB913FE"/>
    <w:rsid w:val="203C362E"/>
    <w:rsid w:val="211A411E"/>
    <w:rsid w:val="21E464DA"/>
    <w:rsid w:val="226244CC"/>
    <w:rsid w:val="22950329"/>
    <w:rsid w:val="22A30872"/>
    <w:rsid w:val="234F36E4"/>
    <w:rsid w:val="236A7C99"/>
    <w:rsid w:val="23761465"/>
    <w:rsid w:val="24194DF2"/>
    <w:rsid w:val="246A52EB"/>
    <w:rsid w:val="24741525"/>
    <w:rsid w:val="249C78F6"/>
    <w:rsid w:val="24AF2DCF"/>
    <w:rsid w:val="25AD5A5E"/>
    <w:rsid w:val="25F64131"/>
    <w:rsid w:val="26945745"/>
    <w:rsid w:val="2861758C"/>
    <w:rsid w:val="2892098A"/>
    <w:rsid w:val="297E0FC2"/>
    <w:rsid w:val="2A8C2B55"/>
    <w:rsid w:val="2AC415FD"/>
    <w:rsid w:val="2B023949"/>
    <w:rsid w:val="2B474184"/>
    <w:rsid w:val="2B9065B4"/>
    <w:rsid w:val="2B9541BC"/>
    <w:rsid w:val="2C2A04A0"/>
    <w:rsid w:val="2C4C065B"/>
    <w:rsid w:val="2C5C26DC"/>
    <w:rsid w:val="2CDF621C"/>
    <w:rsid w:val="2D3C5A1F"/>
    <w:rsid w:val="2D697A29"/>
    <w:rsid w:val="2E301AB4"/>
    <w:rsid w:val="2E7E609A"/>
    <w:rsid w:val="2F3740ED"/>
    <w:rsid w:val="2FF9333B"/>
    <w:rsid w:val="300F15EE"/>
    <w:rsid w:val="3062140F"/>
    <w:rsid w:val="31496EC2"/>
    <w:rsid w:val="31E57E30"/>
    <w:rsid w:val="31F6203D"/>
    <w:rsid w:val="32165023"/>
    <w:rsid w:val="33B379FC"/>
    <w:rsid w:val="33BB5A80"/>
    <w:rsid w:val="348738A9"/>
    <w:rsid w:val="36070CBD"/>
    <w:rsid w:val="366756A0"/>
    <w:rsid w:val="37047607"/>
    <w:rsid w:val="371B5B3B"/>
    <w:rsid w:val="3741602B"/>
    <w:rsid w:val="382D645E"/>
    <w:rsid w:val="38A87E0A"/>
    <w:rsid w:val="38D80F63"/>
    <w:rsid w:val="39C752B8"/>
    <w:rsid w:val="39FA6443"/>
    <w:rsid w:val="3A0C4B4E"/>
    <w:rsid w:val="3B1B48C3"/>
    <w:rsid w:val="3CDB07AE"/>
    <w:rsid w:val="3D143517"/>
    <w:rsid w:val="3D3F6CF4"/>
    <w:rsid w:val="3D71306C"/>
    <w:rsid w:val="3DC87AC0"/>
    <w:rsid w:val="3E166E94"/>
    <w:rsid w:val="3EA53570"/>
    <w:rsid w:val="3FA56A13"/>
    <w:rsid w:val="40077C51"/>
    <w:rsid w:val="4050649D"/>
    <w:rsid w:val="410835EE"/>
    <w:rsid w:val="418B6AEE"/>
    <w:rsid w:val="42030652"/>
    <w:rsid w:val="423D177E"/>
    <w:rsid w:val="424010B3"/>
    <w:rsid w:val="42890CAC"/>
    <w:rsid w:val="429531AD"/>
    <w:rsid w:val="42E9200F"/>
    <w:rsid w:val="432E70E3"/>
    <w:rsid w:val="445D5F4C"/>
    <w:rsid w:val="44B738AE"/>
    <w:rsid w:val="44E55E41"/>
    <w:rsid w:val="45A2046C"/>
    <w:rsid w:val="46797B93"/>
    <w:rsid w:val="46965745"/>
    <w:rsid w:val="4758626E"/>
    <w:rsid w:val="47CB141F"/>
    <w:rsid w:val="47ED28F0"/>
    <w:rsid w:val="48556CDA"/>
    <w:rsid w:val="485D0F10"/>
    <w:rsid w:val="4961784D"/>
    <w:rsid w:val="4A58410E"/>
    <w:rsid w:val="4ACA1E61"/>
    <w:rsid w:val="4B42467C"/>
    <w:rsid w:val="4C6355B6"/>
    <w:rsid w:val="4CA50490"/>
    <w:rsid w:val="4D235499"/>
    <w:rsid w:val="4D2550DF"/>
    <w:rsid w:val="4D515A96"/>
    <w:rsid w:val="4DA2556F"/>
    <w:rsid w:val="4E143612"/>
    <w:rsid w:val="4E661F86"/>
    <w:rsid w:val="4E997C57"/>
    <w:rsid w:val="4E9D3635"/>
    <w:rsid w:val="4ED62599"/>
    <w:rsid w:val="4EE01C53"/>
    <w:rsid w:val="4F4F373F"/>
    <w:rsid w:val="50771F18"/>
    <w:rsid w:val="51A703F2"/>
    <w:rsid w:val="51AA471F"/>
    <w:rsid w:val="522E2CD6"/>
    <w:rsid w:val="524A20F8"/>
    <w:rsid w:val="524E2EDF"/>
    <w:rsid w:val="53CB6FAB"/>
    <w:rsid w:val="542826BF"/>
    <w:rsid w:val="545B5616"/>
    <w:rsid w:val="55915C48"/>
    <w:rsid w:val="56DC71A4"/>
    <w:rsid w:val="59AF6DF2"/>
    <w:rsid w:val="59E02F96"/>
    <w:rsid w:val="5A10637D"/>
    <w:rsid w:val="5A244F70"/>
    <w:rsid w:val="5B280C0A"/>
    <w:rsid w:val="5BA1276A"/>
    <w:rsid w:val="5C1B076F"/>
    <w:rsid w:val="5C2441D3"/>
    <w:rsid w:val="5C9245A9"/>
    <w:rsid w:val="5C9A35A3"/>
    <w:rsid w:val="5D434E88"/>
    <w:rsid w:val="5DBB508D"/>
    <w:rsid w:val="5E047FD0"/>
    <w:rsid w:val="5EA42C9D"/>
    <w:rsid w:val="5F1519BF"/>
    <w:rsid w:val="5F375E33"/>
    <w:rsid w:val="602A7EDE"/>
    <w:rsid w:val="616E7593"/>
    <w:rsid w:val="6189617B"/>
    <w:rsid w:val="620F4C9D"/>
    <w:rsid w:val="636B6B43"/>
    <w:rsid w:val="63F56C8F"/>
    <w:rsid w:val="63F81C8C"/>
    <w:rsid w:val="640D0C57"/>
    <w:rsid w:val="64433D8E"/>
    <w:rsid w:val="64C574CA"/>
    <w:rsid w:val="64D67929"/>
    <w:rsid w:val="664066EE"/>
    <w:rsid w:val="664A0B53"/>
    <w:rsid w:val="66C8504F"/>
    <w:rsid w:val="67784CC7"/>
    <w:rsid w:val="67A07D7A"/>
    <w:rsid w:val="67B160B6"/>
    <w:rsid w:val="680A030D"/>
    <w:rsid w:val="69113EED"/>
    <w:rsid w:val="6B776A6D"/>
    <w:rsid w:val="6BCB02F6"/>
    <w:rsid w:val="6CA81B7D"/>
    <w:rsid w:val="6D7B66F3"/>
    <w:rsid w:val="6E661D1D"/>
    <w:rsid w:val="7007345D"/>
    <w:rsid w:val="70550D1A"/>
    <w:rsid w:val="707966E1"/>
    <w:rsid w:val="729A0B48"/>
    <w:rsid w:val="729B4033"/>
    <w:rsid w:val="75A82C1C"/>
    <w:rsid w:val="77354B5A"/>
    <w:rsid w:val="77875CB0"/>
    <w:rsid w:val="77CE5972"/>
    <w:rsid w:val="786F5C73"/>
    <w:rsid w:val="78F75F2F"/>
    <w:rsid w:val="79162DAA"/>
    <w:rsid w:val="7956473D"/>
    <w:rsid w:val="79B76855"/>
    <w:rsid w:val="7AD654A8"/>
    <w:rsid w:val="7B3A5533"/>
    <w:rsid w:val="7C207AE9"/>
    <w:rsid w:val="7C435390"/>
    <w:rsid w:val="7CE44BA4"/>
    <w:rsid w:val="7E663674"/>
    <w:rsid w:val="7FDC10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2"/>
      <w:lang w:val="en-US" w:eastAsia="zh-CN" w:bidi="ar-SA"/>
    </w:rPr>
  </w:style>
  <w:style w:type="paragraph" w:styleId="2">
    <w:name w:val="heading 1"/>
    <w:basedOn w:val="1"/>
    <w:next w:val="1"/>
    <w:qFormat/>
    <w:uiPriority w:val="9"/>
    <w:pPr>
      <w:keepNext/>
      <w:keepLines/>
      <w:spacing w:before="340" w:after="330" w:line="578" w:lineRule="atLeast"/>
      <w:outlineLvl w:val="0"/>
    </w:pPr>
    <w:rPr>
      <w:b/>
      <w:bCs/>
      <w:kern w:val="44"/>
      <w:sz w:val="44"/>
      <w:szCs w:val="44"/>
    </w:rPr>
  </w:style>
  <w:style w:type="paragraph" w:styleId="3">
    <w:name w:val="heading 3"/>
    <w:basedOn w:val="1"/>
    <w:next w:val="1"/>
    <w:unhideWhenUsed/>
    <w:qFormat/>
    <w:uiPriority w:val="9"/>
    <w:pPr>
      <w:keepNext/>
      <w:keepLines/>
      <w:spacing w:before="260" w:after="260" w:line="416" w:lineRule="atLeast"/>
      <w:outlineLvl w:val="2"/>
    </w:pPr>
    <w:rPr>
      <w:b/>
      <w:bCs/>
      <w:sz w:val="32"/>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1"/>
    <w:qFormat/>
    <w:uiPriority w:val="0"/>
    <w:pPr>
      <w:ind w:firstLine="420"/>
    </w:pPr>
    <w:rPr>
      <w:szCs w:val="20"/>
    </w:rPr>
  </w:style>
  <w:style w:type="paragraph" w:styleId="5">
    <w:name w:val="Body Text Indent"/>
    <w:basedOn w:val="1"/>
    <w:unhideWhenUsed/>
    <w:qFormat/>
    <w:uiPriority w:val="99"/>
    <w:pPr>
      <w:spacing w:after="120"/>
      <w:ind w:left="420" w:leftChars="200"/>
    </w:pPr>
  </w:style>
  <w:style w:type="paragraph" w:styleId="6">
    <w:name w:val="Balloon Text"/>
    <w:basedOn w:val="1"/>
    <w:link w:val="18"/>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next w:val="10"/>
    <w:qFormat/>
    <w:uiPriority w:val="0"/>
    <w:pPr>
      <w:spacing w:before="100" w:beforeAutospacing="1" w:after="100" w:afterAutospacing="1"/>
      <w:jc w:val="left"/>
    </w:pPr>
    <w:rPr>
      <w:rFonts w:cs="Times New Roman"/>
      <w:kern w:val="0"/>
      <w:sz w:val="24"/>
    </w:rPr>
  </w:style>
  <w:style w:type="paragraph" w:customStyle="1" w:styleId="10">
    <w:name w:val="样式 标题 3 + (中文) 黑体 小四 非加粗 段前: 7.8 磅 段后: 0 磅 行距: 固定值 20 磅"/>
    <w:basedOn w:val="3"/>
    <w:qFormat/>
    <w:uiPriority w:val="0"/>
    <w:pPr>
      <w:spacing w:before="0" w:after="0" w:line="400" w:lineRule="exact"/>
    </w:pPr>
    <w:rPr>
      <w:rFonts w:ascii="Courier New" w:hAnsi="Courier New" w:eastAsia="（使用中文字体）" w:cs="HiddenHorzOCl"/>
      <w:b w:val="0"/>
      <w:sz w:val="24"/>
      <w:szCs w:val="20"/>
    </w:rPr>
  </w:style>
  <w:style w:type="paragraph" w:styleId="11">
    <w:name w:val="Body Text First Indent 2"/>
    <w:basedOn w:val="5"/>
    <w:unhideWhenUsed/>
    <w:qFormat/>
    <w:uiPriority w:val="99"/>
    <w:pPr>
      <w:ind w:firstLine="420" w:firstLineChars="200"/>
    </w:p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0"/>
  </w:style>
  <w:style w:type="paragraph" w:customStyle="1" w:styleId="16">
    <w:name w:val="Fließtext"/>
    <w:basedOn w:val="1"/>
    <w:qFormat/>
    <w:uiPriority w:val="0"/>
    <w:pPr>
      <w:overflowPunct w:val="0"/>
      <w:autoSpaceDE w:val="0"/>
      <w:autoSpaceDN w:val="0"/>
      <w:adjustRightInd w:val="0"/>
      <w:textAlignment w:val="baseline"/>
    </w:pPr>
    <w:rPr>
      <w:kern w:val="28"/>
      <w:szCs w:val="20"/>
    </w:rPr>
  </w:style>
  <w:style w:type="paragraph" w:customStyle="1" w:styleId="17">
    <w:name w:val="Heading #2|1"/>
    <w:basedOn w:val="1"/>
    <w:qFormat/>
    <w:uiPriority w:val="0"/>
    <w:pPr>
      <w:spacing w:after="280" w:line="538" w:lineRule="exact"/>
      <w:jc w:val="center"/>
      <w:outlineLvl w:val="1"/>
    </w:pPr>
    <w:rPr>
      <w:rFonts w:ascii="宋体" w:hAnsi="宋体" w:cs="宋体"/>
      <w:sz w:val="42"/>
      <w:szCs w:val="42"/>
      <w:lang w:val="zh-TW" w:eastAsia="zh-TW" w:bidi="zh-TW"/>
    </w:rPr>
  </w:style>
  <w:style w:type="character" w:customStyle="1" w:styleId="18">
    <w:name w:val="批注框文本 Char"/>
    <w:basedOn w:val="14"/>
    <w:link w:val="6"/>
    <w:qFormat/>
    <w:uiPriority w:val="0"/>
    <w:rPr>
      <w:rFonts w:ascii="Calibri" w:hAnsi="Calibri" w:eastAsia="宋体" w:cs="Arial"/>
      <w:kern w:val="2"/>
      <w:sz w:val="18"/>
      <w:szCs w:val="18"/>
    </w:rPr>
  </w:style>
  <w:style w:type="paragraph" w:customStyle="1" w:styleId="19">
    <w:name w:val="15"/>
    <w:basedOn w:val="1"/>
    <w:qFormat/>
    <w:uiPriority w:val="0"/>
  </w:style>
  <w:style w:type="paragraph" w:customStyle="1" w:styleId="20">
    <w:name w:val="正文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1">
    <w:name w:val="Table Paragraph"/>
    <w:basedOn w:val="1"/>
    <w:qFormat/>
    <w:uiPriority w:val="0"/>
  </w:style>
  <w:style w:type="paragraph" w:customStyle="1" w:styleId="22">
    <w:name w:val="正文格式"/>
    <w:basedOn w:val="1"/>
    <w:qFormat/>
    <w:uiPriority w:val="0"/>
    <w:pPr>
      <w:widowControl/>
      <w:adjustRightInd w:val="0"/>
      <w:snapToGrid w:val="0"/>
      <w:spacing w:line="400" w:lineRule="atLeast"/>
      <w:ind w:firstLine="482"/>
      <w:textAlignment w:val="baseline"/>
    </w:pPr>
    <w:rPr>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14</Pages>
  <Words>7820</Words>
  <Characters>8326</Characters>
  <Lines>4</Lines>
  <Paragraphs>7</Paragraphs>
  <TotalTime>15</TotalTime>
  <ScaleCrop>false</ScaleCrop>
  <LinksUpToDate>false</LinksUpToDate>
  <CharactersWithSpaces>8481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2022-01-11T01:10:00Z</dcterms:created>
  <dc:creator>Administrator</dc:creator>
  <cp:lastModifiedBy>Administrator</cp:lastModifiedBy>
  <cp:lastPrinted>2025-12-25T02:15:22Z</cp:lastPrinted>
  <dcterms:modified xsi:type="dcterms:W3CDTF">2025-12-25T02:30:35Z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916B0A382F254096ACFC205746AF6B1B</vt:lpwstr>
  </property>
  <property fmtid="{D5CDD505-2E9C-101B-9397-08002B2CF9AE}" pid="4" name="KSOTemplateDocerSaveRecord">
    <vt:lpwstr>eyJoZGlkIjoiMmY5M2NkNzgzMTNhYzNmYjU2NTc2OGQwMGFkNmU3N2MiLCJ1c2VySWQiOiIxNTc4Njk4MDQ3In0=</vt:lpwstr>
  </property>
</Properties>
</file>