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LCCQJJ20260106</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w:t>
      </w:r>
      <w:r>
        <w:rPr>
          <w:rFonts w:hint="eastAsia" w:ascii="宋体" w:hAnsi="宋体" w:cs="宋体"/>
          <w:b/>
          <w:bCs/>
          <w:color w:val="auto"/>
          <w:sz w:val="28"/>
          <w:szCs w:val="28"/>
          <w:lang w:val="en-US" w:eastAsia="zh-CN"/>
        </w:rPr>
        <w:t>公开</w:t>
      </w:r>
      <w:r>
        <w:rPr>
          <w:rFonts w:hint="eastAsia" w:ascii="宋体" w:hAnsi="宋体" w:eastAsia="宋体" w:cs="宋体"/>
          <w:b/>
          <w:bCs/>
          <w:color w:val="auto"/>
          <w:sz w:val="28"/>
          <w:szCs w:val="28"/>
          <w:lang w:val="en-US" w:eastAsia="zh-CN"/>
        </w:rPr>
        <w:t>竞价、报名时间、地点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2026年1月6日上午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2026年1月6日上午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豸龙大酒店停车场充电桩采购及安装项目（三次）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917"/>
        <w:gridCol w:w="7337"/>
        <w:gridCol w:w="636"/>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技术参数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7KW单枪交流充电桩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1.系统输入：1）输入电压：220VAC±15%；2）工作频率：50/60Hz；</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2.系统输出：1）输出电压：220VAC±15%；2）输出电流：32A；</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3.充电功能：1）充电对象：车载充电机；2）充电方式：刷卡，扫码；3）充电选项：按金额、电量自动充满等方式；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4.通讯功能：通讯接口：4G模块；</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5.保护功能：1）自动限流特性：输出电流超过输出限流设定值时，恒流输出，输出电流不会增大；2）输出过压保护：输出电压超过最大设定值自动停止输出，以防损坏设备；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设备功能：1）身份识别：读取IC卡信息，识别用户身份及相关信息；2）小程序运用：实现查找、导航、充电、监控、移动支付等功能；3）数据管理：保护管理数据的完整，提供查询、拷贝、删除等功能；4）系统配置：管理员进行系统配置，实现不同充电装置的相关设置；5）远程监控：接受远程监控主机的命令，传送数据信息，执行控制指令；6）防护等级：IP54；7）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rPr>
              <w:t>120KW双枪直流充电桩</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1.系统输入：1）输入电压380VAC±15%；2）工作频率50HZ±10%；3）功率因素：&gt;0.99；</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2.系统输出：1）输出电压1000VDC；2）输出电流：最大250A；3）满载效率：&gt; 100%；4）稳流精度：≤±1%；5）稳压精度：≤±0.5%；6）纹波系数：≤±0.5%；</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3.充电功能：1）充电对象：车载动力电池；2）充电方式：快充；3）充电选项：按金额、电量自动充满等方式；4）辅助电源：12V供电；</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4.通讯功能：通讯接口：以太网接口/4G；</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保护功能：1）自动限流特性：输出电流超过输出限流设定值时，恒功率输出；2）输出短路保护：输出短路时，模块自行保护，以防损坏，排除故障可自动恢复工作；3）输出过压保护：输出电压超过最大设定值自动停止输出，以防损坏设备；</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设备功能：1）界面显示：显示提示信息，用户IC卡信息，充电监控计费信息；2）身份识别：读取IC卡信息，识别用户身份及相关信息；3）管理电能表：与电能表通信，获取充电电量信息；4）IC卡费用收取：收取充电费用，进行卡内余额扣除操作；5）小程序运用：实现查找、导航、充电、监控、移动支付等功能；6）数据管理：保护管理数据的完整，提供查询、拷贝、删除等功能；7）系统配置：管理员进行系统配置，实现不同充电装置的相关设置；8）远程监控：接受远程监控主机的命令，传送数据信息，执行控制指令；9）充电操作：提供操作按钮，用于用户充电操作和管理员操作管理；</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7.机柜参数（尺寸mm）：1）防护等级：IP54；2）冷却方式：强迫风冷；3）工作温度：零下20℃—50℃；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3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sz w:val="28"/>
                <w:szCs w:val="28"/>
                <w:lang w:val="en-US" w:eastAsia="zh-CN"/>
              </w:rPr>
              <w:t>96253</w:t>
            </w:r>
            <w:r>
              <w:rPr>
                <w:rFonts w:hint="eastAsia" w:ascii="宋体" w:hAnsi="宋体" w:eastAsia="宋体" w:cs="宋体"/>
                <w:sz w:val="28"/>
                <w:szCs w:val="28"/>
                <w:lang w:val="en-US" w:eastAsia="zh-CN"/>
              </w:rPr>
              <w:t>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b w:val="0"/>
          <w:bCs w:val="0"/>
          <w:color w:val="0000FF"/>
          <w:sz w:val="28"/>
          <w:szCs w:val="28"/>
          <w:lang w:val="en-US" w:eastAsia="zh-CN"/>
        </w:rPr>
        <w:t>96253</w:t>
      </w:r>
      <w:r>
        <w:rPr>
          <w:rFonts w:hint="eastAsia" w:ascii="宋体" w:hAnsi="宋体" w:eastAsia="宋体" w:cs="宋体"/>
          <w:b w:val="0"/>
          <w:bCs w:val="0"/>
          <w:color w:val="0000FF"/>
          <w:sz w:val="28"/>
          <w:szCs w:val="28"/>
          <w:lang w:val="en-US" w:eastAsia="zh-CN"/>
        </w:rPr>
        <w:t>元</w:t>
      </w:r>
      <w:r>
        <w:rPr>
          <w:rFonts w:hint="eastAsia" w:ascii="宋体" w:hAnsi="宋体" w:cs="宋体"/>
          <w:b w:val="0"/>
          <w:bCs w:val="0"/>
          <w:color w:val="0000FF"/>
          <w:sz w:val="28"/>
          <w:szCs w:val="28"/>
          <w:lang w:val="en-US" w:eastAsia="zh-CN"/>
        </w:rPr>
        <w:t>（含税包干）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（1）供货期：合同签订后</w:t>
      </w: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5日内完成供货、安装并经委托人验收合格（若因委托人原因造成安装及验收延期的，安装及验收期限做相应顺延）。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（2）质量保证：根据本竞价文件、成交人的响应文件、承诺及有关国家、行业规定。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运抵安装现场后由双方对照采购清单及技术要求进行验收。委托人一经发现成交人提供的货物与响应文件投报产品品牌型号不一致的，或产品参数要求不满足合同要求的，视为成交人违约，委托人有权追究成交人的法律责任，如解除合同等，成交人还需承担相应的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货物到货验收时成交人代表必须在场，并提供产品合格证（若有）、质量保证文件（若有）等相关证明材料。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设备到场后，所有部件成交人都不得私自开箱(或拆封)，必须先经过采购单位有关人员检验后方可开箱进行安装，否则委托人有权拒绝安装和验收。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（4）自项目验收合格之日起，成交人须提供不低于18个月的免费质保期。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（5）安全防护要求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5.1建立、健全安全检查制度，安装过程中须定期和不定期的对施工现场进行安全检查,及时发现和消除事故隐患，提供安全防护措施，确保安全生产。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5.2成交人应时刻关注和采取适当措施保障所有在场工作人员的安全，保证工程安装过程中的施工安全，现场施工应当保持有条不紊。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5.3负责已完工部分工程的保护工作，并做好防雷电、防火等的安全防护工作。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5.4施工前，应先征得委托人同意。安装期间，严禁非操作人员入内。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5.5成交人必须严格执行相关的施工工艺规范及相关规定。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0000FF"/>
          <w:sz w:val="28"/>
          <w:szCs w:val="28"/>
          <w:highlight w:val="yellow"/>
          <w:lang w:val="en-US" w:eastAsia="zh-CN"/>
        </w:rPr>
      </w:pPr>
      <w:r>
        <w:rPr>
          <w:rFonts w:hint="eastAsia" w:ascii="宋体" w:hAnsi="宋体" w:cs="宋体"/>
          <w:color w:val="0000FF"/>
          <w:sz w:val="28"/>
          <w:szCs w:val="28"/>
          <w:highlight w:val="none"/>
          <w:lang w:val="en-US" w:eastAsia="zh-CN"/>
        </w:rPr>
        <w:t>3.自2023年1月1日（时间以合同签订时间为准）起，竞价人独立完成过不少于1例类似项目业绩。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19</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cs="宋体"/>
          <w:color w:val="0000FF"/>
          <w:sz w:val="28"/>
          <w:szCs w:val="28"/>
          <w:highlight w:val="none"/>
          <w:lang w:val="en-US" w:eastAsia="zh-CN"/>
        </w:rPr>
      </w:pPr>
      <w:r>
        <w:rPr>
          <w:rFonts w:hint="eastAsia" w:ascii="宋体" w:hAnsi="宋体" w:cs="宋体"/>
          <w:color w:val="0000FF"/>
          <w:sz w:val="28"/>
          <w:szCs w:val="28"/>
          <w:highlight w:val="none"/>
          <w:lang w:val="en-US" w:eastAsia="zh-CN"/>
        </w:rPr>
        <w:t>（6）自2023年1月1日（时间以合同签订时间为准）起，不少于1例类似项目业绩证明材料，须提供合同复印件。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（7）分项报价表。</w:t>
      </w:r>
    </w:p>
    <w:tbl>
      <w:tblPr>
        <w:tblStyle w:val="11"/>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货物名称</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品牌和型号</w:t>
            </w: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7KW单枪交流充电桩</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120KW双枪直流充电桩</w:t>
            </w:r>
          </w:p>
        </w:tc>
        <w:tc>
          <w:tcPr>
            <w:tcW w:w="20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35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c>
          <w:tcPr>
            <w:tcW w:w="17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652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FF"/>
                <w:sz w:val="28"/>
                <w:szCs w:val="28"/>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本场竞价对参与竟价的人数不做限制，不受竟价人数量影响，只要有符合条件的竞价人参与并达成交易即可。</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本项目合同价款按3期支付，（1）所有货物供货、安装调试完毕后且提供相关票据的，支付合同总价款的50%；（2）所有货物经委托人验收合格后且提供相关票据的，支付合同总价款的45%；（3）免费质保期结束后且提供相关票据的，支付合同总价款的5%。如成交人未能按相关约定按时做好保修而使委托人不得不自行组织返修或请第三方进行维修的，则发生费用应在此次支付费用中扣除，剩余款项再由委托人支付给成交人。以上款项均不计利息。</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530225</wp:posOffset>
            </wp:positionH>
            <wp:positionV relativeFrom="paragraph">
              <wp:posOffset>27940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30</w:t>
      </w:r>
      <w:r>
        <w:rPr>
          <w:rFonts w:hint="eastAsia" w:ascii="宋体" w:hAnsi="宋体" w:eastAsia="宋体" w:cs="宋体"/>
          <w:color w:val="0000FF"/>
          <w:sz w:val="28"/>
          <w:szCs w:val="28"/>
          <w:lang w:val="en-US" w:eastAsia="zh-CN"/>
        </w:rPr>
        <w:t>日</w:t>
      </w: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pStyle w:val="5"/>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bookmarkStart w:id="0" w:name="_GoBack"/>
      <w:r>
        <w:rPr>
          <w:rFonts w:hint="eastAsia" w:ascii="宋体" w:hAnsi="宋体" w:cs="宋体"/>
          <w:color w:val="0000FF"/>
          <w:sz w:val="28"/>
          <w:szCs w:val="28"/>
          <w:u w:val="single"/>
          <w:lang w:val="en-US" w:eastAsia="zh-CN"/>
        </w:rPr>
        <w:t>豸龙大酒店停车场充电桩采购及安装项目（三次）</w:t>
      </w:r>
      <w:bookmarkEnd w:id="0"/>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LCCQJJ20260106</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0F2686"/>
    <w:rsid w:val="08161E50"/>
    <w:rsid w:val="081C4C9C"/>
    <w:rsid w:val="0834033F"/>
    <w:rsid w:val="086E3978"/>
    <w:rsid w:val="0A564F20"/>
    <w:rsid w:val="0AEE0C79"/>
    <w:rsid w:val="0C0C7087"/>
    <w:rsid w:val="0CA830A9"/>
    <w:rsid w:val="0CDA1129"/>
    <w:rsid w:val="0D0C3638"/>
    <w:rsid w:val="0D724C37"/>
    <w:rsid w:val="0E6A79B6"/>
    <w:rsid w:val="0E8467A8"/>
    <w:rsid w:val="0F153787"/>
    <w:rsid w:val="0FB87AA7"/>
    <w:rsid w:val="0FFD42BC"/>
    <w:rsid w:val="102E33CF"/>
    <w:rsid w:val="10554859"/>
    <w:rsid w:val="108A4FA0"/>
    <w:rsid w:val="115251AE"/>
    <w:rsid w:val="128A572B"/>
    <w:rsid w:val="12FF53B1"/>
    <w:rsid w:val="137205A3"/>
    <w:rsid w:val="138E2060"/>
    <w:rsid w:val="14416FC6"/>
    <w:rsid w:val="15474BF8"/>
    <w:rsid w:val="1569686F"/>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A01E72"/>
    <w:rsid w:val="21E464DA"/>
    <w:rsid w:val="226244CC"/>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F5703D"/>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404B14C2"/>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997C57"/>
    <w:rsid w:val="4E9D3635"/>
    <w:rsid w:val="4ED62599"/>
    <w:rsid w:val="4F4F373F"/>
    <w:rsid w:val="50112DBD"/>
    <w:rsid w:val="50113E5A"/>
    <w:rsid w:val="51A703F2"/>
    <w:rsid w:val="51AA471F"/>
    <w:rsid w:val="522E2CD6"/>
    <w:rsid w:val="524A20F8"/>
    <w:rsid w:val="524E2EDF"/>
    <w:rsid w:val="52E622F6"/>
    <w:rsid w:val="53042CF9"/>
    <w:rsid w:val="53CB6FAB"/>
    <w:rsid w:val="542826BF"/>
    <w:rsid w:val="545B5616"/>
    <w:rsid w:val="55915C48"/>
    <w:rsid w:val="559E70C6"/>
    <w:rsid w:val="56207EF4"/>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B776A6D"/>
    <w:rsid w:val="6C805BCC"/>
    <w:rsid w:val="6CA81B7D"/>
    <w:rsid w:val="6D7B66F3"/>
    <w:rsid w:val="6E661D1D"/>
    <w:rsid w:val="6F92367A"/>
    <w:rsid w:val="7007345D"/>
    <w:rsid w:val="702A3CF7"/>
    <w:rsid w:val="707966E1"/>
    <w:rsid w:val="71DE7052"/>
    <w:rsid w:val="729A0B48"/>
    <w:rsid w:val="729B4033"/>
    <w:rsid w:val="75A82C1C"/>
    <w:rsid w:val="769E7B7B"/>
    <w:rsid w:val="77354B5A"/>
    <w:rsid w:val="77875CB0"/>
    <w:rsid w:val="77CE5972"/>
    <w:rsid w:val="786F5C73"/>
    <w:rsid w:val="78E43635"/>
    <w:rsid w:val="78F75F2F"/>
    <w:rsid w:val="79162DAA"/>
    <w:rsid w:val="7956473D"/>
    <w:rsid w:val="79974B76"/>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6"/>
    <w:qFormat/>
    <w:uiPriority w:val="0"/>
    <w:rPr>
      <w:rFonts w:ascii="Calibri" w:hAnsi="Calibri" w:eastAsia="宋体" w:cs="Arial"/>
      <w:kern w:val="2"/>
      <w:sz w:val="18"/>
      <w:szCs w:val="18"/>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1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5954</Words>
  <Characters>6472</Characters>
  <Lines>4</Lines>
  <Paragraphs>7</Paragraphs>
  <TotalTime>2</TotalTime>
  <ScaleCrop>false</ScaleCrop>
  <LinksUpToDate>false</LinksUpToDate>
  <CharactersWithSpaces>6570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2025-10-28T07:00:00Z</cp:lastPrinted>
  <dcterms:modified xsi:type="dcterms:W3CDTF">2025-12-30T06:56:27Z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