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FE858">
      <w:pPr>
        <w:keepNext w:val="0"/>
        <w:keepLines w:val="0"/>
        <w:pageBreakBefore w:val="0"/>
        <w:widowControl/>
        <w:shd w:val="clear" w:color="auto" w:fill="FFFFFF"/>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highlight w:val="none"/>
        </w:rPr>
      </w:pPr>
      <w:bookmarkStart w:id="0" w:name="_GoBack"/>
      <w:r>
        <w:rPr>
          <w:rFonts w:hint="eastAsia" w:ascii="宋体" w:hAnsi="宋体" w:eastAsia="宋体" w:cs="宋体"/>
          <w:b/>
          <w:bCs/>
          <w:color w:val="auto"/>
          <w:kern w:val="0"/>
          <w:sz w:val="24"/>
          <w:szCs w:val="24"/>
          <w:highlight w:val="none"/>
          <w:shd w:val="clear" w:color="auto" w:fill="FFFFFF"/>
        </w:rPr>
        <w:t>网络竞价须知</w:t>
      </w:r>
    </w:p>
    <w:p w14:paraId="0AF9D1A3">
      <w:pPr>
        <w:keepNext w:val="0"/>
        <w:keepLines w:val="0"/>
        <w:pageBreakBefore w:val="0"/>
        <w:widowControl/>
        <w:shd w:val="clear" w:color="auto" w:fill="FFFFFF"/>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shd w:val="clear" w:color="auto" w:fill="FFFFFF"/>
        </w:rPr>
        <w:t>（项目编号:</w:t>
      </w:r>
      <w:r>
        <w:rPr>
          <w:rFonts w:hint="eastAsia" w:ascii="宋体" w:hAnsi="宋体" w:cs="宋体"/>
          <w:b/>
          <w:bCs/>
          <w:color w:val="auto"/>
          <w:kern w:val="0"/>
          <w:sz w:val="24"/>
          <w:szCs w:val="24"/>
          <w:highlight w:val="none"/>
          <w:shd w:val="clear" w:color="auto" w:fill="FFFFFF"/>
          <w:lang w:eastAsia="zh-CN"/>
        </w:rPr>
        <w:t>LCCQJJ202</w:t>
      </w:r>
      <w:r>
        <w:rPr>
          <w:rFonts w:hint="eastAsia" w:ascii="宋体" w:hAnsi="宋体" w:cs="宋体"/>
          <w:b/>
          <w:bCs/>
          <w:color w:val="auto"/>
          <w:kern w:val="0"/>
          <w:sz w:val="24"/>
          <w:szCs w:val="24"/>
          <w:highlight w:val="none"/>
          <w:shd w:val="clear" w:color="auto" w:fill="FFFFFF"/>
          <w:lang w:val="en-US" w:eastAsia="zh-CN"/>
        </w:rPr>
        <w:t>60121</w:t>
      </w:r>
      <w:r>
        <w:rPr>
          <w:rFonts w:hint="eastAsia" w:ascii="宋体" w:hAnsi="宋体" w:eastAsia="宋体" w:cs="宋体"/>
          <w:b/>
          <w:bCs/>
          <w:color w:val="auto"/>
          <w:kern w:val="0"/>
          <w:sz w:val="24"/>
          <w:szCs w:val="24"/>
          <w:highlight w:val="none"/>
          <w:shd w:val="clear" w:color="auto" w:fill="FFFFFF"/>
        </w:rPr>
        <w:t>）</w:t>
      </w:r>
    </w:p>
    <w:p w14:paraId="4742162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7C82135C">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一、竞价、报名时间、地点</w:t>
      </w:r>
    </w:p>
    <w:p w14:paraId="12D1588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竞价截止时间：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lang w:val="en-US" w:eastAsia="zh-CN"/>
        </w:rPr>
        <w:t>上午10:00止。</w:t>
      </w:r>
    </w:p>
    <w:p w14:paraId="710E35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竞价地点：</w:t>
      </w:r>
      <w:r>
        <w:rPr>
          <w:rFonts w:hint="eastAsia" w:ascii="宋体" w:hAnsi="宋体" w:eastAsia="宋体" w:cs="宋体"/>
          <w:color w:val="auto"/>
          <w:sz w:val="24"/>
          <w:szCs w:val="24"/>
          <w:highlight w:val="none"/>
          <w:lang w:eastAsia="zh-CN"/>
        </w:rPr>
        <w:t>连城县招标投标交易平台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https://lcyjy.enjoy5191.com/home</w:t>
      </w:r>
      <w:r>
        <w:rPr>
          <w:rFonts w:hint="eastAsia" w:ascii="宋体" w:hAnsi="宋体" w:eastAsia="宋体" w:cs="宋体"/>
          <w:color w:val="auto"/>
          <w:sz w:val="24"/>
          <w:szCs w:val="24"/>
          <w:highlight w:val="none"/>
        </w:rPr>
        <w:t xml:space="preserve"> )</w:t>
      </w:r>
    </w:p>
    <w:p w14:paraId="609DED8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报名截止时间：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年1月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lang w:val="en-US" w:eastAsia="zh-CN"/>
        </w:rPr>
        <w:t>上午10:00止。</w:t>
      </w:r>
    </w:p>
    <w:p w14:paraId="01E8CBE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报名地点：连城县国有资产产权交易服务有限公司（福建省龙岩市连城县莲峰镇李彭村彭坊桥路1号4层）</w:t>
      </w:r>
    </w:p>
    <w:p w14:paraId="3284D62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连城产权联系电话：</w:t>
      </w:r>
      <w:r>
        <w:rPr>
          <w:rFonts w:hint="eastAsia" w:ascii="宋体" w:hAnsi="宋体" w:cs="宋体"/>
          <w:color w:val="auto"/>
          <w:sz w:val="24"/>
          <w:szCs w:val="24"/>
          <w:highlight w:val="none"/>
          <w:lang w:val="en-US" w:eastAsia="zh-CN"/>
        </w:rPr>
        <w:t>小李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0598-8911670</w:t>
      </w:r>
    </w:p>
    <w:p w14:paraId="0460482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（工作日上班时间：08:00-12:00,14:30-17:30）</w:t>
      </w:r>
    </w:p>
    <w:p w14:paraId="63E6E52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二、项目概况及工作要求</w:t>
      </w:r>
    </w:p>
    <w:p w14:paraId="09DA79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1.项目名称：</w:t>
      </w:r>
      <w:r>
        <w:rPr>
          <w:rFonts w:hint="eastAsia" w:ascii="宋体" w:hAnsi="宋体" w:eastAsia="宋体" w:cs="宋体"/>
          <w:color w:val="auto"/>
          <w:sz w:val="24"/>
          <w:szCs w:val="24"/>
          <w:highlight w:val="none"/>
          <w:lang w:val="en-US" w:eastAsia="zh-CN"/>
        </w:rPr>
        <w:t>连城县天泉湾酒店运营有限公司电梯维保服务采购项目</w:t>
      </w:r>
    </w:p>
    <w:p w14:paraId="0DE415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2.项目内容：</w:t>
      </w:r>
    </w:p>
    <w:p w14:paraId="286FA8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连城县天泉湾酒店</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台电梯的维保服务（乘客电梯），具体数量以实际维保数量为准。合同期服务内涉及新增或减少电梯数量的，维保服务费用按实际维保电梯数量*成交单价进行结算。</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4"/>
        <w:gridCol w:w="1502"/>
        <w:gridCol w:w="831"/>
        <w:gridCol w:w="842"/>
        <w:gridCol w:w="907"/>
        <w:gridCol w:w="969"/>
        <w:gridCol w:w="1528"/>
        <w:gridCol w:w="1091"/>
        <w:gridCol w:w="1695"/>
      </w:tblGrid>
      <w:tr w14:paraId="144F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869"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49B2">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天泉湾酒店电梯清单明细表</w:t>
            </w:r>
          </w:p>
        </w:tc>
      </w:tr>
      <w:tr w14:paraId="4A14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F265">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DD0E">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产品型号</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1DDB">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0272">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编号</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424E">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速度（m/s）</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3825">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层数/站数/门</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FE6A">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维保费用单价（元/台/月）</w:t>
            </w:r>
          </w:p>
        </w:tc>
        <w:tc>
          <w:tcPr>
            <w:tcW w:w="1091" w:type="dxa"/>
            <w:tcBorders>
              <w:top w:val="single" w:color="000000" w:sz="4" w:space="0"/>
              <w:left w:val="single" w:color="000000" w:sz="4" w:space="0"/>
              <w:bottom w:val="single" w:color="000000" w:sz="4" w:space="0"/>
              <w:right w:val="nil"/>
            </w:tcBorders>
            <w:shd w:val="clear" w:color="auto" w:fill="auto"/>
            <w:vAlign w:val="center"/>
          </w:tcPr>
          <w:p w14:paraId="48FE4E0A">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年度费用（元）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0BF9">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719B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CBE4">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D7EF">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KONE MonoSpace</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37A4">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乘客电梯</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2AE4">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1#KT2</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C9E8">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8151">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72E5">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57D9">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E7D61">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包含200元及以下电梯配件费用，含增值税普通发票税费，远程监控（电梯云管家服务）等费用。</w:t>
            </w:r>
          </w:p>
        </w:tc>
      </w:tr>
      <w:tr w14:paraId="754F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40FD">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1275">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KONE MonoSpace</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5C59">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乘客电梯</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5B2E">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1#KT1</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A42E">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083E">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1386">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3AB2">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65A4E">
            <w:pPr>
              <w:pageBreakBefore w:val="0"/>
              <w:kinsoku/>
              <w:wordWrap/>
              <w:overflowPunct/>
              <w:topLinePunct w:val="0"/>
              <w:autoSpaceDE/>
              <w:autoSpaceDN/>
              <w:bidi w:val="0"/>
              <w:adjustRightInd/>
              <w:spacing w:line="440" w:lineRule="exact"/>
              <w:jc w:val="center"/>
              <w:rPr>
                <w:rFonts w:hint="eastAsia" w:ascii="宋体" w:hAnsi="宋体" w:eastAsia="宋体" w:cs="宋体"/>
                <w:i w:val="0"/>
                <w:iCs w:val="0"/>
                <w:color w:val="auto"/>
                <w:sz w:val="21"/>
                <w:szCs w:val="21"/>
                <w:highlight w:val="none"/>
                <w:u w:val="none"/>
              </w:rPr>
            </w:pPr>
          </w:p>
        </w:tc>
      </w:tr>
      <w:tr w14:paraId="0ADC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948A">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58D7">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KONE MonoSpace</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32E8">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乘客电梯</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BF5F">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2#KT2</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D69B">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587B">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229E">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2417">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48A7E">
            <w:pPr>
              <w:pageBreakBefore w:val="0"/>
              <w:kinsoku/>
              <w:wordWrap/>
              <w:overflowPunct/>
              <w:topLinePunct w:val="0"/>
              <w:autoSpaceDE/>
              <w:autoSpaceDN/>
              <w:bidi w:val="0"/>
              <w:adjustRightInd/>
              <w:spacing w:line="440" w:lineRule="exact"/>
              <w:jc w:val="center"/>
              <w:rPr>
                <w:rFonts w:hint="eastAsia" w:ascii="宋体" w:hAnsi="宋体" w:eastAsia="宋体" w:cs="宋体"/>
                <w:i w:val="0"/>
                <w:iCs w:val="0"/>
                <w:color w:val="auto"/>
                <w:sz w:val="21"/>
                <w:szCs w:val="21"/>
                <w:highlight w:val="none"/>
                <w:u w:val="none"/>
              </w:rPr>
            </w:pPr>
          </w:p>
        </w:tc>
      </w:tr>
      <w:tr w14:paraId="48304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7862">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2687">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KONE MonoSpace</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A92A">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乘客电梯</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BB92">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2#KT1</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CA7D">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798E">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6783">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2DF9">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93FA6">
            <w:pPr>
              <w:pageBreakBefore w:val="0"/>
              <w:kinsoku/>
              <w:wordWrap/>
              <w:overflowPunct/>
              <w:topLinePunct w:val="0"/>
              <w:autoSpaceDE/>
              <w:autoSpaceDN/>
              <w:bidi w:val="0"/>
              <w:adjustRightInd/>
              <w:spacing w:line="440" w:lineRule="exact"/>
              <w:jc w:val="center"/>
              <w:rPr>
                <w:rFonts w:hint="eastAsia" w:ascii="宋体" w:hAnsi="宋体" w:eastAsia="宋体" w:cs="宋体"/>
                <w:i w:val="0"/>
                <w:iCs w:val="0"/>
                <w:color w:val="auto"/>
                <w:sz w:val="21"/>
                <w:szCs w:val="21"/>
                <w:highlight w:val="none"/>
                <w:u w:val="none"/>
              </w:rPr>
            </w:pPr>
          </w:p>
        </w:tc>
      </w:tr>
      <w:tr w14:paraId="16F3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74A5">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F66C">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KONE MonoSpace</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8021">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乘客电梯</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FA3C">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4#KT2</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684C">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A055">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B8ED">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5AF3">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26020">
            <w:pPr>
              <w:pageBreakBefore w:val="0"/>
              <w:kinsoku/>
              <w:wordWrap/>
              <w:overflowPunct/>
              <w:topLinePunct w:val="0"/>
              <w:autoSpaceDE/>
              <w:autoSpaceDN/>
              <w:bidi w:val="0"/>
              <w:adjustRightInd/>
              <w:spacing w:line="440" w:lineRule="exact"/>
              <w:jc w:val="center"/>
              <w:rPr>
                <w:rFonts w:hint="eastAsia" w:ascii="宋体" w:hAnsi="宋体" w:eastAsia="宋体" w:cs="宋体"/>
                <w:i w:val="0"/>
                <w:iCs w:val="0"/>
                <w:color w:val="auto"/>
                <w:sz w:val="21"/>
                <w:szCs w:val="21"/>
                <w:highlight w:val="none"/>
                <w:u w:val="none"/>
              </w:rPr>
            </w:pPr>
          </w:p>
        </w:tc>
      </w:tr>
      <w:tr w14:paraId="64AA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1203">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D595">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KONE MonoSpace</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3863">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乘客电梯</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DE40">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4#KT1</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CD42">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3868">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0553">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E27D">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45A73">
            <w:pPr>
              <w:pageBreakBefore w:val="0"/>
              <w:kinsoku/>
              <w:wordWrap/>
              <w:overflowPunct/>
              <w:topLinePunct w:val="0"/>
              <w:autoSpaceDE/>
              <w:autoSpaceDN/>
              <w:bidi w:val="0"/>
              <w:adjustRightInd/>
              <w:spacing w:line="440" w:lineRule="exact"/>
              <w:jc w:val="center"/>
              <w:rPr>
                <w:rFonts w:hint="eastAsia" w:ascii="宋体" w:hAnsi="宋体" w:eastAsia="宋体" w:cs="宋体"/>
                <w:i w:val="0"/>
                <w:iCs w:val="0"/>
                <w:color w:val="auto"/>
                <w:sz w:val="21"/>
                <w:szCs w:val="21"/>
                <w:highlight w:val="none"/>
                <w:u w:val="none"/>
              </w:rPr>
            </w:pPr>
          </w:p>
        </w:tc>
      </w:tr>
      <w:tr w14:paraId="074C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5295">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2848">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KONE MonoSpace</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03AE">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乘客电梯</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CDD6">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5#KT3</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1153">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6117">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F56D">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4819">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F2DC0">
            <w:pPr>
              <w:pageBreakBefore w:val="0"/>
              <w:kinsoku/>
              <w:wordWrap/>
              <w:overflowPunct/>
              <w:topLinePunct w:val="0"/>
              <w:autoSpaceDE/>
              <w:autoSpaceDN/>
              <w:bidi w:val="0"/>
              <w:adjustRightInd/>
              <w:spacing w:line="440" w:lineRule="exact"/>
              <w:jc w:val="center"/>
              <w:rPr>
                <w:rFonts w:hint="eastAsia" w:ascii="宋体" w:hAnsi="宋体" w:eastAsia="宋体" w:cs="宋体"/>
                <w:i w:val="0"/>
                <w:iCs w:val="0"/>
                <w:color w:val="auto"/>
                <w:sz w:val="21"/>
                <w:szCs w:val="21"/>
                <w:highlight w:val="none"/>
                <w:u w:val="none"/>
              </w:rPr>
            </w:pPr>
          </w:p>
        </w:tc>
      </w:tr>
      <w:tr w14:paraId="49EA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DEDE">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1982">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KONE MonoSpace</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B58E">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乘客电梯</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4ECF">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5#KT4</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E11D">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3916">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C5BE">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5BC5">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D0405">
            <w:pPr>
              <w:pageBreakBefore w:val="0"/>
              <w:kinsoku/>
              <w:wordWrap/>
              <w:overflowPunct/>
              <w:topLinePunct w:val="0"/>
              <w:autoSpaceDE/>
              <w:autoSpaceDN/>
              <w:bidi w:val="0"/>
              <w:adjustRightInd/>
              <w:spacing w:line="440" w:lineRule="exact"/>
              <w:jc w:val="center"/>
              <w:rPr>
                <w:rFonts w:hint="eastAsia" w:ascii="宋体" w:hAnsi="宋体" w:eastAsia="宋体" w:cs="宋体"/>
                <w:i w:val="0"/>
                <w:iCs w:val="0"/>
                <w:color w:val="auto"/>
                <w:sz w:val="21"/>
                <w:szCs w:val="21"/>
                <w:highlight w:val="none"/>
                <w:u w:val="none"/>
              </w:rPr>
            </w:pPr>
          </w:p>
        </w:tc>
      </w:tr>
      <w:tr w14:paraId="3273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7360">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6A58">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KONE MonoSpace</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E190">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乘客电梯</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151B">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7#KT1</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2965">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8E33">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0F5D">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5A64">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58235">
            <w:pPr>
              <w:pageBreakBefore w:val="0"/>
              <w:kinsoku/>
              <w:wordWrap/>
              <w:overflowPunct/>
              <w:topLinePunct w:val="0"/>
              <w:autoSpaceDE/>
              <w:autoSpaceDN/>
              <w:bidi w:val="0"/>
              <w:adjustRightInd/>
              <w:spacing w:line="440" w:lineRule="exact"/>
              <w:jc w:val="center"/>
              <w:rPr>
                <w:rFonts w:hint="eastAsia" w:ascii="宋体" w:hAnsi="宋体" w:eastAsia="宋体" w:cs="宋体"/>
                <w:i w:val="0"/>
                <w:iCs w:val="0"/>
                <w:color w:val="auto"/>
                <w:sz w:val="21"/>
                <w:szCs w:val="21"/>
                <w:highlight w:val="none"/>
                <w:u w:val="none"/>
              </w:rPr>
            </w:pPr>
          </w:p>
        </w:tc>
      </w:tr>
      <w:tr w14:paraId="30A8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F1B3">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CE77">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KONE MonoSpace</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E33B">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乘客电梯</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5BA0">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7#KT2</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6907">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57E8">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A874">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A070">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B6012">
            <w:pPr>
              <w:pageBreakBefore w:val="0"/>
              <w:kinsoku/>
              <w:wordWrap/>
              <w:overflowPunct/>
              <w:topLinePunct w:val="0"/>
              <w:autoSpaceDE/>
              <w:autoSpaceDN/>
              <w:bidi w:val="0"/>
              <w:adjustRightInd/>
              <w:spacing w:line="440" w:lineRule="exact"/>
              <w:jc w:val="center"/>
              <w:rPr>
                <w:rFonts w:hint="eastAsia" w:ascii="宋体" w:hAnsi="宋体" w:eastAsia="宋体" w:cs="宋体"/>
                <w:i w:val="0"/>
                <w:iCs w:val="0"/>
                <w:color w:val="auto"/>
                <w:sz w:val="21"/>
                <w:szCs w:val="21"/>
                <w:highlight w:val="none"/>
                <w:u w:val="none"/>
              </w:rPr>
            </w:pPr>
          </w:p>
        </w:tc>
      </w:tr>
      <w:tr w14:paraId="1601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3C60">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F4BB">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KONE MonoSpace</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C61D">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乘客电梯</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245E">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3#KT1</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F27C">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1590">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B9DD">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E4F0">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6FA83">
            <w:pPr>
              <w:pageBreakBefore w:val="0"/>
              <w:kinsoku/>
              <w:wordWrap/>
              <w:overflowPunct/>
              <w:topLinePunct w:val="0"/>
              <w:autoSpaceDE/>
              <w:autoSpaceDN/>
              <w:bidi w:val="0"/>
              <w:adjustRightInd/>
              <w:spacing w:line="440" w:lineRule="exact"/>
              <w:jc w:val="center"/>
              <w:rPr>
                <w:rFonts w:hint="eastAsia" w:ascii="宋体" w:hAnsi="宋体" w:eastAsia="宋体" w:cs="宋体"/>
                <w:i w:val="0"/>
                <w:iCs w:val="0"/>
                <w:color w:val="auto"/>
                <w:sz w:val="21"/>
                <w:szCs w:val="21"/>
                <w:highlight w:val="none"/>
                <w:u w:val="none"/>
              </w:rPr>
            </w:pPr>
          </w:p>
        </w:tc>
      </w:tr>
      <w:tr w14:paraId="0DB4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D657">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A241">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KONE MonoSpace</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9481">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乘客电梯</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F1E6">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3#KT2</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12B4">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1EC4">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5236">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C6B8">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CAFEF">
            <w:pPr>
              <w:pageBreakBefore w:val="0"/>
              <w:kinsoku/>
              <w:wordWrap/>
              <w:overflowPunct/>
              <w:topLinePunct w:val="0"/>
              <w:autoSpaceDE/>
              <w:autoSpaceDN/>
              <w:bidi w:val="0"/>
              <w:adjustRightInd/>
              <w:spacing w:line="440" w:lineRule="exact"/>
              <w:jc w:val="center"/>
              <w:rPr>
                <w:rFonts w:hint="eastAsia" w:ascii="宋体" w:hAnsi="宋体" w:eastAsia="宋体" w:cs="宋体"/>
                <w:i w:val="0"/>
                <w:iCs w:val="0"/>
                <w:color w:val="auto"/>
                <w:sz w:val="21"/>
                <w:szCs w:val="21"/>
                <w:highlight w:val="none"/>
                <w:u w:val="none"/>
              </w:rPr>
            </w:pPr>
          </w:p>
        </w:tc>
      </w:tr>
      <w:tr w14:paraId="307B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7B81">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9857">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KONE MonoSpace</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04DA">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乘客电梯</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884D">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3#KT3</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D7E5">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4ED4">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9E9C">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BAE8">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D7D05">
            <w:pPr>
              <w:pageBreakBefore w:val="0"/>
              <w:kinsoku/>
              <w:wordWrap/>
              <w:overflowPunct/>
              <w:topLinePunct w:val="0"/>
              <w:autoSpaceDE/>
              <w:autoSpaceDN/>
              <w:bidi w:val="0"/>
              <w:adjustRightInd/>
              <w:spacing w:line="440" w:lineRule="exact"/>
              <w:jc w:val="center"/>
              <w:rPr>
                <w:rFonts w:hint="eastAsia" w:ascii="宋体" w:hAnsi="宋体" w:eastAsia="宋体" w:cs="宋体"/>
                <w:i w:val="0"/>
                <w:iCs w:val="0"/>
                <w:color w:val="auto"/>
                <w:sz w:val="21"/>
                <w:szCs w:val="21"/>
                <w:highlight w:val="none"/>
                <w:u w:val="none"/>
              </w:rPr>
            </w:pPr>
          </w:p>
        </w:tc>
      </w:tr>
      <w:tr w14:paraId="135C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6685">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586B">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KONE MonoSpace</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F3C5">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乘客电梯</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FF4A">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3#KT4</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71A8">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3252">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A063">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2B6D">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784EB">
            <w:pPr>
              <w:pageBreakBefore w:val="0"/>
              <w:kinsoku/>
              <w:wordWrap/>
              <w:overflowPunct/>
              <w:topLinePunct w:val="0"/>
              <w:autoSpaceDE/>
              <w:autoSpaceDN/>
              <w:bidi w:val="0"/>
              <w:adjustRightInd/>
              <w:spacing w:line="440" w:lineRule="exact"/>
              <w:jc w:val="center"/>
              <w:rPr>
                <w:rFonts w:hint="eastAsia" w:ascii="宋体" w:hAnsi="宋体" w:eastAsia="宋体" w:cs="宋体"/>
                <w:i w:val="0"/>
                <w:iCs w:val="0"/>
                <w:color w:val="auto"/>
                <w:sz w:val="21"/>
                <w:szCs w:val="21"/>
                <w:highlight w:val="none"/>
                <w:u w:val="none"/>
              </w:rPr>
            </w:pPr>
          </w:p>
        </w:tc>
      </w:tr>
      <w:tr w14:paraId="27B0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E3A5">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EB87">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KONE MonoSpace</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394F">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乘客电梯</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6F0E">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6#KT2</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6713">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CE02">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DB6D">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2F43">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1A278">
            <w:pPr>
              <w:pageBreakBefore w:val="0"/>
              <w:kinsoku/>
              <w:wordWrap/>
              <w:overflowPunct/>
              <w:topLinePunct w:val="0"/>
              <w:autoSpaceDE/>
              <w:autoSpaceDN/>
              <w:bidi w:val="0"/>
              <w:adjustRightInd/>
              <w:spacing w:line="440" w:lineRule="exact"/>
              <w:jc w:val="center"/>
              <w:rPr>
                <w:rFonts w:hint="eastAsia" w:ascii="宋体" w:hAnsi="宋体" w:eastAsia="宋体" w:cs="宋体"/>
                <w:i w:val="0"/>
                <w:iCs w:val="0"/>
                <w:color w:val="auto"/>
                <w:sz w:val="21"/>
                <w:szCs w:val="21"/>
                <w:highlight w:val="none"/>
                <w:u w:val="none"/>
              </w:rPr>
            </w:pPr>
          </w:p>
        </w:tc>
      </w:tr>
      <w:tr w14:paraId="08651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8F28">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FABF">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KONE MonoSpace</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347D">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乘客电梯</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E9D5">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6#KT1</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B2D5">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547A">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E7AB">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0B7B">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6C4F9">
            <w:pPr>
              <w:pageBreakBefore w:val="0"/>
              <w:kinsoku/>
              <w:wordWrap/>
              <w:overflowPunct/>
              <w:topLinePunct w:val="0"/>
              <w:autoSpaceDE/>
              <w:autoSpaceDN/>
              <w:bidi w:val="0"/>
              <w:adjustRightInd/>
              <w:spacing w:line="440" w:lineRule="exact"/>
              <w:jc w:val="center"/>
              <w:rPr>
                <w:rFonts w:hint="eastAsia" w:ascii="宋体" w:hAnsi="宋体" w:eastAsia="宋体" w:cs="宋体"/>
                <w:i w:val="0"/>
                <w:iCs w:val="0"/>
                <w:color w:val="auto"/>
                <w:sz w:val="21"/>
                <w:szCs w:val="21"/>
                <w:highlight w:val="none"/>
                <w:u w:val="none"/>
              </w:rPr>
            </w:pPr>
          </w:p>
        </w:tc>
      </w:tr>
      <w:tr w14:paraId="426A3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2C25">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887D">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KONE MonoSpace</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F1B6">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乘客电梯</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3E2F">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8#KT1</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0A9C">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AF14">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79D6">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4C3C">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FE6CF">
            <w:pPr>
              <w:pageBreakBefore w:val="0"/>
              <w:kinsoku/>
              <w:wordWrap/>
              <w:overflowPunct/>
              <w:topLinePunct w:val="0"/>
              <w:autoSpaceDE/>
              <w:autoSpaceDN/>
              <w:bidi w:val="0"/>
              <w:adjustRightInd/>
              <w:spacing w:line="440" w:lineRule="exact"/>
              <w:jc w:val="center"/>
              <w:rPr>
                <w:rFonts w:hint="eastAsia" w:ascii="宋体" w:hAnsi="宋体" w:eastAsia="宋体" w:cs="宋体"/>
                <w:i w:val="0"/>
                <w:iCs w:val="0"/>
                <w:color w:val="auto"/>
                <w:sz w:val="21"/>
                <w:szCs w:val="21"/>
                <w:highlight w:val="none"/>
                <w:u w:val="none"/>
              </w:rPr>
            </w:pPr>
          </w:p>
        </w:tc>
      </w:tr>
      <w:tr w14:paraId="442E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nil"/>
              <w:right w:val="single" w:color="000000" w:sz="4" w:space="0"/>
            </w:tcBorders>
            <w:shd w:val="clear" w:color="auto" w:fill="auto"/>
            <w:vAlign w:val="center"/>
          </w:tcPr>
          <w:p w14:paraId="7D88D14E">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F363">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KONE MonoSpace</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21B3">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乘客电梯</w:t>
            </w:r>
          </w:p>
        </w:tc>
        <w:tc>
          <w:tcPr>
            <w:tcW w:w="842" w:type="dxa"/>
            <w:tcBorders>
              <w:top w:val="single" w:color="000000" w:sz="4" w:space="0"/>
              <w:left w:val="single" w:color="000000" w:sz="4" w:space="0"/>
              <w:bottom w:val="nil"/>
              <w:right w:val="single" w:color="000000" w:sz="4" w:space="0"/>
            </w:tcBorders>
            <w:shd w:val="clear" w:color="auto" w:fill="auto"/>
            <w:noWrap/>
            <w:vAlign w:val="center"/>
          </w:tcPr>
          <w:p w14:paraId="41CFD9B2">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8#KT2</w:t>
            </w:r>
          </w:p>
        </w:tc>
        <w:tc>
          <w:tcPr>
            <w:tcW w:w="907" w:type="dxa"/>
            <w:tcBorders>
              <w:top w:val="single" w:color="000000" w:sz="4" w:space="0"/>
              <w:left w:val="single" w:color="000000" w:sz="4" w:space="0"/>
              <w:bottom w:val="nil"/>
              <w:right w:val="single" w:color="000000" w:sz="4" w:space="0"/>
            </w:tcBorders>
            <w:shd w:val="clear" w:color="auto" w:fill="auto"/>
            <w:noWrap/>
            <w:vAlign w:val="center"/>
          </w:tcPr>
          <w:p w14:paraId="701BDF6C">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69" w:type="dxa"/>
            <w:tcBorders>
              <w:top w:val="single" w:color="000000" w:sz="4" w:space="0"/>
              <w:left w:val="single" w:color="000000" w:sz="4" w:space="0"/>
              <w:bottom w:val="nil"/>
              <w:right w:val="single" w:color="000000" w:sz="4" w:space="0"/>
            </w:tcBorders>
            <w:shd w:val="clear" w:color="auto" w:fill="auto"/>
            <w:noWrap/>
            <w:vAlign w:val="center"/>
          </w:tcPr>
          <w:p w14:paraId="78DB2CCC">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899C">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E3A7">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FDE0F">
            <w:pPr>
              <w:pageBreakBefore w:val="0"/>
              <w:kinsoku/>
              <w:wordWrap/>
              <w:overflowPunct/>
              <w:topLinePunct w:val="0"/>
              <w:autoSpaceDE/>
              <w:autoSpaceDN/>
              <w:bidi w:val="0"/>
              <w:adjustRightInd/>
              <w:spacing w:line="440" w:lineRule="exact"/>
              <w:jc w:val="center"/>
              <w:rPr>
                <w:rFonts w:hint="eastAsia" w:ascii="宋体" w:hAnsi="宋体" w:eastAsia="宋体" w:cs="宋体"/>
                <w:i w:val="0"/>
                <w:iCs w:val="0"/>
                <w:color w:val="auto"/>
                <w:sz w:val="21"/>
                <w:szCs w:val="21"/>
                <w:highlight w:val="none"/>
                <w:u w:val="none"/>
              </w:rPr>
            </w:pPr>
          </w:p>
        </w:tc>
      </w:tr>
      <w:tr w14:paraId="255E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8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C413">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2B4C">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70200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99BA4">
            <w:pPr>
              <w:pageBreakBefore w:val="0"/>
              <w:kinsoku/>
              <w:wordWrap/>
              <w:overflowPunct/>
              <w:topLinePunct w:val="0"/>
              <w:autoSpaceDE/>
              <w:autoSpaceDN/>
              <w:bidi w:val="0"/>
              <w:adjustRightInd/>
              <w:spacing w:line="440" w:lineRule="exact"/>
              <w:jc w:val="center"/>
              <w:rPr>
                <w:rFonts w:hint="eastAsia" w:ascii="宋体" w:hAnsi="宋体" w:eastAsia="宋体" w:cs="宋体"/>
                <w:i w:val="0"/>
                <w:iCs w:val="0"/>
                <w:color w:val="auto"/>
                <w:sz w:val="21"/>
                <w:szCs w:val="21"/>
                <w:highlight w:val="none"/>
                <w:u w:val="none"/>
              </w:rPr>
            </w:pPr>
          </w:p>
        </w:tc>
      </w:tr>
    </w:tbl>
    <w:p w14:paraId="66F6DF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3.最高限价：</w:t>
      </w:r>
      <w:r>
        <w:rPr>
          <w:rFonts w:hint="eastAsia" w:ascii="宋体" w:hAnsi="宋体" w:eastAsia="宋体" w:cs="宋体"/>
          <w:color w:val="auto"/>
          <w:sz w:val="24"/>
          <w:szCs w:val="24"/>
          <w:highlight w:val="none"/>
          <w:lang w:val="en-US" w:eastAsia="zh-CN"/>
        </w:rPr>
        <w:t>本项目最高控制价为70200</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年</w:t>
      </w:r>
      <w:r>
        <w:rPr>
          <w:rFonts w:hint="eastAsia" w:ascii="宋体" w:hAnsi="宋体" w:eastAsia="宋体" w:cs="宋体"/>
          <w:color w:val="auto"/>
          <w:sz w:val="24"/>
          <w:szCs w:val="24"/>
          <w:highlight w:val="none"/>
          <w:lang w:val="en-US" w:eastAsia="zh-CN"/>
        </w:rPr>
        <w:t>（含税包干）。</w:t>
      </w:r>
    </w:p>
    <w:p w14:paraId="5F327C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4.竞价保证金</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000元。</w:t>
      </w:r>
    </w:p>
    <w:p w14:paraId="47AE15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5.服务期限：</w:t>
      </w:r>
      <w:r>
        <w:rPr>
          <w:rFonts w:hint="eastAsia" w:ascii="宋体" w:hAnsi="宋体" w:eastAsia="宋体" w:cs="宋体"/>
          <w:b w:val="0"/>
          <w:bCs w:val="0"/>
          <w:color w:val="auto"/>
          <w:sz w:val="24"/>
          <w:szCs w:val="24"/>
          <w:highlight w:val="none"/>
          <w:lang w:val="en-US" w:eastAsia="zh-CN"/>
        </w:rPr>
        <w:t>本项目合同期限为自合同签订起</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lang w:val="en-US" w:eastAsia="zh-CN"/>
        </w:rPr>
        <w:t>个月。</w:t>
      </w:r>
    </w:p>
    <w:p w14:paraId="3598DE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.工作要求</w:t>
      </w:r>
      <w:r>
        <w:rPr>
          <w:rFonts w:hint="eastAsia" w:ascii="宋体" w:hAnsi="宋体" w:eastAsia="宋体" w:cs="宋体"/>
          <w:b/>
          <w:bCs/>
          <w:color w:val="auto"/>
          <w:kern w:val="0"/>
          <w:sz w:val="24"/>
          <w:szCs w:val="24"/>
          <w:highlight w:val="none"/>
          <w:shd w:val="clear" w:color="auto" w:fill="FFFFFF"/>
          <w:lang w:val="en-US" w:eastAsia="zh-CN" w:bidi="ar-SA"/>
        </w:rPr>
        <w:t>（具体按委托人要求及</w:t>
      </w:r>
      <w:r>
        <w:rPr>
          <w:rFonts w:hint="eastAsia" w:ascii="宋体" w:hAnsi="宋体" w:eastAsia="宋体" w:cs="宋体"/>
          <w:b/>
          <w:bCs/>
          <w:color w:val="auto"/>
          <w:kern w:val="0"/>
          <w:sz w:val="24"/>
          <w:szCs w:val="24"/>
          <w:highlight w:val="none"/>
          <w:shd w:val="clear" w:color="auto" w:fill="FFFFFF"/>
          <w:lang w:val="en-US" w:eastAsia="zh-CN" w:bidi="ar-SA"/>
        </w:rPr>
        <w:t>《</w:t>
      </w:r>
      <w:r>
        <w:rPr>
          <w:rFonts w:hint="eastAsia" w:ascii="宋体" w:hAnsi="宋体" w:eastAsia="宋体" w:cs="宋体"/>
          <w:b/>
          <w:bCs/>
          <w:color w:val="auto"/>
          <w:sz w:val="24"/>
          <w:szCs w:val="24"/>
          <w:highlight w:val="none"/>
          <w:lang w:val="en-US" w:eastAsia="zh-CN"/>
        </w:rPr>
        <w:t>服务合同》</w:t>
      </w:r>
      <w:r>
        <w:rPr>
          <w:rFonts w:hint="eastAsia" w:ascii="宋体" w:hAnsi="宋体" w:eastAsia="宋体" w:cs="宋体"/>
          <w:b/>
          <w:bCs/>
          <w:color w:val="auto"/>
          <w:kern w:val="0"/>
          <w:sz w:val="24"/>
          <w:szCs w:val="24"/>
          <w:highlight w:val="none"/>
          <w:shd w:val="clear" w:color="auto" w:fill="FFFFFF"/>
          <w:lang w:val="en-US" w:eastAsia="zh-CN" w:bidi="ar-SA"/>
        </w:rPr>
        <w:t>执行）</w:t>
      </w:r>
      <w:r>
        <w:rPr>
          <w:rFonts w:hint="eastAsia" w:ascii="宋体" w:hAnsi="宋体" w:eastAsia="宋体" w:cs="宋体"/>
          <w:color w:val="auto"/>
          <w:sz w:val="24"/>
          <w:szCs w:val="24"/>
          <w:highlight w:val="none"/>
        </w:rPr>
        <w:t>：</w:t>
      </w:r>
    </w:p>
    <w:p w14:paraId="07707D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（1）合同要求</w:t>
      </w:r>
    </w:p>
    <w:p w14:paraId="2DFD38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1）本项目维保人员办公场所由委托人提供。</w:t>
      </w:r>
    </w:p>
    <w:p w14:paraId="200035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2）服务期内成交人服务质量应满足国家相关规定和委托人的要求并做好每月维保记录。</w:t>
      </w:r>
    </w:p>
    <w:p w14:paraId="46D770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3）服务期内成交人应承担所维保电梯的年检工作。</w:t>
      </w:r>
    </w:p>
    <w:p w14:paraId="0B5893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4）当电梯发生困人故障，成交人应在接到委托人通知后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分钟内赶赴现场实施紧急救援；电梯发生其他故障，成交人应在接到委托人通知后</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lang w:val="en-US" w:eastAsia="zh-CN"/>
        </w:rPr>
        <w:t>分钟内赶到现场实施抢修。</w:t>
      </w:r>
    </w:p>
    <w:p w14:paraId="6E4955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（2）工作目标及要求-电梯维保服务项目及要求</w:t>
      </w:r>
    </w:p>
    <w:p w14:paraId="2A58FA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表A-1  半月维保项目（内容）和要求（半月保养时间为40分钟）</w:t>
      </w:r>
    </w:p>
    <w:tbl>
      <w:tblPr>
        <w:tblStyle w:val="10"/>
        <w:tblW w:w="90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16"/>
        <w:gridCol w:w="4004"/>
        <w:gridCol w:w="3929"/>
      </w:tblGrid>
      <w:tr w14:paraId="0534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jc w:val="center"/>
        </w:trPr>
        <w:tc>
          <w:tcPr>
            <w:tcW w:w="1116" w:type="dxa"/>
            <w:tcBorders>
              <w:top w:val="single" w:color="000000" w:sz="12"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E03C7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4004" w:type="dxa"/>
            <w:tcBorders>
              <w:top w:val="single" w:color="auto" w:sz="12"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E03407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维保项目（内容）</w:t>
            </w:r>
          </w:p>
        </w:tc>
        <w:tc>
          <w:tcPr>
            <w:tcW w:w="3929" w:type="dxa"/>
            <w:tcBorders>
              <w:top w:val="single" w:color="auto" w:sz="12" w:space="0"/>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39F0D64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维保基本要求</w:t>
            </w:r>
          </w:p>
        </w:tc>
      </w:tr>
      <w:tr w14:paraId="643D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1A66DC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AB947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机房、滑轮间环境</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5786DA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清洁，门窗完好、照明正常</w:t>
            </w:r>
          </w:p>
        </w:tc>
      </w:tr>
      <w:tr w14:paraId="01D6E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62AFB4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FBE927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手动紧急操作装置</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0B57CAA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齐全，在指定位置</w:t>
            </w:r>
          </w:p>
        </w:tc>
      </w:tr>
      <w:tr w14:paraId="5F09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4BED06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C2514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曳引机</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6227F63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运行时无异常振动和异常声响</w:t>
            </w:r>
          </w:p>
        </w:tc>
      </w:tr>
      <w:tr w14:paraId="5A46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3B8CD2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92B90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制动器各销轴部位</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4A37870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润滑，动作灵活</w:t>
            </w:r>
          </w:p>
        </w:tc>
      </w:tr>
      <w:tr w14:paraId="23B3E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3ED63C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01E276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制动器间隙</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5C1DA3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打开时制动衬与制动轮不应发生摩擦，制动可靠</w:t>
            </w:r>
          </w:p>
        </w:tc>
      </w:tr>
      <w:tr w14:paraId="7F0F8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6895E0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CA0BD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编码器</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237224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清洁，安装牢固</w:t>
            </w:r>
          </w:p>
        </w:tc>
      </w:tr>
      <w:tr w14:paraId="601B2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4BE422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E7C5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限速器各销轴部位</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2D1AFA5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清洁、润滑，转动灵活；电气开关正常</w:t>
            </w:r>
          </w:p>
        </w:tc>
      </w:tr>
      <w:tr w14:paraId="46113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5E16BA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48E3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轿顶</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7E12B87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w:t>
            </w:r>
            <w:r>
              <w:rPr>
                <w:rFonts w:hint="eastAsia" w:ascii="宋体" w:hAnsi="宋体" w:cs="宋体"/>
                <w:color w:val="auto"/>
                <w:sz w:val="24"/>
                <w:szCs w:val="24"/>
                <w:highlight w:val="none"/>
                <w:lang w:val="en-US" w:eastAsia="zh-CN"/>
              </w:rPr>
              <w:t>防护栏</w:t>
            </w:r>
            <w:r>
              <w:rPr>
                <w:rFonts w:hint="eastAsia" w:ascii="宋体" w:hAnsi="宋体" w:eastAsia="宋体" w:cs="宋体"/>
                <w:color w:val="auto"/>
                <w:sz w:val="24"/>
                <w:szCs w:val="24"/>
                <w:highlight w:val="none"/>
                <w:lang w:val="en-US" w:eastAsia="zh-CN"/>
              </w:rPr>
              <w:t>安全可靠</w:t>
            </w:r>
          </w:p>
        </w:tc>
      </w:tr>
      <w:tr w14:paraId="4D47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4037C5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5B21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轿顶检修开关、急停开关</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394ED40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工作正常</w:t>
            </w:r>
          </w:p>
        </w:tc>
      </w:tr>
      <w:tr w14:paraId="4883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74466D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079C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导靴上油杯</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05CC366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吸油毛毡齐全，油量适宜，油杯无泄漏</w:t>
            </w:r>
          </w:p>
        </w:tc>
      </w:tr>
      <w:tr w14:paraId="7F77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118DAF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412C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对重块及其压板</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46B20CC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对重块无松动，压板紧固。</w:t>
            </w:r>
          </w:p>
        </w:tc>
      </w:tr>
      <w:tr w14:paraId="2720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49DEF0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4249F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井道照明</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49E3613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齐全、正常</w:t>
            </w:r>
          </w:p>
        </w:tc>
      </w:tr>
      <w:tr w14:paraId="5F41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715F0F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A7A6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轿厢照明、风扇、应急照明</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00CC0BB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完好、工作正常</w:t>
            </w:r>
          </w:p>
        </w:tc>
      </w:tr>
      <w:tr w14:paraId="3E2B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2A6A5C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AE44B2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轿厢检修开关、急停开关</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17A0D2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工作正常</w:t>
            </w:r>
          </w:p>
        </w:tc>
      </w:tr>
      <w:tr w14:paraId="34E83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494D52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89B8F4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轿内报警装置、对讲系统</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379B5B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工作正常</w:t>
            </w:r>
          </w:p>
        </w:tc>
      </w:tr>
      <w:tr w14:paraId="7236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27DBD2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80EAB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轿内显示、指令按钮</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690684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齐全、有效</w:t>
            </w:r>
          </w:p>
        </w:tc>
      </w:tr>
      <w:tr w14:paraId="0268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27DCDE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A8D93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轿门安全装置（安全触板，光幕、光电等）</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6F8F47F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灵活、功能有效</w:t>
            </w:r>
          </w:p>
        </w:tc>
      </w:tr>
      <w:tr w14:paraId="3D43F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561C4A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509B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轿门门锁电气触点</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6B76B97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 触点接触良好，接线可靠</w:t>
            </w:r>
          </w:p>
        </w:tc>
      </w:tr>
      <w:tr w14:paraId="29F1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391085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2766B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轿门运行</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705009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开启和关闭工作正常</w:t>
            </w:r>
          </w:p>
        </w:tc>
      </w:tr>
      <w:tr w14:paraId="0D31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2ED139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8D66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轿厢平层精度</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23E36DE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符合标准</w:t>
            </w:r>
          </w:p>
        </w:tc>
      </w:tr>
      <w:tr w14:paraId="3280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2AB414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8FB3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层站召唤、层楼显示</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72511D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齐全、有效</w:t>
            </w:r>
          </w:p>
        </w:tc>
      </w:tr>
      <w:tr w14:paraId="4ED9A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3AE2F7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8148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层门地坎</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66ACDC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w:t>
            </w:r>
          </w:p>
        </w:tc>
      </w:tr>
      <w:tr w14:paraId="13330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6D47A0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AF24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层门自动关门装置</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10C0A73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正常</w:t>
            </w:r>
          </w:p>
        </w:tc>
      </w:tr>
      <w:tr w14:paraId="22A95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681727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AB86D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层门门锁自动复位</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01B5086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用层门钥匙打开手动开锁装置释放后，层门门锁能自动复位</w:t>
            </w:r>
          </w:p>
        </w:tc>
      </w:tr>
      <w:tr w14:paraId="20C4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5DE774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C8544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层门门锁电气触点</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6DEE08A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 触点接触良好，接线可靠</w:t>
            </w:r>
          </w:p>
        </w:tc>
      </w:tr>
      <w:tr w14:paraId="149D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6413DA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E610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层门锁紧元件啮合深度</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0FC410C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不小于7mm</w:t>
            </w:r>
          </w:p>
        </w:tc>
      </w:tr>
      <w:tr w14:paraId="4B88A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68D285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53097E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底坑环境</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65C0C1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清洁，无渗水、积水，照明正常</w:t>
            </w:r>
          </w:p>
        </w:tc>
      </w:tr>
      <w:tr w14:paraId="317C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3" w:hRule="atLeast"/>
          <w:jc w:val="center"/>
        </w:trPr>
        <w:tc>
          <w:tcPr>
            <w:tcW w:w="1116"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39E591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40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7A48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底坑急停开关</w:t>
            </w:r>
          </w:p>
        </w:tc>
        <w:tc>
          <w:tcPr>
            <w:tcW w:w="3929"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5F6F92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清洁、工作正常</w:t>
            </w:r>
          </w:p>
        </w:tc>
      </w:tr>
    </w:tbl>
    <w:p w14:paraId="78BC5E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表A-2  季度维保项目（内容）和要求（季度保养时间为45分钟）</w:t>
      </w:r>
    </w:p>
    <w:tbl>
      <w:tblPr>
        <w:tblStyle w:val="10"/>
        <w:tblW w:w="90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99"/>
        <w:gridCol w:w="3934"/>
        <w:gridCol w:w="3933"/>
      </w:tblGrid>
      <w:tr w14:paraId="4386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199" w:type="dxa"/>
            <w:tcBorders>
              <w:top w:val="single" w:color="000000" w:sz="12"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7845A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3934" w:type="dxa"/>
            <w:tcBorders>
              <w:top w:val="single" w:color="auto" w:sz="12"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CC4E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维保项目（内容）</w:t>
            </w:r>
          </w:p>
        </w:tc>
        <w:tc>
          <w:tcPr>
            <w:tcW w:w="3933" w:type="dxa"/>
            <w:tcBorders>
              <w:top w:val="single" w:color="auto" w:sz="12" w:space="0"/>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16C971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维保基本要求</w:t>
            </w:r>
          </w:p>
        </w:tc>
      </w:tr>
      <w:tr w14:paraId="3851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7A17BE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09B731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减速机润滑油</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73F1795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油量适宜，除蜗杆伸出端外均无渗漏</w:t>
            </w:r>
          </w:p>
        </w:tc>
      </w:tr>
      <w:tr w14:paraId="29CFA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2AC370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84656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制动衬</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3DA9B85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清洁，磨损量不超过制造单位要求</w:t>
            </w:r>
          </w:p>
        </w:tc>
      </w:tr>
      <w:tr w14:paraId="2FAE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3FA3EB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57629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位置脉冲发生器</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0FB052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工作正常</w:t>
            </w:r>
          </w:p>
        </w:tc>
      </w:tr>
      <w:tr w14:paraId="0555D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60E4BE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C3D1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选层器动静触点</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3073E13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清洁，无烧蚀</w:t>
            </w:r>
          </w:p>
        </w:tc>
      </w:tr>
      <w:tr w14:paraId="6E4E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664A28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3EDD7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曳引轮槽、曳引钢丝绳</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0D71FA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清洁，无严重油腻，张力均匀</w:t>
            </w:r>
          </w:p>
        </w:tc>
      </w:tr>
      <w:tr w14:paraId="549E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0BCB4F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334107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限速器轮槽、限速器钢丝绳</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0A53D58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清洁，无严重油腻</w:t>
            </w:r>
          </w:p>
        </w:tc>
      </w:tr>
      <w:tr w14:paraId="3BE2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001110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945A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靴衬、滚轮</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26B8DB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清洁，磨损量不超过制造单位要求</w:t>
            </w:r>
          </w:p>
        </w:tc>
      </w:tr>
      <w:tr w14:paraId="41E21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6BB400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C8AD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验证轿门关闭的电气安全装置</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2ED9F85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工作正常</w:t>
            </w:r>
          </w:p>
        </w:tc>
      </w:tr>
      <w:tr w14:paraId="4AD1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044812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9408C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层门、轿门系统中传动钢丝绳、链条、胶带</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421C4C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按照制造单位要求进行清洁、调整</w:t>
            </w:r>
          </w:p>
        </w:tc>
      </w:tr>
      <w:tr w14:paraId="72BF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478161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05809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层门门导靴</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5B102DB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磨损量不超过制造单位要求</w:t>
            </w:r>
          </w:p>
        </w:tc>
      </w:tr>
      <w:tr w14:paraId="569C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63A82C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73923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消防开关</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78B325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工作正常，功能有效</w:t>
            </w:r>
          </w:p>
        </w:tc>
      </w:tr>
      <w:tr w14:paraId="7F16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1FCA66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CD507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耗能缓冲器</w:t>
            </w:r>
          </w:p>
        </w:tc>
        <w:tc>
          <w:tcPr>
            <w:tcW w:w="3933"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65F9B1B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电气安全装置功能有效，油量适宜，柱塞无锈蚀</w:t>
            </w:r>
          </w:p>
        </w:tc>
      </w:tr>
      <w:tr w14:paraId="5CED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199" w:type="dxa"/>
            <w:tcBorders>
              <w:top w:val="nil"/>
              <w:left w:val="single" w:color="auto" w:sz="12" w:space="0"/>
              <w:bottom w:val="single" w:color="auto" w:sz="12" w:space="0"/>
              <w:right w:val="single" w:color="auto" w:sz="8" w:space="0"/>
            </w:tcBorders>
            <w:shd w:val="clear" w:color="auto" w:fill="FFFFFF"/>
            <w:tcMar>
              <w:top w:w="0" w:type="dxa"/>
              <w:left w:w="108" w:type="dxa"/>
              <w:bottom w:w="0" w:type="dxa"/>
              <w:right w:w="108" w:type="dxa"/>
            </w:tcMar>
            <w:vAlign w:val="center"/>
          </w:tcPr>
          <w:p w14:paraId="5CC079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3934" w:type="dxa"/>
            <w:tcBorders>
              <w:top w:val="nil"/>
              <w:left w:val="nil"/>
              <w:bottom w:val="single" w:color="auto" w:sz="12" w:space="0"/>
              <w:right w:val="single" w:color="auto" w:sz="8" w:space="0"/>
            </w:tcBorders>
            <w:shd w:val="clear" w:color="auto" w:fill="FFFFFF"/>
            <w:tcMar>
              <w:top w:w="0" w:type="dxa"/>
              <w:left w:w="108" w:type="dxa"/>
              <w:bottom w:w="0" w:type="dxa"/>
              <w:right w:w="108" w:type="dxa"/>
            </w:tcMar>
            <w:vAlign w:val="center"/>
          </w:tcPr>
          <w:p w14:paraId="11DF6B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限速器张紧轮装置和电气安全装置</w:t>
            </w:r>
          </w:p>
        </w:tc>
        <w:tc>
          <w:tcPr>
            <w:tcW w:w="3933" w:type="dxa"/>
            <w:tcBorders>
              <w:top w:val="nil"/>
              <w:left w:val="nil"/>
              <w:bottom w:val="single" w:color="auto" w:sz="12" w:space="0"/>
              <w:right w:val="single" w:color="auto" w:sz="12" w:space="0"/>
            </w:tcBorders>
            <w:shd w:val="clear" w:color="auto" w:fill="FFFFFF"/>
            <w:tcMar>
              <w:top w:w="0" w:type="dxa"/>
              <w:left w:w="108" w:type="dxa"/>
              <w:bottom w:w="0" w:type="dxa"/>
              <w:right w:w="108" w:type="dxa"/>
            </w:tcMar>
            <w:vAlign w:val="center"/>
          </w:tcPr>
          <w:p w14:paraId="357B1B8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工作正常</w:t>
            </w:r>
          </w:p>
        </w:tc>
      </w:tr>
    </w:tbl>
    <w:p w14:paraId="40A482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表A-3  半年维保项目（内容）和要求（半年保养时间为50分钟）</w:t>
      </w:r>
    </w:p>
    <w:tbl>
      <w:tblPr>
        <w:tblStyle w:val="10"/>
        <w:tblW w:w="9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99"/>
        <w:gridCol w:w="3934"/>
        <w:gridCol w:w="3950"/>
      </w:tblGrid>
      <w:tr w14:paraId="355E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99" w:type="dxa"/>
            <w:tcBorders>
              <w:top w:val="single" w:color="000000" w:sz="12"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942DD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3934" w:type="dxa"/>
            <w:tcBorders>
              <w:top w:val="single" w:color="auto" w:sz="12"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B64A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维保项目（内容）</w:t>
            </w:r>
          </w:p>
        </w:tc>
        <w:tc>
          <w:tcPr>
            <w:tcW w:w="3950" w:type="dxa"/>
            <w:tcBorders>
              <w:top w:val="single" w:color="auto" w:sz="12" w:space="0"/>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3D8189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维保基本要求</w:t>
            </w:r>
          </w:p>
        </w:tc>
      </w:tr>
      <w:tr w14:paraId="036E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364FA8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151C7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电动机与减速机联轴器螺栓</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18A1E3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无松动</w:t>
            </w:r>
          </w:p>
        </w:tc>
      </w:tr>
      <w:tr w14:paraId="6E596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499011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DCF5B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曳引轮、导向轮轴承部</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6B4AB3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无异常声，无振动，润滑良好</w:t>
            </w:r>
          </w:p>
        </w:tc>
      </w:tr>
      <w:tr w14:paraId="54D2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0CEBB0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1B661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曳引轮槽</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4B6E7B5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磨损量不超过制造单位要求</w:t>
            </w:r>
          </w:p>
        </w:tc>
      </w:tr>
      <w:tr w14:paraId="4A75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27C071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C38B8F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制动器上检测开关</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267B4F7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工作正常，制动器动作可靠</w:t>
            </w:r>
          </w:p>
        </w:tc>
      </w:tr>
      <w:tr w14:paraId="2212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45DE6C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0FD4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控制柜内各接线端子</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7BE1A5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各接线紧固、整齐，线号齐全清晰</w:t>
            </w:r>
          </w:p>
        </w:tc>
      </w:tr>
      <w:tr w14:paraId="6859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2BDFED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B246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控制柜各仪表</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597F88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显示正确</w:t>
            </w:r>
          </w:p>
        </w:tc>
      </w:tr>
      <w:tr w14:paraId="3566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68A3D2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0BAFB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井道、对重、轿顶各反绳轮轴承部</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1B872B0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无异常声，无振动，润滑良好</w:t>
            </w:r>
          </w:p>
        </w:tc>
      </w:tr>
      <w:tr w14:paraId="2A92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668CA9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BD79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曳引绳、补偿绳</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1AADD0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磨损量、断丝数不超过要求</w:t>
            </w:r>
          </w:p>
        </w:tc>
      </w:tr>
      <w:tr w14:paraId="1E584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00729C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1D299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曳引绳绳头组合</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2550B42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螺母无松动</w:t>
            </w:r>
          </w:p>
        </w:tc>
      </w:tr>
      <w:tr w14:paraId="69CA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776A7A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4096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限速器钢丝绳</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43842C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磨损量、断丝数不超过制造单位要求</w:t>
            </w:r>
          </w:p>
        </w:tc>
      </w:tr>
      <w:tr w14:paraId="4A16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6A7FBC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D98624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层门、轿门门扇</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458B19B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门扇各相关间隙符合标准</w:t>
            </w:r>
          </w:p>
        </w:tc>
      </w:tr>
      <w:tr w14:paraId="6B3AE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3A7585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4D8E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对重缓冲距</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052481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符合标准</w:t>
            </w:r>
          </w:p>
        </w:tc>
      </w:tr>
      <w:tr w14:paraId="3BBF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99"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6D72ED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39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D8663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补偿链（绳）与轿厢、对重接合处</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17F24E7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固定、无松动</w:t>
            </w:r>
          </w:p>
        </w:tc>
      </w:tr>
      <w:tr w14:paraId="4D62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99" w:type="dxa"/>
            <w:tcBorders>
              <w:top w:val="nil"/>
              <w:left w:val="single" w:color="auto" w:sz="12" w:space="0"/>
              <w:bottom w:val="single" w:color="auto" w:sz="12" w:space="0"/>
              <w:right w:val="single" w:color="auto" w:sz="8" w:space="0"/>
            </w:tcBorders>
            <w:shd w:val="clear" w:color="auto" w:fill="FFFFFF"/>
            <w:tcMar>
              <w:top w:w="0" w:type="dxa"/>
              <w:left w:w="108" w:type="dxa"/>
              <w:bottom w:w="0" w:type="dxa"/>
              <w:right w:w="108" w:type="dxa"/>
            </w:tcMar>
            <w:vAlign w:val="center"/>
          </w:tcPr>
          <w:p w14:paraId="7FA25C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3934" w:type="dxa"/>
            <w:tcBorders>
              <w:top w:val="nil"/>
              <w:left w:val="nil"/>
              <w:bottom w:val="single" w:color="auto" w:sz="12" w:space="0"/>
              <w:right w:val="single" w:color="auto" w:sz="8" w:space="0"/>
            </w:tcBorders>
            <w:shd w:val="clear" w:color="auto" w:fill="FFFFFF"/>
            <w:tcMar>
              <w:top w:w="0" w:type="dxa"/>
              <w:left w:w="108" w:type="dxa"/>
              <w:bottom w:w="0" w:type="dxa"/>
              <w:right w:w="108" w:type="dxa"/>
            </w:tcMar>
            <w:vAlign w:val="center"/>
          </w:tcPr>
          <w:p w14:paraId="50909A5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上下极限开关</w:t>
            </w:r>
          </w:p>
        </w:tc>
        <w:tc>
          <w:tcPr>
            <w:tcW w:w="3950" w:type="dxa"/>
            <w:tcBorders>
              <w:top w:val="nil"/>
              <w:left w:val="nil"/>
              <w:bottom w:val="single" w:color="auto" w:sz="12" w:space="0"/>
              <w:right w:val="single" w:color="auto" w:sz="12" w:space="0"/>
            </w:tcBorders>
            <w:shd w:val="clear" w:color="auto" w:fill="FFFFFF"/>
            <w:tcMar>
              <w:top w:w="0" w:type="dxa"/>
              <w:left w:w="108" w:type="dxa"/>
              <w:bottom w:w="0" w:type="dxa"/>
              <w:right w:w="108" w:type="dxa"/>
            </w:tcMar>
            <w:vAlign w:val="center"/>
          </w:tcPr>
          <w:p w14:paraId="4C72384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工作正常</w:t>
            </w:r>
          </w:p>
        </w:tc>
      </w:tr>
    </w:tbl>
    <w:p w14:paraId="22C6AA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表A-4  年度维保项目（内容）和要求（年度保养时间为60分钟）</w:t>
      </w:r>
    </w:p>
    <w:tbl>
      <w:tblPr>
        <w:tblStyle w:val="10"/>
        <w:tblW w:w="90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83"/>
        <w:gridCol w:w="3966"/>
        <w:gridCol w:w="3950"/>
      </w:tblGrid>
      <w:tr w14:paraId="6765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183" w:type="dxa"/>
            <w:tcBorders>
              <w:top w:val="single" w:color="000000" w:sz="12"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A6D5F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3966" w:type="dxa"/>
            <w:tcBorders>
              <w:top w:val="single" w:color="auto" w:sz="12"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5FB6D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维保项目（内容）</w:t>
            </w:r>
          </w:p>
        </w:tc>
        <w:tc>
          <w:tcPr>
            <w:tcW w:w="3950" w:type="dxa"/>
            <w:tcBorders>
              <w:top w:val="single" w:color="auto" w:sz="12" w:space="0"/>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4A4A93A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维保基本要求</w:t>
            </w:r>
          </w:p>
        </w:tc>
      </w:tr>
      <w:tr w14:paraId="0A43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0275E9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34D76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减速机润滑油</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77E804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按照制造单位要求适时更换，保证油质符合要求</w:t>
            </w:r>
          </w:p>
        </w:tc>
      </w:tr>
      <w:tr w14:paraId="2C71A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25E296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96DF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控制柜接触器，继电器触点</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770406B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接触良好</w:t>
            </w:r>
          </w:p>
        </w:tc>
      </w:tr>
      <w:tr w14:paraId="2546A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5E05F6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7E5EF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制动器铁芯（柱塞）</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33A79A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进行清洁、润滑、检查，磨损量不超过制造单位要求</w:t>
            </w:r>
          </w:p>
        </w:tc>
      </w:tr>
      <w:tr w14:paraId="538AE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0196B0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16150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制动器制动弹簧压缩量</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025A612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符合制造单位要求，保持有足够的制动力</w:t>
            </w:r>
          </w:p>
        </w:tc>
      </w:tr>
      <w:tr w14:paraId="289D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25941A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97E7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导电回路绝缘性能测试</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5716C1F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符合标准</w:t>
            </w:r>
          </w:p>
        </w:tc>
      </w:tr>
      <w:tr w14:paraId="0F4E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1256F5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240DE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限速器安全钳联动试验（每2年进行一次限速器动作速度校验）</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402F58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工作正常</w:t>
            </w:r>
          </w:p>
        </w:tc>
      </w:tr>
      <w:tr w14:paraId="1FD39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5CB599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FDF7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上行超速保护装置动作试验</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55984F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工作正常</w:t>
            </w:r>
          </w:p>
        </w:tc>
      </w:tr>
      <w:tr w14:paraId="2890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31C618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192E4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轿顶、轿厢架、轿门及其附件安装螺栓</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27078C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紧固</w:t>
            </w:r>
          </w:p>
        </w:tc>
      </w:tr>
      <w:tr w14:paraId="3618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1C8A52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3788D9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轿厢和对重的导轨支架</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3A31C7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固定，无松动</w:t>
            </w:r>
          </w:p>
        </w:tc>
      </w:tr>
      <w:tr w14:paraId="7FDC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40D0F1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91B79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轿厢和对重的导轨</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723213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清洁，压板牢固</w:t>
            </w:r>
          </w:p>
        </w:tc>
      </w:tr>
      <w:tr w14:paraId="0359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4026BB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FE880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随行电缆</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356B57A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无损伤</w:t>
            </w:r>
          </w:p>
        </w:tc>
      </w:tr>
      <w:tr w14:paraId="4989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6" w:hRule="atLeast"/>
          <w:jc w:val="center"/>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0BAA67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0CFB5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层门装置和地坎</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44D819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无影响正常使用的变形，各安装螺栓紧固</w:t>
            </w:r>
          </w:p>
        </w:tc>
      </w:tr>
      <w:tr w14:paraId="7C61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37224D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7B9DA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轿厢称重装置</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1BDCEFE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准确有效</w:t>
            </w:r>
          </w:p>
        </w:tc>
      </w:tr>
      <w:tr w14:paraId="34E4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27B0A6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66E24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安全钳钳座</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54259EF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固定，无松动</w:t>
            </w:r>
          </w:p>
        </w:tc>
      </w:tr>
      <w:tr w14:paraId="7562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83"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3998D2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39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5B989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轿底各安装螺栓</w:t>
            </w:r>
          </w:p>
        </w:tc>
        <w:tc>
          <w:tcPr>
            <w:tcW w:w="395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14:paraId="4FC248F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紧固</w:t>
            </w:r>
          </w:p>
        </w:tc>
      </w:tr>
      <w:tr w14:paraId="7068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83" w:type="dxa"/>
            <w:tcBorders>
              <w:top w:val="nil"/>
              <w:left w:val="single" w:color="auto" w:sz="12" w:space="0"/>
              <w:bottom w:val="single" w:color="auto" w:sz="12" w:space="0"/>
              <w:right w:val="single" w:color="auto" w:sz="8" w:space="0"/>
            </w:tcBorders>
            <w:shd w:val="clear" w:color="auto" w:fill="FFFFFF"/>
            <w:tcMar>
              <w:top w:w="0" w:type="dxa"/>
              <w:left w:w="108" w:type="dxa"/>
              <w:bottom w:w="0" w:type="dxa"/>
              <w:right w:w="108" w:type="dxa"/>
            </w:tcMar>
            <w:vAlign w:val="center"/>
          </w:tcPr>
          <w:p w14:paraId="69C5CE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3966" w:type="dxa"/>
            <w:tcBorders>
              <w:top w:val="nil"/>
              <w:left w:val="nil"/>
              <w:bottom w:val="single" w:color="auto" w:sz="12" w:space="0"/>
              <w:right w:val="single" w:color="auto" w:sz="8" w:space="0"/>
            </w:tcBorders>
            <w:shd w:val="clear" w:color="auto" w:fill="FFFFFF"/>
            <w:tcMar>
              <w:top w:w="0" w:type="dxa"/>
              <w:left w:w="108" w:type="dxa"/>
              <w:bottom w:w="0" w:type="dxa"/>
              <w:right w:w="108" w:type="dxa"/>
            </w:tcMar>
            <w:vAlign w:val="center"/>
          </w:tcPr>
          <w:p w14:paraId="2A5B18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缓冲器</w:t>
            </w:r>
          </w:p>
        </w:tc>
        <w:tc>
          <w:tcPr>
            <w:tcW w:w="3950" w:type="dxa"/>
            <w:tcBorders>
              <w:top w:val="nil"/>
              <w:left w:val="nil"/>
              <w:bottom w:val="single" w:color="auto" w:sz="12" w:space="0"/>
              <w:right w:val="single" w:color="auto" w:sz="12" w:space="0"/>
            </w:tcBorders>
            <w:shd w:val="clear" w:color="auto" w:fill="FFFFFF"/>
            <w:tcMar>
              <w:top w:w="0" w:type="dxa"/>
              <w:left w:w="108" w:type="dxa"/>
              <w:bottom w:w="0" w:type="dxa"/>
              <w:right w:w="108" w:type="dxa"/>
            </w:tcMar>
            <w:vAlign w:val="center"/>
          </w:tcPr>
          <w:p w14:paraId="2AAA5D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固定，无松动</w:t>
            </w:r>
          </w:p>
        </w:tc>
      </w:tr>
    </w:tbl>
    <w:p w14:paraId="1C5E92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（3）对成交人（电梯维保服务公司）的要求 </w:t>
      </w:r>
    </w:p>
    <w:p w14:paraId="69E14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1）有健全的项目管理人员及员工配备，科学合理，有切实可行的服务承诺。</w:t>
      </w:r>
    </w:p>
    <w:p w14:paraId="5B76B3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2）成交人必须重视安全，确保承包期内做好安全生产工作，因成交人失误造成重大人员伤亡或财产损失等，委托人有权随时终止合同。</w:t>
      </w:r>
    </w:p>
    <w:p w14:paraId="626C30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3）成交人及其雇用的员工应严格遵守国家的法律、法规、村规民约，如果成交人及其所雇用的工人违反法律、法规和相关规定，所造成的后果由其自行负责，与委托人无关。</w:t>
      </w:r>
    </w:p>
    <w:p w14:paraId="6FE7F99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4）成交人应当服从委托人的管理，每季结算费用根据考核凭成交人开具的发票结算。</w:t>
      </w:r>
    </w:p>
    <w:p w14:paraId="28BF97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委托人与电梯维保服务人员不存在劳动关系。成交人负责承担本公司人员的工伤保险、社会劳动保险、雇主责任险、生活福利等一切费用。电梯维保服务人员因公或意外伤亡，由成交人负责办理保险索赔及劳动诉讼、仲裁并承担本项目服务期间所致电梯维保服务人员自身、委托人所辖项目小区、他人的人身、财产损害等全部赔偿责任。委托人不承担任何经济赔偿责任和连带责任。 </w:t>
      </w:r>
    </w:p>
    <w:p w14:paraId="034C12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）维保人员在出现电梯困人故障时未在</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分钟内赶赴现场排除故障，按500元/次扣罚服务费；若出现3次及以上的投诉情况发生的，视为视为成交人违约，委托人有权解除合同。</w:t>
      </w:r>
    </w:p>
    <w:p w14:paraId="17591E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）维保人员在出现电梯其他故障时未在</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lang w:val="en-US" w:eastAsia="zh-CN"/>
        </w:rPr>
        <w:t>分钟内赶赴现场排除故障，按500元/次扣罚服务费；若出现3次及以上的投诉情况发生的，视为视为成交人违约，委托人有权解除合同。</w:t>
      </w:r>
    </w:p>
    <w:p w14:paraId="1FC864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为保证电梯维保服务队伍稳定，电梯维保服务公司更换电梯维保服务人员时，须提前三个工作日报告委托人所辖项目负责人并提供新上岗电梯维保服务人员登记审批表、电梯维保服务公司与电梯维保服务人员签订的劳务合同副本，经委托人所辖项目负责人同意后方可更换。 </w:t>
      </w:r>
    </w:p>
    <w:p w14:paraId="1A4722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）成交人自行配备所有电梯维保服务用品及电梯维保服务用设施设备，并对装备进行及时更新和维护，保证其工作状态良好。 </w:t>
      </w:r>
    </w:p>
    <w:p w14:paraId="6BCDDA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）成交人应做好日常电梯维保服务记录，自查自检制度、各职能部门的管理制度、遇突击活动及重大活动时的应急方案，及时做好道路保洁工作。</w:t>
      </w:r>
    </w:p>
    <w:p w14:paraId="4EA645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）服务期内成交人应承担所维保电梯的年检工作。</w:t>
      </w:r>
    </w:p>
    <w:p w14:paraId="5BC520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）按采购单位现有维保合约到期时间为准，原合约到期后，中标供应商开始电梯维保服务，费用以实际开始服务起计算。</w:t>
      </w:r>
    </w:p>
    <w:p w14:paraId="2BCD1E7C">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三、竞价资格</w:t>
      </w:r>
    </w:p>
    <w:p w14:paraId="463A8B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1.遵守中华人民共和国法律、法规，且能够诚信经营，具有独立法人资格的供应商均有可能成为合格的竞价人,但已经被列入失信被执行人名单（截止报名时间）的除外。</w:t>
      </w:r>
    </w:p>
    <w:p w14:paraId="48D445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2.近</w:t>
      </w:r>
      <w:r>
        <w:rPr>
          <w:rFonts w:hint="eastAsia" w:ascii="宋体" w:hAnsi="宋体" w:eastAsia="宋体" w:cs="宋体"/>
          <w:color w:val="auto"/>
          <w:sz w:val="24"/>
          <w:szCs w:val="24"/>
          <w:highlight w:val="none"/>
          <w:lang w:val="en-US" w:eastAsia="zh-CN"/>
        </w:rPr>
        <w:t>三年执业未因违反执业规范和执业纪律受到处罚，具有良好的商业信誉。</w:t>
      </w:r>
    </w:p>
    <w:p w14:paraId="244D49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.竞价人必须是龙岩市市场监督管理局最新公布的《龙岩市电梯维保单位名单》中的龙岩市电梯维护保养单位或外地派驻龙岩维保机构。</w:t>
      </w:r>
    </w:p>
    <w:p w14:paraId="3C9D8C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竞价人</w:t>
      </w:r>
      <w:r>
        <w:rPr>
          <w:rFonts w:hint="eastAsia" w:ascii="宋体" w:hAnsi="宋体" w:eastAsia="宋体" w:cs="宋体"/>
          <w:color w:val="auto"/>
          <w:sz w:val="24"/>
          <w:szCs w:val="24"/>
          <w:highlight w:val="none"/>
        </w:rPr>
        <w:t>须具备有效的《中华人民共和国特种设备生产许可证》或《中华人民共和国特种设备安装改造维修许可证（电梯）》。若提供《中华人民共和国特种设备生产许可证》许可项目应包括电梯安装(含修理)或电梯制造(含安装、修理、改造)，须提供有效的相关证书复印件。</w:t>
      </w:r>
    </w:p>
    <w:p w14:paraId="3DD0C6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.竞价资格（及限制性条件）认定由竞价人自行审查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因此产生委托人不予签订合同及其它一切后果由竞价人自行负责。竞价人提供虚假材料或资质不符合条件的，视为恶意竞价，保证金不予退回，按违约处理，委托人可另行选取中介服务机构。</w:t>
      </w:r>
    </w:p>
    <w:p w14:paraId="574DA253">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四、竞价保证金</w:t>
      </w:r>
    </w:p>
    <w:p w14:paraId="5630442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1.竞价保证金</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000元</w:t>
      </w:r>
      <w:r>
        <w:rPr>
          <w:rFonts w:hint="eastAsia" w:ascii="宋体" w:hAnsi="宋体" w:eastAsia="宋体" w:cs="宋体"/>
          <w:color w:val="auto"/>
          <w:sz w:val="24"/>
          <w:szCs w:val="24"/>
          <w:highlight w:val="none"/>
          <w:lang w:val="en-US" w:eastAsia="zh-CN"/>
        </w:rPr>
        <w:t>，必须于</w:t>
      </w:r>
      <w:r>
        <w:rPr>
          <w:rFonts w:hint="eastAsia" w:ascii="宋体" w:hAnsi="宋体" w:eastAsia="宋体" w:cs="宋体"/>
          <w:color w:val="auto"/>
          <w:sz w:val="24"/>
          <w:szCs w:val="24"/>
          <w:highlight w:val="none"/>
          <w:lang w:val="en-US" w:eastAsia="zh-CN"/>
        </w:rPr>
        <w:t>2025年</w:t>
      </w:r>
      <w:r>
        <w:rPr>
          <w:rFonts w:hint="eastAsia" w:ascii="宋体" w:hAnsi="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上午</w:t>
      </w:r>
      <w:r>
        <w:rPr>
          <w:rFonts w:hint="eastAsia" w:ascii="宋体" w:hAnsi="宋体" w:eastAsia="宋体" w:cs="宋体"/>
          <w:b/>
          <w:bCs/>
          <w:color w:val="auto"/>
          <w:kern w:val="0"/>
          <w:sz w:val="24"/>
          <w:szCs w:val="24"/>
          <w:highlight w:val="none"/>
          <w:shd w:val="clear" w:color="auto" w:fill="FFFFFF"/>
          <w:lang w:val="en-US" w:eastAsia="zh-CN"/>
        </w:rPr>
        <w:t>10:00</w:t>
      </w:r>
      <w:r>
        <w:rPr>
          <w:rFonts w:hint="eastAsia" w:ascii="宋体" w:hAnsi="宋体" w:eastAsia="宋体" w:cs="宋体"/>
          <w:color w:val="auto"/>
          <w:sz w:val="24"/>
          <w:szCs w:val="24"/>
          <w:highlight w:val="none"/>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58BD2DA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2.竞价成交后，成交人必须在成交之日起2个工作日内与本公司签订《竞价结果通知书》，并在签订《竞价结果通知书》2个工作日内向委托人提供《服务合同》，由委托人经过相应审批程序后签订。</w:t>
      </w:r>
    </w:p>
    <w:p w14:paraId="26BAF96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3.成交人的竞价保证金在成交人与委托人签订委托合同后10个工作日内一次性无息退回。</w:t>
      </w:r>
    </w:p>
    <w:p w14:paraId="4AD1FE2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4.未成交人的保证金，在竞价结束后10个工作日内（遇法定节假日顺延）无息退回。</w:t>
      </w:r>
    </w:p>
    <w:p w14:paraId="69C0226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五、竞价手续</w:t>
      </w:r>
    </w:p>
    <w:p w14:paraId="716907F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1.有意参加竞价人应提供如下有效证照复印件：</w:t>
      </w:r>
    </w:p>
    <w:p w14:paraId="4A3CED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(1)营业执照副本、法定代表人身份证复印件；</w:t>
      </w:r>
    </w:p>
    <w:p w14:paraId="733276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(2)签订完整的承诺书；</w:t>
      </w:r>
    </w:p>
    <w:p w14:paraId="378624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(3)已缴纳的竞价保证金凭证；</w:t>
      </w:r>
    </w:p>
    <w:p w14:paraId="1FA909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(4)在参加本次采购活动前3年内在经营活动中没有重大违法记录的书面声明（格式自拟）；</w:t>
      </w:r>
    </w:p>
    <w:p w14:paraId="1C5BD0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(5)通过“信用中国”网（www.creditchina.gov.cn）或中国政府采购网（www.ccgp.gov.cn）信用信息查询无严重违法失信行为信息记录的打印件（或截图）。</w:t>
      </w:r>
    </w:p>
    <w:p w14:paraId="5C51C6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（6）提供是龙岩市市场监督管理局最新公布的《龙岩市电梯维保单位名单》的龙岩市电梯维护保养单位或外地派驻龙岩维保机构的证明材料。</w:t>
      </w:r>
    </w:p>
    <w:p w14:paraId="42C071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有效的《中华人民共和国特种设备生产许可证》或《中华人民共和国特种设备安装改造维修许可证（电梯）》。若提供《中华人民共和国特种设备生产许可证》许可项目应包括电梯安装(含修理)或电梯制造(含安装、修理、改造)，须提供有效的相关证书复印件</w:t>
      </w:r>
      <w:r>
        <w:rPr>
          <w:rFonts w:hint="eastAsia" w:ascii="宋体" w:hAnsi="宋体" w:cs="宋体"/>
          <w:color w:val="auto"/>
          <w:sz w:val="24"/>
          <w:szCs w:val="24"/>
          <w:highlight w:val="none"/>
          <w:lang w:eastAsia="zh-CN"/>
        </w:rPr>
        <w:t>。</w:t>
      </w:r>
    </w:p>
    <w:p w14:paraId="1755A81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如法定代表人无法亲自到现场办理竞价手续的，应提供《授权委托书》原件和委托代理人身份证复印件。</w:t>
      </w:r>
    </w:p>
    <w:p w14:paraId="55D6B0B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以上材料复印件须注明与原件相符并加盖公章。</w:t>
      </w:r>
    </w:p>
    <w:p w14:paraId="74A651E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2.报名方式</w:t>
      </w:r>
    </w:p>
    <w:p w14:paraId="7DD3BB4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4"/>
          <w:szCs w:val="24"/>
          <w:highlight w:val="none"/>
        </w:rPr>
        <w:t>https://lcyjy.enjoy5191.com/home</w:t>
      </w:r>
      <w:r>
        <w:rPr>
          <w:rFonts w:hint="eastAsia" w:ascii="宋体" w:hAnsi="宋体" w:eastAsia="宋体" w:cs="宋体"/>
          <w:color w:val="auto"/>
          <w:sz w:val="24"/>
          <w:szCs w:val="24"/>
          <w:highlight w:val="none"/>
          <w:lang w:val="en-US" w:eastAsia="zh-CN"/>
        </w:rPr>
        <w:t xml:space="preserve">）。若因系统原因无法上传报名材料，可通过现场递交或邮件（邮箱地址:lccqjyw20251@163.com）的方式提交。 </w:t>
      </w:r>
    </w:p>
    <w:p w14:paraId="388E7D8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3.竞价人应自行登连城县招标</w:t>
      </w:r>
      <w:r>
        <w:rPr>
          <w:rFonts w:hint="eastAsia" w:ascii="宋体" w:hAnsi="宋体" w:eastAsia="宋体" w:cs="宋体"/>
          <w:color w:val="auto"/>
          <w:sz w:val="24"/>
          <w:szCs w:val="24"/>
          <w:highlight w:val="none"/>
        </w:rPr>
        <w:t>投标交易平台</w:t>
      </w:r>
      <w:r>
        <w:rPr>
          <w:rFonts w:hint="eastAsia" w:ascii="宋体" w:hAnsi="宋体" w:eastAsia="宋体" w:cs="宋体"/>
          <w:color w:val="auto"/>
          <w:sz w:val="24"/>
          <w:szCs w:val="24"/>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194058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1547DDE9">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六、竞价程序</w:t>
      </w:r>
    </w:p>
    <w:p w14:paraId="3BFD4B7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本场竞价</w:t>
      </w:r>
      <w:r>
        <w:rPr>
          <w:rFonts w:hint="eastAsia" w:ascii="宋体" w:hAnsi="宋体" w:eastAsia="宋体" w:cs="宋体"/>
          <w:color w:val="auto"/>
          <w:sz w:val="24"/>
          <w:szCs w:val="24"/>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4"/>
          <w:szCs w:val="24"/>
          <w:highlight w:val="none"/>
        </w:rPr>
        <w:t>，竞价人不得有异议。</w:t>
      </w:r>
    </w:p>
    <w:p w14:paraId="0DA837A2">
      <w:pPr>
        <w:pageBreakBefore w:val="0"/>
        <w:widowControl/>
        <w:shd w:val="clear"/>
        <w:kinsoku/>
        <w:wordWrap/>
        <w:overflowPunct/>
        <w:topLinePunct w:val="0"/>
        <w:autoSpaceDE/>
        <w:autoSpaceDN/>
        <w:bidi w:val="0"/>
        <w:adjustRightInd/>
        <w:snapToGrid/>
        <w:spacing w:line="440" w:lineRule="exact"/>
        <w:ind w:left="0" w:firstLine="480" w:firstLineChars="200"/>
        <w:rPr>
          <w:rFonts w:hint="eastAsia" w:ascii="宋体" w:hAnsi="宋体" w:eastAsia="宋体" w:cs="宋体"/>
          <w:color w:val="auto"/>
          <w:kern w:val="2"/>
          <w:sz w:val="24"/>
          <w:szCs w:val="24"/>
          <w:highlight w:val="none"/>
          <w:shd w:val="clear"/>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2"/>
          <w:sz w:val="24"/>
          <w:szCs w:val="24"/>
          <w:highlight w:val="none"/>
          <w:shd w:val="clear"/>
        </w:rPr>
        <w:t>意向</w:t>
      </w:r>
      <w:r>
        <w:rPr>
          <w:rFonts w:hint="eastAsia" w:ascii="宋体" w:hAnsi="宋体" w:eastAsia="宋体" w:cs="宋体"/>
          <w:color w:val="auto"/>
          <w:kern w:val="2"/>
          <w:sz w:val="24"/>
          <w:szCs w:val="24"/>
          <w:highlight w:val="none"/>
          <w:shd w:val="clear"/>
          <w:lang w:eastAsia="zh-CN"/>
        </w:rPr>
        <w:t>竞价人</w:t>
      </w:r>
      <w:r>
        <w:rPr>
          <w:rFonts w:hint="eastAsia" w:ascii="宋体" w:hAnsi="宋体" w:eastAsia="宋体" w:cs="宋体"/>
          <w:color w:val="auto"/>
          <w:kern w:val="2"/>
          <w:sz w:val="24"/>
          <w:szCs w:val="24"/>
          <w:highlight w:val="none"/>
          <w:shd w:val="clear"/>
        </w:rPr>
        <w:t>应</w:t>
      </w:r>
      <w:r>
        <w:rPr>
          <w:rFonts w:hint="eastAsia" w:ascii="宋体" w:hAnsi="宋体" w:eastAsia="宋体" w:cs="宋体"/>
          <w:color w:val="auto"/>
          <w:kern w:val="2"/>
          <w:sz w:val="24"/>
          <w:szCs w:val="24"/>
          <w:highlight w:val="none"/>
          <w:shd w:val="clear"/>
          <w:lang w:val="en-US" w:eastAsia="zh-CN"/>
        </w:rPr>
        <w:t>自行登陆</w:t>
      </w:r>
      <w:r>
        <w:rPr>
          <w:rFonts w:hint="eastAsia" w:ascii="宋体" w:hAnsi="宋体" w:eastAsia="宋体" w:cs="宋体"/>
          <w:color w:val="auto"/>
          <w:kern w:val="2"/>
          <w:sz w:val="24"/>
          <w:szCs w:val="24"/>
          <w:highlight w:val="none"/>
          <w:shd w:val="clear"/>
          <w:lang w:eastAsia="zh-CN"/>
        </w:rPr>
        <w:t>连城县招标投标交易平台</w:t>
      </w:r>
      <w:r>
        <w:rPr>
          <w:rFonts w:hint="eastAsia" w:ascii="宋体" w:hAnsi="宋体" w:eastAsia="宋体" w:cs="宋体"/>
          <w:color w:val="auto"/>
          <w:kern w:val="2"/>
          <w:sz w:val="24"/>
          <w:szCs w:val="24"/>
          <w:highlight w:val="none"/>
          <w:shd w:val="clear"/>
        </w:rPr>
        <w:t>注册用户名，并于报名截止时间前办理报名竞价手续，登录到</w:t>
      </w:r>
      <w:r>
        <w:rPr>
          <w:rFonts w:hint="eastAsia" w:ascii="宋体" w:hAnsi="宋体" w:eastAsia="宋体" w:cs="宋体"/>
          <w:color w:val="auto"/>
          <w:kern w:val="2"/>
          <w:sz w:val="24"/>
          <w:szCs w:val="24"/>
          <w:highlight w:val="none"/>
          <w:shd w:val="clear"/>
          <w:lang w:eastAsia="zh-CN"/>
        </w:rPr>
        <w:t>连城县招标投标交易平台</w:t>
      </w:r>
      <w:r>
        <w:rPr>
          <w:rFonts w:hint="eastAsia" w:ascii="宋体" w:hAnsi="宋体" w:eastAsia="宋体" w:cs="宋体"/>
          <w:color w:val="auto"/>
          <w:kern w:val="2"/>
          <w:sz w:val="24"/>
          <w:szCs w:val="24"/>
          <w:highlight w:val="none"/>
          <w:shd w:val="clear"/>
        </w:rPr>
        <w:t>申请参与本场竞价。</w:t>
      </w:r>
    </w:p>
    <w:p w14:paraId="570A5EE9">
      <w:pPr>
        <w:pageBreakBefore w:val="0"/>
        <w:widowControl/>
        <w:shd w:val="clear"/>
        <w:kinsoku/>
        <w:wordWrap/>
        <w:overflowPunct/>
        <w:topLinePunct w:val="0"/>
        <w:autoSpaceDE/>
        <w:autoSpaceDN/>
        <w:bidi w:val="0"/>
        <w:adjustRightInd/>
        <w:snapToGrid/>
        <w:spacing w:line="440" w:lineRule="exact"/>
        <w:ind w:left="0" w:firstLine="480" w:firstLineChars="200"/>
        <w:rPr>
          <w:rFonts w:hint="eastAsia" w:ascii="宋体" w:hAnsi="宋体" w:eastAsia="宋体" w:cs="宋体"/>
          <w:color w:val="auto"/>
          <w:kern w:val="2"/>
          <w:sz w:val="24"/>
          <w:szCs w:val="24"/>
          <w:highlight w:val="none"/>
          <w:shd w:val="clear"/>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2"/>
          <w:sz w:val="24"/>
          <w:szCs w:val="24"/>
          <w:highlight w:val="none"/>
          <w:shd w:val="clear"/>
        </w:rPr>
        <w:t>本次公开竞价采用“连城县招标投标交易平台(https://lcyjy.enjoy5191.com/home )”网络反向一次性报价、价低者得的交易方式，以“价格优先，时间优先”（即同等价格时，以报价时间优先）确定本次竞价标的的成交人。竞价人以总价形式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753D71A8">
      <w:pPr>
        <w:pageBreakBefore w:val="0"/>
        <w:widowControl/>
        <w:shd w:val="clear"/>
        <w:kinsoku/>
        <w:wordWrap/>
        <w:overflowPunct/>
        <w:topLinePunct w:val="0"/>
        <w:autoSpaceDE/>
        <w:autoSpaceDN/>
        <w:bidi w:val="0"/>
        <w:adjustRightInd/>
        <w:snapToGrid/>
        <w:spacing w:line="440" w:lineRule="exact"/>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4.竞价人应以总价形式进行报价，竞价系统设置的价格</w:t>
      </w:r>
      <w:r>
        <w:rPr>
          <w:rFonts w:hint="eastAsia" w:ascii="宋体" w:hAnsi="宋体" w:cs="宋体"/>
          <w:color w:val="auto"/>
          <w:sz w:val="24"/>
          <w:szCs w:val="24"/>
          <w:highlight w:val="none"/>
          <w:lang w:val="en-US" w:eastAsia="zh-CN"/>
        </w:rPr>
        <w:t>70200</w:t>
      </w:r>
      <w:r>
        <w:rPr>
          <w:rFonts w:hint="eastAsia" w:ascii="宋体" w:hAnsi="宋体" w:eastAsia="宋体" w:cs="宋体"/>
          <w:color w:val="auto"/>
          <w:sz w:val="24"/>
          <w:szCs w:val="24"/>
          <w:highlight w:val="none"/>
          <w:lang w:val="en-US" w:eastAsia="zh-CN"/>
        </w:rPr>
        <w:t>元表示最高限价为人民币</w:t>
      </w:r>
      <w:r>
        <w:rPr>
          <w:rFonts w:hint="eastAsia" w:ascii="宋体" w:hAnsi="宋体" w:cs="宋体"/>
          <w:color w:val="auto"/>
          <w:sz w:val="24"/>
          <w:szCs w:val="24"/>
          <w:highlight w:val="none"/>
          <w:lang w:val="en-US" w:eastAsia="zh-CN"/>
        </w:rPr>
        <w:t>70200</w:t>
      </w:r>
      <w:r>
        <w:rPr>
          <w:rFonts w:hint="eastAsia" w:ascii="宋体" w:hAnsi="宋体" w:eastAsia="宋体" w:cs="宋体"/>
          <w:color w:val="auto"/>
          <w:sz w:val="24"/>
          <w:szCs w:val="24"/>
          <w:highlight w:val="none"/>
          <w:lang w:val="en-US" w:eastAsia="zh-CN"/>
        </w:rPr>
        <w:t>元，竞价人在竞价系统填报价格高于</w:t>
      </w:r>
      <w:r>
        <w:rPr>
          <w:rFonts w:hint="eastAsia" w:ascii="宋体" w:hAnsi="宋体" w:cs="宋体"/>
          <w:color w:val="auto"/>
          <w:sz w:val="24"/>
          <w:szCs w:val="24"/>
          <w:highlight w:val="none"/>
          <w:lang w:val="en-US" w:eastAsia="zh-CN"/>
        </w:rPr>
        <w:t>70200</w:t>
      </w:r>
      <w:r>
        <w:rPr>
          <w:rFonts w:hint="eastAsia" w:ascii="宋体" w:hAnsi="宋体" w:eastAsia="宋体" w:cs="宋体"/>
          <w:color w:val="auto"/>
          <w:sz w:val="24"/>
          <w:szCs w:val="24"/>
          <w:highlight w:val="none"/>
          <w:lang w:val="en-US" w:eastAsia="zh-CN"/>
        </w:rPr>
        <w:t>元为无效报价，填报总价最低的竞价人作为本项目成交人。</w:t>
      </w:r>
    </w:p>
    <w:p w14:paraId="7AC0796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5.特别提示：标的的合格竞价人,应在规定的报价区间进行报价，同时成交人应签署《竞价结果通知书》等相关文件，否则视同为违约。</w:t>
      </w:r>
    </w:p>
    <w:p w14:paraId="1AD507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6.本公司有权就竞价时间做出调整，如有调整将在本公司网站进行公告。</w:t>
      </w:r>
    </w:p>
    <w:p w14:paraId="507BCABB">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七、招标代理服务费</w:t>
      </w:r>
    </w:p>
    <w:p w14:paraId="2809F20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44162E0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代理服务费直接由本公司从成交人缴纳的竞价保证金中扣收，不足的，成交人必须在成交之日起2个工作日内补齐。代理服务费未按期付清的，视成交人根本违约，竞价保证金不予退回。</w:t>
      </w:r>
    </w:p>
    <w:p w14:paraId="2BB4EA39">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八、付款方式</w:t>
      </w:r>
    </w:p>
    <w:p w14:paraId="40892602">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根据双方合同及实际服务内容按季进行结算。成交人需凭增值税发票向委托人申请支付相应款项。</w:t>
      </w:r>
    </w:p>
    <w:p w14:paraId="511D1B71">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九、费用承担</w:t>
      </w:r>
    </w:p>
    <w:p w14:paraId="1D55387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US" w:eastAsia="zh-CN"/>
        </w:rPr>
        <w:t>竞价人自行承担参加竞价会有关的全部费用（包括但不限于差旅费、邮寄费、资料费等）。</w:t>
      </w:r>
    </w:p>
    <w:p w14:paraId="5B590E53">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2.成交价为包干价，包括但不限于</w:t>
      </w:r>
      <w:r>
        <w:rPr>
          <w:rFonts w:hint="eastAsia" w:ascii="宋体" w:hAnsi="宋体" w:eastAsia="宋体" w:cs="宋体"/>
          <w:color w:val="auto"/>
          <w:sz w:val="24"/>
          <w:szCs w:val="24"/>
          <w:highlight w:val="none"/>
          <w:lang w:val="en-US" w:eastAsia="zh-CN"/>
        </w:rPr>
        <w:t>200元（含）/台以内电梯零部件、劳务费、工作服、社医保、意外险、税费、用品用具、</w:t>
      </w:r>
      <w:r>
        <w:rPr>
          <w:rFonts w:hint="eastAsia" w:ascii="宋体" w:hAnsi="宋体" w:eastAsia="宋体" w:cs="宋体"/>
          <w:color w:val="auto"/>
          <w:sz w:val="24"/>
          <w:szCs w:val="24"/>
          <w:highlight w:val="none"/>
          <w:lang w:val="en-US" w:eastAsia="zh-CN"/>
        </w:rPr>
        <w:t>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09775522">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十、违约责任</w:t>
      </w:r>
    </w:p>
    <w:p w14:paraId="6E07AC8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1BA28C67">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十一、注意事项</w:t>
      </w:r>
    </w:p>
    <w:p w14:paraId="61E7C0F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1.因不可预见的原因导致上述竞价交易方式不能正常进行的，本公司有权中止交易或临时决定采用其它竞价方式和竞价交易规则，竞价人对此不得有异议。</w:t>
      </w:r>
    </w:p>
    <w:p w14:paraId="0103323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5BFB9E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3.成交后，成交人应当与委托人签订《</w:t>
      </w:r>
      <w:r>
        <w:rPr>
          <w:rFonts w:hint="eastAsia" w:ascii="宋体" w:hAnsi="宋体" w:eastAsia="宋体" w:cs="宋体"/>
          <w:b/>
          <w:bCs/>
          <w:color w:val="auto"/>
          <w:sz w:val="24"/>
          <w:szCs w:val="24"/>
          <w:highlight w:val="none"/>
          <w:lang w:val="en-US" w:eastAsia="zh-CN"/>
        </w:rPr>
        <w:t>服务合同</w:t>
      </w:r>
      <w:r>
        <w:rPr>
          <w:rFonts w:hint="eastAsia" w:ascii="宋体" w:hAnsi="宋体" w:eastAsia="宋体" w:cs="宋体"/>
          <w:color w:val="auto"/>
          <w:sz w:val="24"/>
          <w:szCs w:val="24"/>
          <w:highlight w:val="none"/>
          <w:lang w:val="en-US" w:eastAsia="zh-CN"/>
        </w:rPr>
        <w:t>》，并严格履行，双方的权利、义务以《</w:t>
      </w:r>
      <w:r>
        <w:rPr>
          <w:rFonts w:hint="eastAsia" w:ascii="宋体" w:hAnsi="宋体" w:eastAsia="宋体" w:cs="宋体"/>
          <w:b/>
          <w:bCs/>
          <w:color w:val="auto"/>
          <w:sz w:val="24"/>
          <w:szCs w:val="24"/>
          <w:highlight w:val="none"/>
          <w:lang w:val="en-US" w:eastAsia="zh-CN"/>
        </w:rPr>
        <w:t>服务合同</w:t>
      </w:r>
      <w:r>
        <w:rPr>
          <w:rFonts w:hint="eastAsia" w:ascii="宋体" w:hAnsi="宋体" w:eastAsia="宋体" w:cs="宋体"/>
          <w:color w:val="auto"/>
          <w:sz w:val="24"/>
          <w:szCs w:val="24"/>
          <w:highlight w:val="none"/>
          <w:lang w:val="en-US" w:eastAsia="zh-CN"/>
        </w:rPr>
        <w:t>》约定为准。</w:t>
      </w:r>
    </w:p>
    <w:p w14:paraId="6DADECF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4.因委托人、成交人的原因造成不能签订相应的合同或解除合同、合同无效的，我司不承担任何责任。签订《竞价结果通知书》视为我司对成交人的合同义务履行完毕。</w:t>
      </w:r>
    </w:p>
    <w:p w14:paraId="2F51137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14:paraId="442D9E8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3D47BC9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1.申请人必须对本项目情况及竞价流程进行充分的咨询和了解，一旦参与竞价，视为无异议，并对项目存在或可能存在的瑕疵表示认可，自行承担由此造成的风险。</w:t>
            </w:r>
          </w:p>
          <w:p w14:paraId="5962759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2.竞价文件如有更正修改，公告将在</w:t>
            </w:r>
            <w:r>
              <w:rPr>
                <w:rFonts w:hint="eastAsia" w:ascii="宋体" w:hAnsi="宋体" w:eastAsia="宋体" w:cs="宋体"/>
                <w:b w:val="0"/>
                <w:bCs w:val="0"/>
                <w:color w:val="auto"/>
                <w:sz w:val="24"/>
                <w:szCs w:val="24"/>
                <w:highlight w:val="none"/>
                <w:lang w:val="en-US" w:eastAsia="zh-CN"/>
              </w:rPr>
              <w:t>连城产权交易网（网址：http://www.lcxcqjy.com/）、</w:t>
            </w:r>
            <w:r>
              <w:rPr>
                <w:rFonts w:hint="eastAsia" w:ascii="宋体" w:hAnsi="宋体" w:eastAsia="宋体" w:cs="宋体"/>
                <w:color w:val="auto"/>
                <w:sz w:val="24"/>
                <w:szCs w:val="24"/>
                <w:highlight w:val="none"/>
              </w:rPr>
              <w:t>连城县招标投标交易平台(</w:t>
            </w:r>
            <w:r>
              <w:rPr>
                <w:rFonts w:hint="eastAsia" w:ascii="宋体" w:hAnsi="宋体" w:eastAsia="宋体" w:cs="宋体"/>
                <w:b w:val="0"/>
                <w:bCs w:val="0"/>
                <w:color w:val="auto"/>
                <w:sz w:val="24"/>
                <w:szCs w:val="24"/>
                <w:highlight w:val="none"/>
              </w:rPr>
              <w:t>网址：</w:t>
            </w:r>
            <w:r>
              <w:rPr>
                <w:rFonts w:hint="eastAsia" w:ascii="宋体" w:hAnsi="宋体" w:eastAsia="宋体" w:cs="宋体"/>
                <w:color w:val="auto"/>
                <w:sz w:val="24"/>
                <w:szCs w:val="24"/>
                <w:highlight w:val="none"/>
              </w:rPr>
              <w:t>https://lcyjy.enjoy5191.com/home</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6819D3D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51CAC2A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w:t>
      </w:r>
    </w:p>
    <w:p w14:paraId="4D79C9F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4"/>
          <w:szCs w:val="24"/>
          <w:highlight w:val="none"/>
          <w:lang w:val="en-US" w:eastAsia="zh-CN"/>
        </w:rPr>
        <w:t>              连城县国有资产产权交易服务有限公司</w:t>
      </w:r>
    </w:p>
    <w:p w14:paraId="47F14A5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年1月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日</w:t>
      </w:r>
    </w:p>
    <w:p w14:paraId="69DCEB1C">
      <w:pPr>
        <w:keepNext w:val="0"/>
        <w:keepLines w:val="0"/>
        <w:pageBreakBefore w:val="0"/>
        <w:kinsoku/>
        <w:wordWrap/>
        <w:overflowPunct/>
        <w:topLinePunct w:val="0"/>
        <w:autoSpaceDE/>
        <w:autoSpaceDN/>
        <w:bidi w:val="0"/>
        <w:adjustRightInd/>
        <w:spacing w:line="440" w:lineRule="exact"/>
        <w:ind w:firstLine="883"/>
        <w:jc w:val="both"/>
        <w:rPr>
          <w:rFonts w:hint="eastAsia" w:ascii="宋体" w:hAnsi="宋体" w:eastAsia="宋体" w:cs="宋体"/>
          <w:b/>
          <w:color w:val="auto"/>
          <w:sz w:val="24"/>
          <w:szCs w:val="24"/>
          <w:highlight w:val="none"/>
        </w:rPr>
      </w:pPr>
    </w:p>
    <w:p w14:paraId="18F4F5BD">
      <w:pPr>
        <w:keepNext w:val="0"/>
        <w:keepLines w:val="0"/>
        <w:pageBreakBefore w:val="0"/>
        <w:kinsoku/>
        <w:wordWrap/>
        <w:overflowPunct/>
        <w:topLinePunct w:val="0"/>
        <w:autoSpaceDE/>
        <w:autoSpaceDN/>
        <w:bidi w:val="0"/>
        <w:adjustRightInd/>
        <w:spacing w:line="440" w:lineRule="exact"/>
        <w:ind w:firstLine="883"/>
        <w:jc w:val="both"/>
        <w:rPr>
          <w:rFonts w:hint="eastAsia" w:ascii="宋体" w:hAnsi="宋体" w:eastAsia="宋体" w:cs="宋体"/>
          <w:b/>
          <w:color w:val="auto"/>
          <w:sz w:val="24"/>
          <w:szCs w:val="24"/>
          <w:highlight w:val="none"/>
        </w:rPr>
      </w:pPr>
    </w:p>
    <w:p w14:paraId="5BC140A0">
      <w:pPr>
        <w:keepNext w:val="0"/>
        <w:keepLines w:val="0"/>
        <w:pageBreakBefore w:val="0"/>
        <w:kinsoku/>
        <w:wordWrap/>
        <w:overflowPunct/>
        <w:topLinePunct w:val="0"/>
        <w:autoSpaceDE/>
        <w:autoSpaceDN/>
        <w:bidi w:val="0"/>
        <w:adjustRightInd/>
        <w:spacing w:line="440" w:lineRule="exact"/>
        <w:jc w:val="center"/>
        <w:rPr>
          <w:rFonts w:hint="eastAsia" w:ascii="宋体" w:hAnsi="宋体" w:eastAsia="宋体" w:cs="宋体"/>
          <w:b/>
          <w:color w:val="auto"/>
          <w:sz w:val="24"/>
          <w:szCs w:val="24"/>
          <w:highlight w:val="none"/>
        </w:rPr>
      </w:pPr>
    </w:p>
    <w:p w14:paraId="6FBA00D1">
      <w:pPr>
        <w:keepNext w:val="0"/>
        <w:keepLines w:val="0"/>
        <w:pageBreakBefore w:val="0"/>
        <w:kinsoku/>
        <w:wordWrap/>
        <w:overflowPunct/>
        <w:topLinePunct w:val="0"/>
        <w:autoSpaceDE/>
        <w:autoSpaceDN/>
        <w:bidi w:val="0"/>
        <w:adjustRightInd/>
        <w:spacing w:line="440" w:lineRule="exact"/>
        <w:jc w:val="center"/>
        <w:rPr>
          <w:rFonts w:hint="eastAsia" w:ascii="宋体" w:hAnsi="宋体" w:eastAsia="宋体" w:cs="宋体"/>
          <w:b/>
          <w:color w:val="auto"/>
          <w:sz w:val="24"/>
          <w:szCs w:val="24"/>
          <w:highlight w:val="none"/>
        </w:rPr>
      </w:pPr>
    </w:p>
    <w:p w14:paraId="43C88DC8">
      <w:pPr>
        <w:keepNext w:val="0"/>
        <w:keepLines w:val="0"/>
        <w:pageBreakBefore w:val="0"/>
        <w:kinsoku/>
        <w:wordWrap/>
        <w:overflowPunct/>
        <w:topLinePunct w:val="0"/>
        <w:autoSpaceDE/>
        <w:autoSpaceDN/>
        <w:bidi w:val="0"/>
        <w:adjustRightInd/>
        <w:spacing w:line="440" w:lineRule="exact"/>
        <w:jc w:val="center"/>
        <w:rPr>
          <w:rFonts w:hint="eastAsia" w:ascii="宋体" w:hAnsi="宋体" w:eastAsia="宋体" w:cs="宋体"/>
          <w:b/>
          <w:color w:val="auto"/>
          <w:sz w:val="24"/>
          <w:szCs w:val="24"/>
          <w:highlight w:val="none"/>
        </w:rPr>
      </w:pPr>
    </w:p>
    <w:p w14:paraId="2D7C5847">
      <w:pPr>
        <w:keepNext w:val="0"/>
        <w:keepLines w:val="0"/>
        <w:pageBreakBefore w:val="0"/>
        <w:kinsoku/>
        <w:wordWrap/>
        <w:overflowPunct/>
        <w:topLinePunct w:val="0"/>
        <w:autoSpaceDE/>
        <w:autoSpaceDN/>
        <w:bidi w:val="0"/>
        <w:adjustRightInd/>
        <w:spacing w:line="440" w:lineRule="exact"/>
        <w:jc w:val="center"/>
        <w:rPr>
          <w:rFonts w:hint="eastAsia" w:ascii="宋体" w:hAnsi="宋体" w:eastAsia="宋体" w:cs="宋体"/>
          <w:b/>
          <w:color w:val="auto"/>
          <w:sz w:val="24"/>
          <w:szCs w:val="24"/>
          <w:highlight w:val="none"/>
        </w:rPr>
      </w:pPr>
    </w:p>
    <w:p w14:paraId="4C381FA6">
      <w:pPr>
        <w:pStyle w:val="2"/>
        <w:pageBreakBefore w:val="0"/>
        <w:kinsoku/>
        <w:wordWrap/>
        <w:overflowPunct/>
        <w:topLinePunct w:val="0"/>
        <w:autoSpaceDE/>
        <w:autoSpaceDN/>
        <w:bidi w:val="0"/>
        <w:adjustRightInd/>
        <w:spacing w:line="440" w:lineRule="exact"/>
        <w:rPr>
          <w:rFonts w:hint="eastAsia" w:ascii="宋体" w:hAnsi="宋体" w:eastAsia="宋体" w:cs="宋体"/>
          <w:b/>
          <w:color w:val="auto"/>
          <w:sz w:val="24"/>
          <w:szCs w:val="24"/>
          <w:highlight w:val="none"/>
        </w:rPr>
      </w:pPr>
    </w:p>
    <w:p w14:paraId="3EC787FB">
      <w:pPr>
        <w:pageBreakBefore w:val="0"/>
        <w:kinsoku/>
        <w:wordWrap/>
        <w:overflowPunct/>
        <w:topLinePunct w:val="0"/>
        <w:autoSpaceDE/>
        <w:autoSpaceDN/>
        <w:bidi w:val="0"/>
        <w:adjustRightInd/>
        <w:spacing w:line="440" w:lineRule="exact"/>
        <w:rPr>
          <w:rFonts w:hint="eastAsia" w:ascii="宋体" w:hAnsi="宋体" w:eastAsia="宋体" w:cs="宋体"/>
          <w:b/>
          <w:color w:val="auto"/>
          <w:sz w:val="24"/>
          <w:szCs w:val="24"/>
          <w:highlight w:val="none"/>
        </w:rPr>
      </w:pPr>
    </w:p>
    <w:p w14:paraId="3D7B5A2D">
      <w:pPr>
        <w:pStyle w:val="2"/>
        <w:pageBreakBefore w:val="0"/>
        <w:kinsoku/>
        <w:wordWrap/>
        <w:overflowPunct/>
        <w:topLinePunct w:val="0"/>
        <w:autoSpaceDE/>
        <w:autoSpaceDN/>
        <w:bidi w:val="0"/>
        <w:adjustRightInd/>
        <w:spacing w:line="440" w:lineRule="exact"/>
        <w:rPr>
          <w:rFonts w:hint="eastAsia" w:ascii="宋体" w:hAnsi="宋体" w:eastAsia="宋体" w:cs="宋体"/>
          <w:b/>
          <w:color w:val="auto"/>
          <w:sz w:val="24"/>
          <w:szCs w:val="24"/>
          <w:highlight w:val="none"/>
        </w:rPr>
      </w:pPr>
    </w:p>
    <w:p w14:paraId="4D579D08">
      <w:pPr>
        <w:pageBreakBefore w:val="0"/>
        <w:kinsoku/>
        <w:wordWrap/>
        <w:overflowPunct/>
        <w:topLinePunct w:val="0"/>
        <w:autoSpaceDE/>
        <w:autoSpaceDN/>
        <w:bidi w:val="0"/>
        <w:adjustRightInd/>
        <w:spacing w:line="440" w:lineRule="exact"/>
        <w:rPr>
          <w:rFonts w:hint="eastAsia" w:ascii="宋体" w:hAnsi="宋体" w:eastAsia="宋体" w:cs="宋体"/>
          <w:b/>
          <w:color w:val="auto"/>
          <w:sz w:val="24"/>
          <w:szCs w:val="24"/>
          <w:highlight w:val="none"/>
        </w:rPr>
      </w:pPr>
    </w:p>
    <w:p w14:paraId="6806AEE4">
      <w:pPr>
        <w:pageBreakBefore w:val="0"/>
        <w:kinsoku/>
        <w:wordWrap/>
        <w:overflowPunct/>
        <w:topLinePunct w:val="0"/>
        <w:autoSpaceDE/>
        <w:autoSpaceDN/>
        <w:bidi w:val="0"/>
        <w:adjustRightInd/>
        <w:spacing w:line="440" w:lineRule="exact"/>
        <w:rPr>
          <w:rFonts w:hint="eastAsia" w:ascii="宋体" w:hAnsi="宋体" w:eastAsia="宋体" w:cs="宋体"/>
          <w:b/>
          <w:color w:val="auto"/>
          <w:sz w:val="24"/>
          <w:szCs w:val="24"/>
          <w:highlight w:val="none"/>
        </w:rPr>
      </w:pPr>
    </w:p>
    <w:p w14:paraId="30C9983F">
      <w:pPr>
        <w:pageBreakBefore w:val="0"/>
        <w:kinsoku/>
        <w:wordWrap/>
        <w:overflowPunct/>
        <w:topLinePunct w:val="0"/>
        <w:autoSpaceDE/>
        <w:autoSpaceDN/>
        <w:bidi w:val="0"/>
        <w:adjustRightInd/>
        <w:spacing w:line="440" w:lineRule="exact"/>
        <w:rPr>
          <w:rFonts w:hint="eastAsia" w:ascii="宋体" w:hAnsi="宋体" w:eastAsia="宋体" w:cs="宋体"/>
          <w:b/>
          <w:color w:val="auto"/>
          <w:sz w:val="24"/>
          <w:szCs w:val="24"/>
          <w:highlight w:val="none"/>
        </w:rPr>
      </w:pPr>
    </w:p>
    <w:p w14:paraId="1E8EBEA3">
      <w:pPr>
        <w:pageBreakBefore w:val="0"/>
        <w:kinsoku/>
        <w:wordWrap/>
        <w:overflowPunct/>
        <w:topLinePunct w:val="0"/>
        <w:autoSpaceDE/>
        <w:autoSpaceDN/>
        <w:bidi w:val="0"/>
        <w:adjustRightInd/>
        <w:spacing w:line="440" w:lineRule="exact"/>
        <w:rPr>
          <w:rFonts w:hint="eastAsia" w:ascii="宋体" w:hAnsi="宋体" w:eastAsia="宋体" w:cs="宋体"/>
          <w:b/>
          <w:color w:val="auto"/>
          <w:sz w:val="24"/>
          <w:szCs w:val="24"/>
          <w:highlight w:val="none"/>
        </w:rPr>
      </w:pPr>
    </w:p>
    <w:p w14:paraId="470917E9">
      <w:pPr>
        <w:pageBreakBefore w:val="0"/>
        <w:kinsoku/>
        <w:wordWrap/>
        <w:overflowPunct/>
        <w:topLinePunct w:val="0"/>
        <w:autoSpaceDE/>
        <w:autoSpaceDN/>
        <w:bidi w:val="0"/>
        <w:adjustRightInd/>
        <w:spacing w:line="440" w:lineRule="exact"/>
        <w:rPr>
          <w:rFonts w:hint="eastAsia" w:ascii="宋体" w:hAnsi="宋体" w:eastAsia="宋体" w:cs="宋体"/>
          <w:b/>
          <w:color w:val="auto"/>
          <w:sz w:val="24"/>
          <w:szCs w:val="24"/>
          <w:highlight w:val="none"/>
        </w:rPr>
      </w:pPr>
    </w:p>
    <w:p w14:paraId="43727174">
      <w:pPr>
        <w:pageBreakBefore w:val="0"/>
        <w:kinsoku/>
        <w:wordWrap/>
        <w:overflowPunct/>
        <w:topLinePunct w:val="0"/>
        <w:autoSpaceDE/>
        <w:autoSpaceDN/>
        <w:bidi w:val="0"/>
        <w:adjustRightInd/>
        <w:spacing w:line="440" w:lineRule="exact"/>
        <w:rPr>
          <w:rFonts w:hint="eastAsia" w:ascii="宋体" w:hAnsi="宋体" w:eastAsia="宋体" w:cs="宋体"/>
          <w:b/>
          <w:color w:val="auto"/>
          <w:sz w:val="24"/>
          <w:szCs w:val="24"/>
          <w:highlight w:val="none"/>
        </w:rPr>
      </w:pPr>
    </w:p>
    <w:p w14:paraId="2587E33B">
      <w:pPr>
        <w:pageBreakBefore w:val="0"/>
        <w:kinsoku/>
        <w:wordWrap/>
        <w:overflowPunct/>
        <w:topLinePunct w:val="0"/>
        <w:autoSpaceDE/>
        <w:autoSpaceDN/>
        <w:bidi w:val="0"/>
        <w:adjustRightInd/>
        <w:spacing w:line="440" w:lineRule="exact"/>
        <w:rPr>
          <w:rFonts w:hint="eastAsia" w:ascii="宋体" w:hAnsi="宋体" w:eastAsia="宋体" w:cs="宋体"/>
          <w:b/>
          <w:color w:val="auto"/>
          <w:sz w:val="24"/>
          <w:szCs w:val="24"/>
          <w:highlight w:val="none"/>
        </w:rPr>
      </w:pPr>
    </w:p>
    <w:p w14:paraId="3F1CC19F">
      <w:pPr>
        <w:keepNext w:val="0"/>
        <w:keepLines w:val="0"/>
        <w:pageBreakBefore w:val="0"/>
        <w:kinsoku/>
        <w:wordWrap/>
        <w:overflowPunct/>
        <w:topLinePunct w:val="0"/>
        <w:autoSpaceDE/>
        <w:autoSpaceDN/>
        <w:bidi w:val="0"/>
        <w:adjustRightInd/>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 诺 书</w:t>
      </w:r>
    </w:p>
    <w:p w14:paraId="1F105BFD">
      <w:pPr>
        <w:keepNext w:val="0"/>
        <w:keepLines w:val="0"/>
        <w:pageBreakBefore w:val="0"/>
        <w:kinsoku/>
        <w:wordWrap/>
        <w:overflowPunct/>
        <w:topLinePunct w:val="0"/>
        <w:autoSpaceDE/>
        <w:autoSpaceDN/>
        <w:bidi w:val="0"/>
        <w:adjustRightInd/>
        <w:spacing w:line="440" w:lineRule="exact"/>
        <w:ind w:firstLine="5040" w:firstLineChars="2100"/>
        <w:jc w:val="both"/>
        <w:rPr>
          <w:rFonts w:hint="eastAsia" w:ascii="宋体" w:hAnsi="宋体" w:eastAsia="宋体" w:cs="宋体"/>
          <w:color w:val="auto"/>
          <w:sz w:val="24"/>
          <w:szCs w:val="24"/>
          <w:highlight w:val="none"/>
        </w:rPr>
      </w:pPr>
    </w:p>
    <w:p w14:paraId="4DE6394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连城县国有资产产权交易服务有限公司</w:t>
      </w:r>
      <w:r>
        <w:rPr>
          <w:rFonts w:hint="eastAsia" w:ascii="宋体" w:hAnsi="宋体" w:eastAsia="宋体" w:cs="宋体"/>
          <w:color w:val="auto"/>
          <w:sz w:val="24"/>
          <w:szCs w:val="24"/>
          <w:highlight w:val="none"/>
        </w:rPr>
        <w:t>：</w:t>
      </w:r>
    </w:p>
    <w:p w14:paraId="4903BDC1">
      <w:pPr>
        <w:keepNext w:val="0"/>
        <w:keepLines w:val="0"/>
        <w:pageBreakBefore w:val="0"/>
        <w:widowControl w:val="0"/>
        <w:kinsoku/>
        <w:wordWrap/>
        <w:overflowPunct/>
        <w:topLinePunct w:val="0"/>
        <w:autoSpaceDE/>
        <w:autoSpaceDN/>
        <w:bidi w:val="0"/>
        <w:adjustRightInd/>
        <w:snapToGrid/>
        <w:spacing w:line="440" w:lineRule="exact"/>
        <w:ind w:firstLine="56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本人（公司）承诺提供的报名材料真实、合法、有效，自愿报名参加贵司于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21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上午举行的“</w:t>
      </w:r>
      <w:r>
        <w:rPr>
          <w:rFonts w:hint="eastAsia" w:ascii="宋体" w:hAnsi="宋体" w:eastAsia="宋体" w:cs="宋体"/>
          <w:color w:val="auto"/>
          <w:sz w:val="24"/>
          <w:szCs w:val="24"/>
          <w:highlight w:val="none"/>
          <w:lang w:val="en-US" w:eastAsia="zh-CN"/>
        </w:rPr>
        <w:t>反</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rPr>
        <w:t>一次报价”</w:t>
      </w:r>
      <w:r>
        <w:rPr>
          <w:rFonts w:hint="eastAsia" w:ascii="宋体" w:hAnsi="宋体" w:eastAsia="宋体" w:cs="宋体"/>
          <w:color w:val="auto"/>
          <w:sz w:val="24"/>
          <w:szCs w:val="24"/>
          <w:highlight w:val="none"/>
          <w:u w:val="single"/>
          <w:lang w:val="en-US" w:eastAsia="zh-CN"/>
        </w:rPr>
        <w:t>连城县天泉湾酒店运营有限公司电梯维保服务采购项目</w:t>
      </w:r>
      <w:r>
        <w:rPr>
          <w:rFonts w:hint="eastAsia" w:ascii="宋体" w:hAnsi="宋体" w:eastAsia="宋体" w:cs="宋体"/>
          <w:color w:val="auto"/>
          <w:sz w:val="24"/>
          <w:szCs w:val="24"/>
          <w:highlight w:val="none"/>
        </w:rPr>
        <w:t>服务竞价。收悉项目编号为</w:t>
      </w:r>
      <w:r>
        <w:rPr>
          <w:rFonts w:hint="eastAsia" w:ascii="宋体" w:hAnsi="宋体" w:cs="宋体"/>
          <w:color w:val="auto"/>
          <w:sz w:val="24"/>
          <w:szCs w:val="24"/>
          <w:highlight w:val="none"/>
          <w:u w:val="single"/>
          <w:lang w:eastAsia="zh-CN"/>
        </w:rPr>
        <w:t>LCCQJJ202</w:t>
      </w:r>
      <w:r>
        <w:rPr>
          <w:rFonts w:hint="eastAsia" w:ascii="宋体" w:hAnsi="宋体" w:cs="宋体"/>
          <w:color w:val="auto"/>
          <w:sz w:val="24"/>
          <w:szCs w:val="24"/>
          <w:highlight w:val="none"/>
          <w:u w:val="single"/>
          <w:lang w:val="en-US" w:eastAsia="zh-CN"/>
        </w:rPr>
        <w:t>60121</w:t>
      </w:r>
      <w:r>
        <w:rPr>
          <w:rFonts w:hint="eastAsia" w:ascii="宋体" w:hAnsi="宋体" w:eastAsia="宋体" w:cs="宋体"/>
          <w:color w:val="auto"/>
          <w:sz w:val="24"/>
          <w:szCs w:val="24"/>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6F867282">
      <w:pPr>
        <w:keepNext w:val="0"/>
        <w:keepLines w:val="0"/>
        <w:pageBreakBefore w:val="0"/>
        <w:widowControl w:val="0"/>
        <w:kinsoku/>
        <w:wordWrap/>
        <w:overflowPunct/>
        <w:topLinePunct w:val="0"/>
        <w:autoSpaceDE/>
        <w:autoSpaceDN/>
        <w:bidi w:val="0"/>
        <w:adjustRightInd/>
        <w:snapToGrid/>
        <w:spacing w:line="440" w:lineRule="exact"/>
        <w:ind w:firstLine="560"/>
        <w:jc w:val="both"/>
        <w:textAlignment w:val="auto"/>
        <w:rPr>
          <w:rFonts w:hint="eastAsia" w:ascii="宋体" w:hAnsi="宋体" w:eastAsia="宋体" w:cs="宋体"/>
          <w:color w:val="auto"/>
          <w:sz w:val="24"/>
          <w:szCs w:val="24"/>
          <w:highlight w:val="none"/>
          <w:lang w:eastAsia="zh-CN"/>
        </w:rPr>
      </w:pPr>
    </w:p>
    <w:p w14:paraId="7E7FC265">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承诺人（申请人签章）：</w:t>
      </w:r>
    </w:p>
    <w:p w14:paraId="61AC5E9A">
      <w:pPr>
        <w:keepNext w:val="0"/>
        <w:keepLines w:val="0"/>
        <w:pageBreakBefore w:val="0"/>
        <w:widowControl w:val="0"/>
        <w:kinsoku/>
        <w:wordWrap/>
        <w:overflowPunct/>
        <w:topLinePunct w:val="0"/>
        <w:autoSpaceDE/>
        <w:autoSpaceDN/>
        <w:bidi w:val="0"/>
        <w:adjustRightInd/>
        <w:snapToGrid/>
        <w:spacing w:line="440" w:lineRule="exact"/>
        <w:ind w:firstLine="1200" w:firstLineChars="5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法定代表人或授权代理人（签章）：</w:t>
      </w:r>
      <w:r>
        <w:rPr>
          <w:rFonts w:hint="eastAsia" w:ascii="宋体" w:hAnsi="宋体" w:eastAsia="宋体" w:cs="宋体"/>
          <w:color w:val="auto"/>
          <w:sz w:val="24"/>
          <w:szCs w:val="24"/>
          <w:highlight w:val="none"/>
          <w:lang w:val="en-US" w:eastAsia="zh-CN"/>
        </w:rPr>
        <w:t xml:space="preserve"> </w:t>
      </w:r>
    </w:p>
    <w:p w14:paraId="76960C89">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p>
    <w:p w14:paraId="17ABA531">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4727720C">
      <w:pPr>
        <w:pStyle w:val="2"/>
        <w:pageBreakBefore w:val="0"/>
        <w:kinsoku/>
        <w:wordWrap/>
        <w:overflowPunct/>
        <w:topLinePunct w:val="0"/>
        <w:autoSpaceDE/>
        <w:autoSpaceDN/>
        <w:bidi w:val="0"/>
        <w:adjustRightInd/>
        <w:spacing w:before="0" w:after="0" w:line="440" w:lineRule="exact"/>
        <w:rPr>
          <w:rFonts w:hint="eastAsia" w:ascii="宋体" w:hAnsi="宋体" w:eastAsia="宋体" w:cs="宋体"/>
          <w:color w:val="auto"/>
          <w:sz w:val="24"/>
          <w:szCs w:val="24"/>
          <w:highlight w:val="none"/>
        </w:rPr>
      </w:pPr>
    </w:p>
    <w:p w14:paraId="6FC6D46D">
      <w:pPr>
        <w:pageBreakBefore w:val="0"/>
        <w:kinsoku/>
        <w:wordWrap/>
        <w:overflowPunct/>
        <w:topLinePunct w:val="0"/>
        <w:autoSpaceDE/>
        <w:autoSpaceDN/>
        <w:bidi w:val="0"/>
        <w:adjustRightInd/>
        <w:spacing w:line="440" w:lineRule="exact"/>
        <w:rPr>
          <w:rFonts w:hint="eastAsia" w:ascii="宋体" w:hAnsi="宋体" w:eastAsia="宋体" w:cs="宋体"/>
          <w:color w:val="auto"/>
          <w:sz w:val="24"/>
          <w:szCs w:val="24"/>
          <w:highlight w:val="none"/>
        </w:rPr>
      </w:pPr>
    </w:p>
    <w:p w14:paraId="6ED18070">
      <w:pPr>
        <w:pStyle w:val="2"/>
        <w:pageBreakBefore w:val="0"/>
        <w:kinsoku/>
        <w:wordWrap/>
        <w:overflowPunct/>
        <w:topLinePunct w:val="0"/>
        <w:autoSpaceDE/>
        <w:autoSpaceDN/>
        <w:bidi w:val="0"/>
        <w:adjustRightInd/>
        <w:spacing w:before="0" w:after="0" w:line="440" w:lineRule="exact"/>
        <w:rPr>
          <w:rFonts w:hint="eastAsia" w:ascii="宋体" w:hAnsi="宋体" w:eastAsia="宋体" w:cs="宋体"/>
          <w:color w:val="auto"/>
          <w:sz w:val="24"/>
          <w:szCs w:val="24"/>
          <w:highlight w:val="none"/>
        </w:rPr>
      </w:pPr>
    </w:p>
    <w:p w14:paraId="69427C80">
      <w:pPr>
        <w:pageBreakBefore w:val="0"/>
        <w:kinsoku/>
        <w:wordWrap/>
        <w:overflowPunct/>
        <w:topLinePunct w:val="0"/>
        <w:autoSpaceDE/>
        <w:autoSpaceDN/>
        <w:bidi w:val="0"/>
        <w:adjustRightInd/>
        <w:spacing w:line="440" w:lineRule="exact"/>
        <w:rPr>
          <w:rFonts w:hint="eastAsia" w:ascii="宋体" w:hAnsi="宋体" w:eastAsia="宋体" w:cs="宋体"/>
          <w:color w:val="auto"/>
          <w:sz w:val="24"/>
          <w:szCs w:val="24"/>
          <w:highlight w:val="none"/>
        </w:rPr>
      </w:pPr>
    </w:p>
    <w:p w14:paraId="688AB012">
      <w:pPr>
        <w:pStyle w:val="2"/>
        <w:pageBreakBefore w:val="0"/>
        <w:kinsoku/>
        <w:wordWrap/>
        <w:overflowPunct/>
        <w:topLinePunct w:val="0"/>
        <w:autoSpaceDE/>
        <w:autoSpaceDN/>
        <w:bidi w:val="0"/>
        <w:adjustRightInd/>
        <w:spacing w:before="0" w:after="0" w:line="440" w:lineRule="exact"/>
        <w:rPr>
          <w:rFonts w:hint="eastAsia" w:ascii="宋体" w:hAnsi="宋体" w:eastAsia="宋体" w:cs="宋体"/>
          <w:color w:val="auto"/>
          <w:sz w:val="24"/>
          <w:szCs w:val="24"/>
          <w:highlight w:val="none"/>
        </w:rPr>
      </w:pPr>
    </w:p>
    <w:p w14:paraId="09B4116F">
      <w:pPr>
        <w:pageBreakBefore w:val="0"/>
        <w:kinsoku/>
        <w:wordWrap/>
        <w:overflowPunct/>
        <w:topLinePunct w:val="0"/>
        <w:autoSpaceDE/>
        <w:autoSpaceDN/>
        <w:bidi w:val="0"/>
        <w:adjustRightInd/>
        <w:spacing w:line="440" w:lineRule="exact"/>
        <w:rPr>
          <w:rFonts w:hint="eastAsia" w:ascii="宋体" w:hAnsi="宋体" w:eastAsia="宋体" w:cs="宋体"/>
          <w:color w:val="auto"/>
          <w:sz w:val="24"/>
          <w:szCs w:val="24"/>
          <w:highlight w:val="none"/>
        </w:rPr>
      </w:pPr>
    </w:p>
    <w:p w14:paraId="7C1B83D5">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lang w:val="en-US" w:eastAsia="zh-CN"/>
        </w:rPr>
      </w:pPr>
    </w:p>
    <w:p w14:paraId="0E4E6092">
      <w:pPr>
        <w:pStyle w:val="2"/>
        <w:pageBreakBefore w:val="0"/>
        <w:kinsoku/>
        <w:wordWrap/>
        <w:overflowPunct/>
        <w:topLinePunct w:val="0"/>
        <w:autoSpaceDE/>
        <w:autoSpaceDN/>
        <w:bidi w:val="0"/>
        <w:adjustRightInd/>
        <w:spacing w:line="440" w:lineRule="exact"/>
        <w:rPr>
          <w:rFonts w:hint="eastAsia" w:ascii="宋体" w:hAnsi="宋体" w:eastAsia="宋体" w:cs="宋体"/>
          <w:b/>
          <w:bCs/>
          <w:color w:val="auto"/>
          <w:sz w:val="24"/>
          <w:szCs w:val="24"/>
          <w:highlight w:val="none"/>
          <w:lang w:val="en-US" w:eastAsia="zh-CN"/>
        </w:rPr>
      </w:pPr>
    </w:p>
    <w:p w14:paraId="3A1E4AA4">
      <w:pPr>
        <w:pageBreakBefore w:val="0"/>
        <w:kinsoku/>
        <w:wordWrap/>
        <w:overflowPunct/>
        <w:topLinePunct w:val="0"/>
        <w:autoSpaceDE/>
        <w:autoSpaceDN/>
        <w:bidi w:val="0"/>
        <w:adjustRightInd/>
        <w:spacing w:line="440" w:lineRule="exact"/>
        <w:rPr>
          <w:rFonts w:hint="eastAsia" w:ascii="宋体" w:hAnsi="宋体" w:eastAsia="宋体" w:cs="宋体"/>
          <w:b/>
          <w:bCs/>
          <w:color w:val="auto"/>
          <w:sz w:val="24"/>
          <w:szCs w:val="24"/>
          <w:highlight w:val="none"/>
          <w:lang w:val="en-US" w:eastAsia="zh-CN"/>
        </w:rPr>
      </w:pPr>
    </w:p>
    <w:p w14:paraId="06B9FD21">
      <w:pPr>
        <w:pStyle w:val="2"/>
        <w:pageBreakBefore w:val="0"/>
        <w:kinsoku/>
        <w:wordWrap/>
        <w:overflowPunct/>
        <w:topLinePunct w:val="0"/>
        <w:autoSpaceDE/>
        <w:autoSpaceDN/>
        <w:bidi w:val="0"/>
        <w:adjustRightInd/>
        <w:spacing w:line="440" w:lineRule="exact"/>
        <w:rPr>
          <w:rFonts w:hint="eastAsia" w:ascii="宋体" w:hAnsi="宋体" w:eastAsia="宋体" w:cs="宋体"/>
          <w:b/>
          <w:bCs/>
          <w:color w:val="auto"/>
          <w:sz w:val="24"/>
          <w:szCs w:val="24"/>
          <w:highlight w:val="none"/>
          <w:lang w:val="en-US" w:eastAsia="zh-CN"/>
        </w:rPr>
      </w:pPr>
    </w:p>
    <w:p w14:paraId="133C70D5">
      <w:pPr>
        <w:pageBreakBefore w:val="0"/>
        <w:kinsoku/>
        <w:wordWrap/>
        <w:overflowPunct/>
        <w:topLinePunct w:val="0"/>
        <w:autoSpaceDE/>
        <w:autoSpaceDN/>
        <w:bidi w:val="0"/>
        <w:adjustRightInd/>
        <w:spacing w:line="440" w:lineRule="exact"/>
        <w:rPr>
          <w:rFonts w:hint="eastAsia" w:ascii="宋体" w:hAnsi="宋体" w:eastAsia="宋体" w:cs="宋体"/>
          <w:b/>
          <w:bCs/>
          <w:color w:val="auto"/>
          <w:sz w:val="24"/>
          <w:szCs w:val="24"/>
          <w:highlight w:val="none"/>
          <w:lang w:val="en-US" w:eastAsia="zh-CN"/>
        </w:rPr>
      </w:pPr>
    </w:p>
    <w:p w14:paraId="02B87E6C">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lang w:val="en-US" w:eastAsia="zh-CN"/>
        </w:rPr>
      </w:pPr>
    </w:p>
    <w:p w14:paraId="19DABA87">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lang w:val="en-US" w:eastAsia="zh-CN"/>
        </w:rPr>
      </w:pPr>
    </w:p>
    <w:p w14:paraId="50FB02D1">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lang w:val="en-US" w:eastAsia="zh-CN"/>
        </w:rPr>
      </w:pPr>
    </w:p>
    <w:p w14:paraId="3F9807A1">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lang w:val="en-US" w:eastAsia="zh-CN"/>
        </w:rPr>
      </w:pPr>
    </w:p>
    <w:p w14:paraId="2A559ED6">
      <w:pPr>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lang w:val="en-US" w:eastAsia="zh-CN"/>
        </w:rPr>
      </w:pPr>
    </w:p>
    <w:p w14:paraId="57B303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服务合同</w:t>
      </w:r>
    </w:p>
    <w:p w14:paraId="350D9C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签订合同应遵守《中华人民共和国民法典》等法律法规。</w:t>
      </w:r>
    </w:p>
    <w:p w14:paraId="39C18C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使用单位（甲方）：连城县天泉湾酒店运营有限公司  </w:t>
      </w:r>
    </w:p>
    <w:p w14:paraId="3523A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维保单位（乙方）：                      </w:t>
      </w:r>
    </w:p>
    <w:p w14:paraId="7F49C6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为贯彻“安全生产，预防为主”的方针，保障电梯安全运行，防止事故发生，依照《中华人民共和民法典》、《中华人民共和国特种设备安全法》、《特种设备安全监察条例》、《电梯维护保养规则》（TSG T5002-2017）等规定，遵循平等、自愿、公平和诚实信用的原则，经甲乙双方协商订立本合同。</w:t>
      </w:r>
    </w:p>
    <w:p w14:paraId="5B2483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第一条  乙方为本合同《电梯保养时间和保养费明细表》中列明的电梯提供维保和紧急救援服务单位。保养项目应覆盖《电梯使用管理与维护保养规则》规定的半月、季度、半年、年度保养项目和电梯制造单位技术文件所要求的特殊保养项目，以及与电梯安全运行相关的其他项目。</w:t>
      </w:r>
    </w:p>
    <w:p w14:paraId="6F023B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第二条  双方约定维护保养的电梯的具体处所：连城县天泉湾酒店约18台电梯的维保服务（乘客电梯），具体数量以实际维保数量为准。合同期服务内涉及新增或减少电梯数量的，维保服务费用按实际维保电梯数量*成交单价进行结算。</w:t>
      </w:r>
    </w:p>
    <w:p w14:paraId="5094DD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第三条  乙方提供维保服务的方式：</w:t>
      </w:r>
    </w:p>
    <w:p w14:paraId="2EBEF4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半包：提供维保所需工具和劳务，并免费提供200元（含）/台以内电梯零部件，进水及人为损坏除外。</w:t>
      </w:r>
    </w:p>
    <w:p w14:paraId="766195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乙方应提供本合同电梯设备保养和维修所需零部件的价格和人工费用明细表，经甲方确认后作为合同附件。</w:t>
      </w:r>
    </w:p>
    <w:p w14:paraId="092BD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第四条  维保期限：</w:t>
      </w:r>
    </w:p>
    <w:p w14:paraId="01A1F3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本合同约定维保期限自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日起至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日止。 </w:t>
      </w:r>
    </w:p>
    <w:p w14:paraId="7A9762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第五条  维保费用</w:t>
      </w:r>
    </w:p>
    <w:p w14:paraId="7A6370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暂定</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台电梯，合同期维保费：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元/月/台，总计人民币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元整。合同期服务内涉及新增或减少电梯数量的，维保服务费用按实际维保电梯数量*成交单价进行结算。</w:t>
      </w:r>
    </w:p>
    <w:p w14:paraId="0AE163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第六条 结算</w:t>
      </w:r>
    </w:p>
    <w:p w14:paraId="576F1A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1、甲方按季支付维保费，具体支付时间和金额为：每三个月为一期，每期费用为人民币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元整，支付时间为每一期的最后一个月收到乙方出具的发票的10个工作日内。</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2、甲方需支付零部件费用的，按月支付，支付时间为当次维保结束后的十个工作日之内。</w:t>
      </w:r>
    </w:p>
    <w:p w14:paraId="7EEC66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3、支付方式：汇到乙方指定账户 </w:t>
      </w:r>
    </w:p>
    <w:p w14:paraId="36ECAF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户名：</w:t>
      </w:r>
      <w:r>
        <w:rPr>
          <w:rFonts w:hint="eastAsia" w:ascii="宋体" w:hAnsi="宋体" w:eastAsia="宋体" w:cs="宋体"/>
          <w:color w:val="auto"/>
          <w:sz w:val="24"/>
          <w:szCs w:val="24"/>
          <w:highlight w:val="none"/>
          <w:u w:val="single"/>
          <w:lang w:val="en-US" w:eastAsia="zh-CN"/>
        </w:rPr>
        <w:t xml:space="preserve">            </w:t>
      </w:r>
    </w:p>
    <w:p w14:paraId="3F632E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开户行：</w:t>
      </w:r>
      <w:r>
        <w:rPr>
          <w:rFonts w:hint="eastAsia" w:ascii="宋体" w:hAnsi="宋体" w:eastAsia="宋体" w:cs="宋体"/>
          <w:color w:val="auto"/>
          <w:sz w:val="24"/>
          <w:szCs w:val="24"/>
          <w:highlight w:val="none"/>
          <w:u w:val="single"/>
          <w:lang w:val="en-US" w:eastAsia="zh-CN"/>
        </w:rPr>
        <w:t xml:space="preserve">          </w:t>
      </w:r>
    </w:p>
    <w:p w14:paraId="2EB129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0ACB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第七条  甲方权利、义务</w:t>
      </w:r>
    </w:p>
    <w:p w14:paraId="230525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1、权利</w:t>
      </w:r>
    </w:p>
    <w:p w14:paraId="6CF3D1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（1）有权监督检查乙方依照合同约定实施维保计划的情况，监督经乙方维保后的电梯是否符合法律法规、安全技术规范、强制性标准和电梯制造单位的技术要求，监督电梯安全性能是否良好。</w:t>
      </w:r>
    </w:p>
    <w:p w14:paraId="3195C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权检查受乙方委派为本单位电梯提供维保服务人员的持证上岗情况，有权拒绝无证人员开展维保活动。有权要求乙方人员服从本单位现场安全管理，对不服从现场安全管理的乙方人员，有权要求乙方更换人员。</w:t>
      </w:r>
    </w:p>
    <w:p w14:paraId="5BD5F1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（3）乙方的维护保养达不到合同约定的维护保养标准或要求的，甲方有权拒绝在维护保养记录上签字。</w:t>
      </w:r>
    </w:p>
    <w:p w14:paraId="59193C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（4）除国家规定的法定监督检验与定期检验外，有权委托特种设备检验机构或第三方中介机构对乙方按照合同约定实施维保工作的情况进行评定。</w:t>
      </w:r>
    </w:p>
    <w:p w14:paraId="4A5408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2、义务</w:t>
      </w:r>
    </w:p>
    <w:p w14:paraId="6CB243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（1）建立电梯安全运行的相关管理机构、制度，确保制度、人员、资金落实到位。</w:t>
      </w:r>
    </w:p>
    <w:p w14:paraId="72DB38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（2）按照合同约定按期支付维保和零部件款。</w:t>
      </w:r>
    </w:p>
    <w:p w14:paraId="4558AF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14:paraId="7F015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（4）督促电梯安全管理人员现场监督检查乙方的电梯保养工作过程和结果、对乙方的维保记录、修理记录签字确认，签收乙方提交的与电梯维保工作有关的文件。</w:t>
      </w:r>
    </w:p>
    <w:p w14:paraId="5D4015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14:paraId="249E85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（6）制订有关电梯的应急救援预案（如：电梯困人、消防、电梯水浸、自动扶梯人身伤害等）。每年至少开展一次应急救援演练，确保应急系统运行有效。</w:t>
      </w:r>
    </w:p>
    <w:p w14:paraId="67112A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（7）保证电梯供电、消防、防雷、通风等系统安全可靠，满足国家标准规定。</w:t>
      </w:r>
    </w:p>
    <w:p w14:paraId="672BA5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为乙方提供维保所需的工作环境。保证机房、井道、底坑无漏水、渗水现象。通往机房、底坑、滑轮间、井道安全门的通道畅通、照明充分；确保作业环境中应由甲方提供的安全防护措施到位，避免无关人员进入。</w:t>
      </w:r>
    </w:p>
    <w:p w14:paraId="7D03D5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（9）采取有效措施监控电梯使用情况，积极主动开展文明乘梯宣传活动，及时制止乘客不文明乘梯行为或恶意破坏电梯的行为。</w:t>
      </w:r>
    </w:p>
    <w:p w14:paraId="2B2C7B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（10）未经乙方书面许可不得允许非乙方人员从事与电梯维保有关的工作。</w:t>
      </w:r>
    </w:p>
    <w:p w14:paraId="188C44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（11）应认真审核乙方书面提出的更换电梯零部件要求，并在乙方书面要求的期限内书面予以答复。</w:t>
      </w:r>
    </w:p>
    <w:p w14:paraId="41F6EE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（12）在电梯使用标志所标注的下次检验日期前１个月，向特种设备检验机构提出定期检验申请。</w:t>
      </w:r>
    </w:p>
    <w:p w14:paraId="203BB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（13）电梯因不可抗拒因素（如战争、火灾、水浸、风暴和地震等）所造成设备损坏、丢失的，自行承担全部责任。</w:t>
      </w:r>
    </w:p>
    <w:p w14:paraId="7DB59B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第八条 乙方权利、义务</w:t>
      </w:r>
    </w:p>
    <w:p w14:paraId="222061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1、权利</w:t>
      </w:r>
    </w:p>
    <w:p w14:paraId="5B37CC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（1）有权要求甲方提供维保所需的工作环境，查询电梯相关资料。</w:t>
      </w:r>
    </w:p>
    <w:p w14:paraId="6F5CD4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（2）当电梯存在事故隐患时，乙方有权采取停梯措施及阻止冒险作业的权利。</w:t>
      </w:r>
    </w:p>
    <w:p w14:paraId="63E113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（3）有权拒绝甲方提出的影响电梯安全运行的要求。</w:t>
      </w:r>
    </w:p>
    <w:p w14:paraId="1B764D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2、义务</w:t>
      </w:r>
    </w:p>
    <w:p w14:paraId="75708D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（1）按照《电梯维护保养规则》（TSG T5002-2017）并根据电梯的使用情况和设备状况，经双方协商确认后，提供全年保养计划和各项定期保养计划的具体实施时间表。每台每次保养时间不得少于合同约定的相应最少保养时间。如需调整原保养计划，应提前 5 日通知甲方并经甲方同意后方可调整，但应保证保养时间间隔不得超过15日； </w:t>
      </w:r>
    </w:p>
    <w:p w14:paraId="5B26AC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对其维保的电梯安全性能负责。应当在本合同签订后对电梯是否符合安全技术规范要求进行确认，发现上个维保周期中电梯存在安全隐患的，应书面通知使用单位，并及时进行维修。维保后的电梯应当符合相应的安全技术规范，并且处于正常的运行状态。</w:t>
      </w:r>
    </w:p>
    <w:p w14:paraId="442C83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（3）乙方提供24小时的紧急救援服务，乙方维保负责人: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24小时紧急救援服务热线电话：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。当电梯发生困人故障，乙方应在接到甲方通知后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分钟内赶赴现场实施紧急救援，若因超出该时间造成的人员伤亡事故，由乙方负责（进水、人为及不可抗力因素除外）；电梯发生其他故障，乙方应在接到甲方通知后</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lang w:val="en-US" w:eastAsia="zh-CN"/>
        </w:rPr>
        <w:t>分钟内赶到现场实施抢修。维保人员在出现电梯安全故障时未在</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分钟内赶赴现场排除故障且遭到投诉的，按500元/次扣罚服务费；若出现3次及以上的投诉情况发生的，视为视为乙方违约，甲方有权解除合同。</w:t>
      </w:r>
    </w:p>
    <w:p w14:paraId="024A85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（4）服务期内乙方应承担所维保电梯的年检工作。</w:t>
      </w:r>
    </w:p>
    <w:p w14:paraId="0FD4AE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现场作业人员应当取得相应的《特种设备作业人员证》。为有效实施保养计划，乙方应安排熟悉所维保电梯原理、结构、性能、安全要求的特种设备作业人员负责维保工作，并督促其严格按照产品工艺要求、安全及技术规范进行维保。</w:t>
      </w:r>
    </w:p>
    <w:p w14:paraId="1177A4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（6）作业过程中应服从甲方现场安全管理，落实现场安全防护措施，保证作业安全。需要安全监护作业的内容应书面告知甲方</w:t>
      </w:r>
      <w:r>
        <w:rPr>
          <w:rFonts w:hint="eastAsia" w:ascii="宋体" w:hAnsi="宋体" w:cs="宋体"/>
          <w:color w:val="auto"/>
          <w:sz w:val="24"/>
          <w:szCs w:val="24"/>
          <w:highlight w:val="none"/>
          <w:lang w:val="en-US" w:eastAsia="zh-CN"/>
        </w:rPr>
        <w:t>。</w:t>
      </w:r>
    </w:p>
    <w:p w14:paraId="791FEA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（7）现场需采取停梯措施时，应立即通知甲方并及时组织抢修。</w:t>
      </w:r>
    </w:p>
    <w:p w14:paraId="23114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（8）根据甲方的故障统计记录，乙方应至少每季度一次提出故障分析报告。报告中应包含电梯故障的统计分析、整改措施和预防措施，以及有关电梯使用管理的合理化建议。</w:t>
      </w:r>
    </w:p>
    <w:p w14:paraId="10B0DC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（9）乙方应当配合电梯检验检测机构开展电梯定期检验，并参与电梯安全管理活动。负责完成年检中发现的属于电梯本体安全隐患的整改工作。</w:t>
      </w:r>
    </w:p>
    <w:p w14:paraId="6F4066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（10）乙方应在每年1月31日前向所在地市级特种设备监察机构报备本单位所承担维保电梯清单，如维保情况有变动，在变动后5个工作日内申报变动情况。</w:t>
      </w:r>
    </w:p>
    <w:p w14:paraId="47E76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（11）乙方应在维保后3日内将规定格式的电梯维保记录，张贴在电梯轿厢、电梯过道、小区公告栏或在轿厢内电子显示屏内滚动公示，接受用户监督。此外，需将维保记录公示情况拍照留存备查。</w:t>
      </w:r>
    </w:p>
    <w:p w14:paraId="02051E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（12）乙方应当妥善保管电梯图纸及相关资料，并在合同终止后交还甲方。应当协助甲方建立健全安全管理制度、安全技术档案、应急救援预案，配合甲方开展应急救援演练。</w:t>
      </w:r>
    </w:p>
    <w:p w14:paraId="65F91D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（13）应按照福建省特种设备协会拟定的《福建省电梯维保行业自律公约》及《电梯维护保养最低成本指导价》要求对使用单位进行维保价格公示。同时与甲方签订合同中日常保养期限不能少于一年。</w:t>
      </w:r>
    </w:p>
    <w:p w14:paraId="3BD0F0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（14）乙方不得以任何形式将维保工作非法分包、转包。</w:t>
      </w:r>
    </w:p>
    <w:p w14:paraId="6E84B6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应保持电梯机房卫生及电梯设备完好整洁，电梯年检时，乙方应积极配合年检工作以确认电梯年检顺利通过，如若因乙方维保不当导致年检不合格，则产生的复检费用由乙方承担，且负责完成年检中发现的整改项。</w:t>
      </w:r>
    </w:p>
    <w:p w14:paraId="33FB90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第九条  其他约定</w:t>
      </w:r>
    </w:p>
    <w:p w14:paraId="29CA95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1、乙方已于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日对本合同约定的电梯进行了详细的检查，检查结果应经甲方签字确认，并作为电梯现状记录由甲、乙双方保存。 </w:t>
      </w:r>
    </w:p>
    <w:p w14:paraId="60B34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2、甲方要求乙方提供本合同约定内容以外服务的，如强化保养、增加保养频次、安全保障需求、驻场作业服务、增加检测内容和频次等，双方均应以书面形式另行约定。</w:t>
      </w:r>
    </w:p>
    <w:p w14:paraId="501BC6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3、维保记录是记载电梯运行、维护、保养的依据。每台电梯均应当建立独立的维保记录。维保记录应当一式两份，甲乙双方各保存一份，保存时间为4 年。维修与抢修记录均应当长期保存。</w:t>
      </w:r>
    </w:p>
    <w:p w14:paraId="13459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4、根据电梯的现状，甲乙双方约定非使用原因导致的电梯困人故障次数每月每台电梯不超过2次。</w:t>
      </w:r>
    </w:p>
    <w:p w14:paraId="50BF72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第十条  违约责任</w:t>
      </w:r>
    </w:p>
    <w:p w14:paraId="182224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1、一方当事人未按约定履行义务给对方造成直接损失的，应当承担相应责任。</w:t>
      </w:r>
    </w:p>
    <w:p w14:paraId="2DDD24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2、一方当事人无法继续履行合同，应当及时通知对方，并承担因合同解除而给对方造成的直接经济损失。</w:t>
      </w:r>
    </w:p>
    <w:p w14:paraId="6EAA0C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3、甲方无正当理由未按照约定期限支付费用的，经双方确认为无正当理由每延误一日应当向乙方支付延误部分费用万分之二的违约金。超过双方约定期限</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日时，本合同自动终止，赔偿事项依照合同法规定执行。</w:t>
      </w:r>
    </w:p>
    <w:p w14:paraId="086549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4、合同期内甲方违反约定允许非乙方人员从事电梯维保工作的，应当按照每台每月费用10%标准支付违约金。</w:t>
      </w:r>
    </w:p>
    <w:p w14:paraId="029A8E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5、因电梯使用管理原因（非电梯维保原因）导致人身伤亡或设备损坏、零部件丢失的，由甲方自行承担全部责任。</w:t>
      </w:r>
    </w:p>
    <w:p w14:paraId="7E773D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6、若未按乙方的书面要求同意更换应该更换的电梯零部件而导致电梯故障或存在安全隐患的，由甲方自行承担责任。</w:t>
      </w:r>
    </w:p>
    <w:p w14:paraId="51717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7、乙方违反约定，作业过程中未服从甲方现场安全管理落实现场安全防护措施，或需要安全监护的作业时作业人员只有一人，或保养时间不足，甲方可拒付当次作业或保养的当台当月保养费。</w:t>
      </w:r>
    </w:p>
    <w:p w14:paraId="12F9F4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8、乙方维保工作不符合合同约定的维保标准或要求的，乙方应当返工，并按照本每台每月费用10%标准支付违约金。返工2次（含）以上的，扣除该台单月维保费。</w:t>
      </w:r>
    </w:p>
    <w:p w14:paraId="5FADB9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9、在电梯维保作业过程中因维保原因导致自身或他人的人身伤亡或设备损坏、零部件丢失的，由乙方承担全部民事责任。</w:t>
      </w:r>
    </w:p>
    <w:p w14:paraId="6E598B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10、因维保原因导致电梯检验不合格的，由乙方承担电梯复检费用100%。</w:t>
      </w:r>
    </w:p>
    <w:p w14:paraId="44519B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11、乙方不能按约定及时提供保养或救援服务，延误2次（含）以上的，甲方可解除合同。</w:t>
      </w:r>
    </w:p>
    <w:p w14:paraId="71CC88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12、乙方将本合同约定的事项进行转包或者分包的，甲方有权解除合同，若对甲方造成损失的，还应当赔偿对甲方造成的损失。</w:t>
      </w:r>
    </w:p>
    <w:p w14:paraId="21C31F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13、甲方因乙方违约而维权的费用（代理费、保全费等），由乙方承担。</w:t>
      </w:r>
    </w:p>
    <w:p w14:paraId="1BF218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第十一条  合同的解除</w:t>
      </w:r>
    </w:p>
    <w:p w14:paraId="507070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1、甲乙双方协商一致，可以解除合同。</w:t>
      </w:r>
    </w:p>
    <w:p w14:paraId="3476B5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2、任何一方违约导致合同无法继续履行的，另一方可以解除合同。</w:t>
      </w:r>
    </w:p>
    <w:p w14:paraId="7FCBB8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第十二条  争议解决方式</w:t>
      </w:r>
    </w:p>
    <w:p w14:paraId="2A74CE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本合同在履行过程中发生的争议，由双方当事人协商解决，协商不成的，</w:t>
      </w:r>
      <w:r>
        <w:rPr>
          <w:rFonts w:hint="eastAsia" w:ascii="宋体" w:hAnsi="宋体" w:cs="宋体"/>
          <w:color w:val="auto"/>
          <w:sz w:val="24"/>
          <w:szCs w:val="24"/>
          <w:highlight w:val="none"/>
          <w:lang w:val="en-US" w:eastAsia="zh-CN"/>
        </w:rPr>
        <w:t>依法</w:t>
      </w:r>
      <w:r>
        <w:rPr>
          <w:rFonts w:hint="eastAsia" w:ascii="宋体" w:hAnsi="宋体" w:eastAsia="宋体" w:cs="宋体"/>
          <w:color w:val="auto"/>
          <w:sz w:val="24"/>
          <w:szCs w:val="24"/>
          <w:highlight w:val="none"/>
          <w:lang w:val="en-US" w:eastAsia="zh-CN"/>
        </w:rPr>
        <w:t>向</w:t>
      </w:r>
      <w:r>
        <w:rPr>
          <w:rFonts w:hint="eastAsia" w:ascii="宋体" w:hAnsi="宋体" w:cs="宋体"/>
          <w:color w:val="auto"/>
          <w:sz w:val="24"/>
          <w:szCs w:val="24"/>
          <w:highlight w:val="none"/>
          <w:u w:val="single"/>
          <w:lang w:val="en-US" w:eastAsia="zh-CN"/>
        </w:rPr>
        <w:t>甲方所在地人民法院</w:t>
      </w:r>
      <w:r>
        <w:rPr>
          <w:rFonts w:hint="eastAsia" w:ascii="宋体" w:hAnsi="宋体" w:eastAsia="宋体" w:cs="宋体"/>
          <w:color w:val="auto"/>
          <w:sz w:val="24"/>
          <w:szCs w:val="24"/>
          <w:highlight w:val="none"/>
          <w:lang w:val="en-US" w:eastAsia="zh-CN"/>
        </w:rPr>
        <w:t>起诉。</w:t>
      </w:r>
    </w:p>
    <w:p w14:paraId="1DAB22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第十三条  附则</w:t>
      </w:r>
    </w:p>
    <w:p w14:paraId="1526E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本合同生效后，双方对合同内容的变更或补充应采取书面形式，并经双方签字盖章确认，作为本合同的附件。附件与本合同具有同等的法律效力。</w:t>
      </w:r>
    </w:p>
    <w:p w14:paraId="75346D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本合同一式叁份，甲方执贰份，乙方执壹份，具有同等效力。</w:t>
      </w:r>
    </w:p>
    <w:p w14:paraId="74827A0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p>
    <w:p w14:paraId="40D44C3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甲方（公章）：</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                           地址：</w:t>
      </w:r>
    </w:p>
    <w:p w14:paraId="0B58548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p>
    <w:p w14:paraId="618445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法定代表人（签字或盖章）：</w:t>
      </w:r>
    </w:p>
    <w:p w14:paraId="33A2F59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04B3F8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联系人：</w:t>
      </w:r>
    </w:p>
    <w:p w14:paraId="4B07407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联系电话：</w:t>
      </w:r>
    </w:p>
    <w:p w14:paraId="15A6269E">
      <w:pPr>
        <w:keepNext w:val="0"/>
        <w:keepLines w:val="0"/>
        <w:pageBreakBefore w:val="0"/>
        <w:widowControl w:val="0"/>
        <w:tabs>
          <w:tab w:val="left" w:pos="4980"/>
        </w:tabs>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color w:val="auto"/>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年   月   日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日期：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年   月   日 </w:t>
      </w:r>
    </w:p>
    <w:p w14:paraId="636AE1F2">
      <w:pPr>
        <w:pStyle w:val="2"/>
        <w:rPr>
          <w:rFonts w:hint="eastAsia"/>
          <w:color w:val="auto"/>
          <w:highlight w:val="none"/>
          <w:lang w:val="en-US" w:eastAsia="zh-CN"/>
        </w:rPr>
      </w:pPr>
    </w:p>
    <w:p w14:paraId="0BD2103B">
      <w:pPr>
        <w:pStyle w:val="2"/>
        <w:pageBreakBefore w:val="0"/>
        <w:kinsoku/>
        <w:wordWrap/>
        <w:overflowPunct/>
        <w:topLinePunct w:val="0"/>
        <w:autoSpaceDE/>
        <w:autoSpaceDN/>
        <w:bidi w:val="0"/>
        <w:adjustRightInd/>
        <w:spacing w:before="0" w:after="0" w:line="360" w:lineRule="auto"/>
        <w:rPr>
          <w:rFonts w:hint="eastAsia" w:ascii="宋体" w:hAnsi="宋体" w:eastAsia="宋体" w:cs="宋体"/>
          <w:color w:val="auto"/>
          <w:sz w:val="24"/>
          <w:szCs w:val="24"/>
          <w:highlight w:val="none"/>
        </w:rPr>
      </w:pPr>
    </w:p>
    <w:p w14:paraId="34465A24">
      <w:pPr>
        <w:pageBreakBefore w:val="0"/>
        <w:kinsoku/>
        <w:wordWrap/>
        <w:overflowPunct/>
        <w:topLinePunct w:val="0"/>
        <w:autoSpaceDE/>
        <w:autoSpaceDN/>
        <w:bidi w:val="0"/>
        <w:adjustRightInd/>
        <w:spacing w:line="360" w:lineRule="auto"/>
        <w:rPr>
          <w:rFonts w:hint="eastAsia"/>
          <w:color w:val="auto"/>
          <w:sz w:val="24"/>
          <w:szCs w:val="24"/>
          <w:highlight w:val="none"/>
        </w:rPr>
      </w:pPr>
    </w:p>
    <w:bookmarkEnd w:id="0"/>
    <w:sectPr>
      <w:headerReference r:id="rId3" w:type="default"/>
      <w:footerReference r:id="rId4"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38BE8">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9A9898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49A9898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18307">
    <w:pPr>
      <w:pStyle w:val="8"/>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3D46EC"/>
    <w:rsid w:val="02427F54"/>
    <w:rsid w:val="039956FE"/>
    <w:rsid w:val="039E3DB5"/>
    <w:rsid w:val="03B92498"/>
    <w:rsid w:val="04973358"/>
    <w:rsid w:val="05D215EF"/>
    <w:rsid w:val="07F12200"/>
    <w:rsid w:val="0804406F"/>
    <w:rsid w:val="081C4C9C"/>
    <w:rsid w:val="0834033F"/>
    <w:rsid w:val="0983332C"/>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39B74C4"/>
    <w:rsid w:val="14416FC6"/>
    <w:rsid w:val="14831343"/>
    <w:rsid w:val="15474BF8"/>
    <w:rsid w:val="1569686F"/>
    <w:rsid w:val="16052A7F"/>
    <w:rsid w:val="167C30C3"/>
    <w:rsid w:val="169951BC"/>
    <w:rsid w:val="183B56FD"/>
    <w:rsid w:val="189C3090"/>
    <w:rsid w:val="18AE0B48"/>
    <w:rsid w:val="18EF3710"/>
    <w:rsid w:val="1A394265"/>
    <w:rsid w:val="1A491445"/>
    <w:rsid w:val="1B215742"/>
    <w:rsid w:val="1BCD6A5C"/>
    <w:rsid w:val="1CC932F4"/>
    <w:rsid w:val="1E303C84"/>
    <w:rsid w:val="1EE00481"/>
    <w:rsid w:val="1EF00CA7"/>
    <w:rsid w:val="1F633F72"/>
    <w:rsid w:val="1FB913FE"/>
    <w:rsid w:val="1FCE2575"/>
    <w:rsid w:val="203C362E"/>
    <w:rsid w:val="211A411E"/>
    <w:rsid w:val="21E464DA"/>
    <w:rsid w:val="226244CC"/>
    <w:rsid w:val="22950329"/>
    <w:rsid w:val="22A30872"/>
    <w:rsid w:val="234F36E4"/>
    <w:rsid w:val="236A7C99"/>
    <w:rsid w:val="23761465"/>
    <w:rsid w:val="246A52EB"/>
    <w:rsid w:val="24741525"/>
    <w:rsid w:val="249C78F6"/>
    <w:rsid w:val="24AF2DCF"/>
    <w:rsid w:val="24BE1264"/>
    <w:rsid w:val="256B27BB"/>
    <w:rsid w:val="25AD5A5E"/>
    <w:rsid w:val="25F64131"/>
    <w:rsid w:val="26945745"/>
    <w:rsid w:val="2861758C"/>
    <w:rsid w:val="2892098A"/>
    <w:rsid w:val="297E0FC2"/>
    <w:rsid w:val="2A20678E"/>
    <w:rsid w:val="2A8C2B55"/>
    <w:rsid w:val="2AC415FD"/>
    <w:rsid w:val="2B023949"/>
    <w:rsid w:val="2B474184"/>
    <w:rsid w:val="2B9065B4"/>
    <w:rsid w:val="2C2A04A0"/>
    <w:rsid w:val="2C4C065B"/>
    <w:rsid w:val="2C5C26DC"/>
    <w:rsid w:val="2C624BCB"/>
    <w:rsid w:val="2CDF621C"/>
    <w:rsid w:val="2D662499"/>
    <w:rsid w:val="2D697A29"/>
    <w:rsid w:val="2E301AB4"/>
    <w:rsid w:val="2E7E609A"/>
    <w:rsid w:val="2F3740ED"/>
    <w:rsid w:val="2FF9333B"/>
    <w:rsid w:val="300F15EE"/>
    <w:rsid w:val="3062140F"/>
    <w:rsid w:val="31496EC2"/>
    <w:rsid w:val="31E57E30"/>
    <w:rsid w:val="31F6203D"/>
    <w:rsid w:val="32165023"/>
    <w:rsid w:val="321B1AA4"/>
    <w:rsid w:val="33B379FC"/>
    <w:rsid w:val="33BB5A80"/>
    <w:rsid w:val="343340AA"/>
    <w:rsid w:val="3447066C"/>
    <w:rsid w:val="344B72C6"/>
    <w:rsid w:val="348738A9"/>
    <w:rsid w:val="34F32AC5"/>
    <w:rsid w:val="35CB37E1"/>
    <w:rsid w:val="36070CBD"/>
    <w:rsid w:val="366756A0"/>
    <w:rsid w:val="36B66A6A"/>
    <w:rsid w:val="371B5B3B"/>
    <w:rsid w:val="3741602B"/>
    <w:rsid w:val="377C2FE5"/>
    <w:rsid w:val="387502F5"/>
    <w:rsid w:val="38A87E0A"/>
    <w:rsid w:val="396E2E01"/>
    <w:rsid w:val="39C752B8"/>
    <w:rsid w:val="3A0C4B4E"/>
    <w:rsid w:val="3A7C154E"/>
    <w:rsid w:val="3A9A7959"/>
    <w:rsid w:val="3C5502A8"/>
    <w:rsid w:val="3CDB07AE"/>
    <w:rsid w:val="3D3F6CF4"/>
    <w:rsid w:val="3D434DFE"/>
    <w:rsid w:val="3D71306C"/>
    <w:rsid w:val="3D8611A2"/>
    <w:rsid w:val="3DC87AC0"/>
    <w:rsid w:val="3E166E94"/>
    <w:rsid w:val="3E510229"/>
    <w:rsid w:val="3F367F1D"/>
    <w:rsid w:val="3FA56A13"/>
    <w:rsid w:val="4012098A"/>
    <w:rsid w:val="410835EE"/>
    <w:rsid w:val="418B6AEE"/>
    <w:rsid w:val="42030652"/>
    <w:rsid w:val="423D177E"/>
    <w:rsid w:val="424010B3"/>
    <w:rsid w:val="42890CAC"/>
    <w:rsid w:val="429531AD"/>
    <w:rsid w:val="42E9200F"/>
    <w:rsid w:val="43120CA1"/>
    <w:rsid w:val="432E70E3"/>
    <w:rsid w:val="4499769B"/>
    <w:rsid w:val="44B738AE"/>
    <w:rsid w:val="44E55E41"/>
    <w:rsid w:val="45A2046C"/>
    <w:rsid w:val="45B918A8"/>
    <w:rsid w:val="46797B93"/>
    <w:rsid w:val="46965745"/>
    <w:rsid w:val="46DA3BEB"/>
    <w:rsid w:val="4758626E"/>
    <w:rsid w:val="47CB141F"/>
    <w:rsid w:val="47ED28F0"/>
    <w:rsid w:val="48556CDA"/>
    <w:rsid w:val="485D0F10"/>
    <w:rsid w:val="485F6737"/>
    <w:rsid w:val="4A58410E"/>
    <w:rsid w:val="4AAD18B1"/>
    <w:rsid w:val="4ACA1E61"/>
    <w:rsid w:val="4B42467C"/>
    <w:rsid w:val="4C1C1EFA"/>
    <w:rsid w:val="4C6355B6"/>
    <w:rsid w:val="4D235499"/>
    <w:rsid w:val="4D2550DF"/>
    <w:rsid w:val="4D515A96"/>
    <w:rsid w:val="4DA2556F"/>
    <w:rsid w:val="4E143612"/>
    <w:rsid w:val="4E997C57"/>
    <w:rsid w:val="4E9D3635"/>
    <w:rsid w:val="4EA07161"/>
    <w:rsid w:val="4ED62599"/>
    <w:rsid w:val="4EE554BC"/>
    <w:rsid w:val="4F4F373F"/>
    <w:rsid w:val="51A703F2"/>
    <w:rsid w:val="51AA471F"/>
    <w:rsid w:val="521E0BAA"/>
    <w:rsid w:val="522E2CD6"/>
    <w:rsid w:val="524A20F8"/>
    <w:rsid w:val="524E2EDF"/>
    <w:rsid w:val="53C75190"/>
    <w:rsid w:val="53CB6FAB"/>
    <w:rsid w:val="542826BF"/>
    <w:rsid w:val="545B5616"/>
    <w:rsid w:val="55915C48"/>
    <w:rsid w:val="56DC71A4"/>
    <w:rsid w:val="59E02F96"/>
    <w:rsid w:val="5A10637D"/>
    <w:rsid w:val="5A244F70"/>
    <w:rsid w:val="5A304392"/>
    <w:rsid w:val="5A706581"/>
    <w:rsid w:val="5B280C0A"/>
    <w:rsid w:val="5BA1276A"/>
    <w:rsid w:val="5C1B076F"/>
    <w:rsid w:val="5C2441D3"/>
    <w:rsid w:val="5C545A2F"/>
    <w:rsid w:val="5C9245A9"/>
    <w:rsid w:val="5C9A35A3"/>
    <w:rsid w:val="5D434E88"/>
    <w:rsid w:val="5DBB508D"/>
    <w:rsid w:val="5E047FD0"/>
    <w:rsid w:val="5EA42C9D"/>
    <w:rsid w:val="5F1519BF"/>
    <w:rsid w:val="5F650B64"/>
    <w:rsid w:val="602A7EDE"/>
    <w:rsid w:val="616E7593"/>
    <w:rsid w:val="620F4C9D"/>
    <w:rsid w:val="636B6B43"/>
    <w:rsid w:val="63F56C8F"/>
    <w:rsid w:val="63F81C8C"/>
    <w:rsid w:val="640D0C57"/>
    <w:rsid w:val="64433D8E"/>
    <w:rsid w:val="64C574CA"/>
    <w:rsid w:val="64D67929"/>
    <w:rsid w:val="64DE058B"/>
    <w:rsid w:val="657607C4"/>
    <w:rsid w:val="664A0B53"/>
    <w:rsid w:val="673F17B5"/>
    <w:rsid w:val="67A07D7A"/>
    <w:rsid w:val="67B160B6"/>
    <w:rsid w:val="680A030D"/>
    <w:rsid w:val="680F1BBD"/>
    <w:rsid w:val="69113EED"/>
    <w:rsid w:val="6B776A6D"/>
    <w:rsid w:val="6CA81B7D"/>
    <w:rsid w:val="6D7B66F3"/>
    <w:rsid w:val="6D917D17"/>
    <w:rsid w:val="6DB97DE8"/>
    <w:rsid w:val="6E661D1D"/>
    <w:rsid w:val="7007345D"/>
    <w:rsid w:val="707966E1"/>
    <w:rsid w:val="729A0B48"/>
    <w:rsid w:val="729B4033"/>
    <w:rsid w:val="742C1313"/>
    <w:rsid w:val="74634E48"/>
    <w:rsid w:val="74F65574"/>
    <w:rsid w:val="75563DE9"/>
    <w:rsid w:val="75A82C1C"/>
    <w:rsid w:val="76092041"/>
    <w:rsid w:val="76684159"/>
    <w:rsid w:val="77354B5A"/>
    <w:rsid w:val="77875CB0"/>
    <w:rsid w:val="77AE3DED"/>
    <w:rsid w:val="77CE5972"/>
    <w:rsid w:val="786F5C73"/>
    <w:rsid w:val="78F75F2F"/>
    <w:rsid w:val="79162DAA"/>
    <w:rsid w:val="7956473D"/>
    <w:rsid w:val="79B76855"/>
    <w:rsid w:val="7AD654A8"/>
    <w:rsid w:val="7BE36863"/>
    <w:rsid w:val="7C207AE9"/>
    <w:rsid w:val="7C435390"/>
    <w:rsid w:val="7C6E3BED"/>
    <w:rsid w:val="7E663674"/>
    <w:rsid w:val="7ED26F9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character" w:styleId="12">
    <w:name w:val="Strong"/>
    <w:basedOn w:val="11"/>
    <w:qFormat/>
    <w:uiPriority w:val="22"/>
    <w:rPr>
      <w:b/>
    </w:r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1"/>
    <w:link w:val="6"/>
    <w:qFormat/>
    <w:uiPriority w:val="0"/>
    <w:rPr>
      <w:rFonts w:ascii="Calibri" w:hAnsi="Calibri" w:eastAsia="宋体" w:cs="Arial"/>
      <w:kern w:val="2"/>
      <w:sz w:val="18"/>
      <w:szCs w:val="18"/>
    </w:rPr>
  </w:style>
  <w:style w:type="paragraph" w:customStyle="1" w:styleId="16">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5384</Words>
  <Characters>6153</Characters>
  <Lines>4</Lines>
  <Paragraphs>7</Paragraphs>
  <TotalTime>0</TotalTime>
  <ScaleCrop>false</ScaleCrop>
  <LinksUpToDate>false</LinksUpToDate>
  <CharactersWithSpaces>6197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2022-03-09T07:40:00Z</cp:lastPrinted>
  <dcterms:modified xsi:type="dcterms:W3CDTF">2026-01-15T08:56:42Z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544D87D56C5345EAAFD3303B74A69069_13</vt:lpwstr>
  </property>
  <property fmtid="{D5CDD505-2E9C-101B-9397-08002B2CF9AE}" pid="4" name="KSOTemplateDocerSaveRecord">
    <vt:lpwstr>eyJoZGlkIjoiOGFjMmU0Yjk5NmUyMjAwNzM3OGEzNzg5ZGMyZDkzOWUiLCJ1c2VySWQiOiIxNTc4Njk4MDQ3In0=</vt:lpwstr>
  </property>
</Properties>
</file>