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LCCQJJ2026</w:t>
      </w:r>
      <w:r>
        <w:rPr>
          <w:rFonts w:hint="eastAsia" w:asciiTheme="minorEastAsia" w:hAnsiTheme="minorEastAsia" w:eastAsiaTheme="minorEastAsia" w:cstheme="minorEastAsia"/>
          <w:b w:val="0"/>
          <w:bCs w:val="0"/>
          <w:color w:val="0000FF"/>
          <w:kern w:val="2"/>
          <w:sz w:val="24"/>
          <w:szCs w:val="24"/>
          <w:shd w:val="clear"/>
          <w:lang w:val="en-US" w:eastAsia="zh-CN"/>
        </w:rPr>
        <w:t>0130</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w:t>
      </w:r>
      <w:r>
        <w:rPr>
          <w:rFonts w:hint="eastAsia" w:asciiTheme="minorEastAsia" w:hAnsiTheme="minorEastAsia" w:eastAsiaTheme="minorEastAsia" w:cstheme="minorEastAsia"/>
          <w:color w:val="auto"/>
          <w:kern w:val="2"/>
          <w:sz w:val="24"/>
          <w:szCs w:val="24"/>
          <w:shd w:val="clear"/>
          <w:lang w:eastAsia="zh-CN"/>
        </w:rPr>
        <w:t>2026年1月30日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w:t>
      </w:r>
      <w:r>
        <w:rPr>
          <w:rFonts w:hint="eastAsia" w:asciiTheme="minorEastAsia" w:hAnsiTheme="minorEastAsia" w:eastAsiaTheme="minorEastAsia" w:cstheme="minorEastAsia"/>
          <w:color w:val="auto"/>
          <w:kern w:val="2"/>
          <w:sz w:val="24"/>
          <w:szCs w:val="24"/>
          <w:shd w:val="clear"/>
          <w:lang w:eastAsia="zh-CN"/>
        </w:rPr>
        <w:t>2026年1月30日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1.项目名称：连城县天泉湾酒店制服采购（三次）</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2.采购清单要求如下：</w:t>
      </w:r>
    </w:p>
    <w:tbl>
      <w:tblPr>
        <w:tblStyle w:val="15"/>
        <w:tblW w:w="56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472"/>
        <w:gridCol w:w="1367"/>
        <w:gridCol w:w="555"/>
        <w:gridCol w:w="555"/>
        <w:gridCol w:w="1212"/>
        <w:gridCol w:w="1389"/>
        <w:gridCol w:w="1546"/>
        <w:gridCol w:w="1184"/>
      </w:tblGrid>
      <w:tr w14:paraId="4FAE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34890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cs="宋体"/>
                <w:b/>
                <w:bCs/>
                <w:i w:val="0"/>
                <w:iCs w:val="0"/>
                <w:color w:val="000000"/>
                <w:kern w:val="0"/>
                <w:sz w:val="40"/>
                <w:szCs w:val="40"/>
                <w:u w:val="none"/>
                <w:lang w:val="en-US" w:eastAsia="zh-CN" w:bidi="ar"/>
              </w:rPr>
              <w:t>连城县天泉湾酒店制服采购（三次）</w:t>
            </w:r>
            <w:r>
              <w:rPr>
                <w:rFonts w:hint="eastAsia" w:ascii="宋体" w:hAnsi="宋体" w:eastAsia="宋体" w:cs="宋体"/>
                <w:b/>
                <w:bCs/>
                <w:i w:val="0"/>
                <w:iCs w:val="0"/>
                <w:color w:val="000000"/>
                <w:kern w:val="0"/>
                <w:sz w:val="40"/>
                <w:szCs w:val="40"/>
                <w:u w:val="none"/>
                <w:lang w:val="en-US" w:eastAsia="zh-CN" w:bidi="ar"/>
              </w:rPr>
              <w:t>清单</w:t>
            </w:r>
          </w:p>
        </w:tc>
      </w:tr>
      <w:tr w14:paraId="6376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D0B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6F3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类别</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EB33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面料成分</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A59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A2F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39C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单价（元）</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FB7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E65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图片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693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6E9A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3C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78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呢料大衣</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E6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100%羊毛</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6B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C1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58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98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7700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F594">
            <w:pPr>
              <w:keepNext w:val="0"/>
              <w:keepLines w:val="0"/>
              <w:widowControl/>
              <w:suppressLineNumbers w:val="0"/>
              <w:jc w:val="center"/>
              <w:textAlignment w:val="center"/>
              <w:rPr>
                <w:rFonts w:hint="eastAsia" w:ascii="宋体" w:hAnsi="宋体" w:eastAsia="宋体" w:cs="宋体"/>
                <w:i w:val="0"/>
                <w:iCs w:val="0"/>
                <w:color w:val="800080"/>
                <w:sz w:val="28"/>
                <w:szCs w:val="28"/>
                <w:u w:val="single"/>
              </w:rPr>
            </w:pPr>
            <w:r>
              <w:rPr>
                <w:rFonts w:hint="eastAsia" w:ascii="宋体" w:hAnsi="宋体" w:eastAsia="宋体" w:cs="宋体"/>
                <w:i w:val="0"/>
                <w:iCs w:val="0"/>
                <w:color w:val="800080"/>
                <w:kern w:val="0"/>
                <w:sz w:val="28"/>
                <w:szCs w:val="28"/>
                <w:u w:val="singl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wp:posOffset>
                  </wp:positionH>
                  <wp:positionV relativeFrom="paragraph">
                    <wp:posOffset>-55880</wp:posOffset>
                  </wp:positionV>
                  <wp:extent cx="855345" cy="803275"/>
                  <wp:effectExtent l="0" t="0" r="1905" b="15875"/>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6"/>
                          <a:stretch>
                            <a:fillRect/>
                          </a:stretch>
                        </pic:blipFill>
                        <pic:spPr>
                          <a:xfrm>
                            <a:off x="0" y="0"/>
                            <a:ext cx="855345" cy="803275"/>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99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4XXL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2XXXL</w:t>
            </w:r>
          </w:p>
        </w:tc>
      </w:tr>
      <w:tr w14:paraId="4782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E8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E8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呢料大衣</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1D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100%羊毛</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6E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14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B1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54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6930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1B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-10795</wp:posOffset>
                  </wp:positionH>
                  <wp:positionV relativeFrom="paragraph">
                    <wp:posOffset>-3175</wp:posOffset>
                  </wp:positionV>
                  <wp:extent cx="866140" cy="905510"/>
                  <wp:effectExtent l="0" t="0" r="10160" b="889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7"/>
                          <a:stretch>
                            <a:fillRect/>
                          </a:stretch>
                        </pic:blipFill>
                        <pic:spPr>
                          <a:xfrm>
                            <a:off x="0" y="0"/>
                            <a:ext cx="866140" cy="905510"/>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F0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8L(3男）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1XL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2XXL(1男）</w:t>
            </w:r>
          </w:p>
        </w:tc>
      </w:tr>
      <w:tr w14:paraId="3D3A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F9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A0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中长款棉服</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C6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面料成分：100%聚酯纤维</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填充物：羽绒棉</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CD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2E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B6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B4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11165</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B8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-142875</wp:posOffset>
                  </wp:positionV>
                  <wp:extent cx="910590" cy="1690370"/>
                  <wp:effectExtent l="0" t="0" r="3810" b="5080"/>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8"/>
                          <a:stretch>
                            <a:fillRect/>
                          </a:stretch>
                        </pic:blipFill>
                        <pic:spPr>
                          <a:xfrm>
                            <a:off x="0" y="0"/>
                            <a:ext cx="910590" cy="1690370"/>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A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9XL(2男）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8XXL(3男）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6XXXL</w:t>
            </w:r>
          </w:p>
        </w:tc>
      </w:tr>
      <w:tr w14:paraId="71DE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8F5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66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西装+衬衣+西裤（不含马甲）</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11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80%聚酯纤维20%粘胶纤维</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E9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3A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C1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366.51</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D0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733.02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D8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-42545</wp:posOffset>
                  </wp:positionV>
                  <wp:extent cx="982980" cy="1063625"/>
                  <wp:effectExtent l="0" t="0" r="7620" b="3175"/>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9"/>
                          <a:stretch>
                            <a:fillRect/>
                          </a:stretch>
                        </pic:blipFill>
                        <pic:spPr>
                          <a:xfrm>
                            <a:off x="0" y="0"/>
                            <a:ext cx="982980" cy="1063625"/>
                          </a:xfrm>
                          <a:prstGeom prst="rect">
                            <a:avLst/>
                          </a:prstGeom>
                          <a:noFill/>
                          <a:ln>
                            <a:noFill/>
                          </a:ln>
                        </pic:spPr>
                      </pic:pic>
                    </a:graphicData>
                  </a:graphic>
                </wp:anchor>
              </w:drawing>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11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L（男）</w:t>
            </w:r>
          </w:p>
        </w:tc>
      </w:tr>
      <w:tr w14:paraId="2652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90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D221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3BB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26528.02</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BA7F2">
            <w:pPr>
              <w:jc w:val="center"/>
              <w:rPr>
                <w:rFonts w:hint="eastAsia" w:ascii="宋体" w:hAnsi="宋体" w:eastAsia="宋体" w:cs="宋体"/>
                <w:i w:val="0"/>
                <w:iCs w:val="0"/>
                <w:color w:val="000000"/>
                <w:sz w:val="22"/>
                <w:szCs w:val="22"/>
                <w:u w:val="none"/>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A82A">
            <w:pPr>
              <w:jc w:val="left"/>
              <w:rPr>
                <w:rFonts w:hint="eastAsia" w:ascii="宋体" w:hAnsi="宋体" w:eastAsia="宋体" w:cs="宋体"/>
                <w:i w:val="0"/>
                <w:iCs w:val="0"/>
                <w:color w:val="000000"/>
                <w:sz w:val="22"/>
                <w:szCs w:val="22"/>
                <w:u w:val="none"/>
              </w:rPr>
            </w:pPr>
          </w:p>
        </w:tc>
      </w:tr>
    </w:tbl>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3.最高限价：26528.02元（含税包干)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4.竞价保证金：伍佰元整（¥500元）。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w:t>
      </w:r>
      <w:r>
        <w:rPr>
          <w:rFonts w:hint="eastAsia" w:asciiTheme="minorEastAsia" w:hAnsiTheme="minorEastAsia" w:eastAsiaTheme="minorEastAsia" w:cstheme="minorEastAsia"/>
          <w:color w:val="0000FF"/>
          <w:kern w:val="2"/>
          <w:sz w:val="24"/>
          <w:szCs w:val="24"/>
          <w:shd w:val="clear"/>
          <w:lang w:val="en-US" w:eastAsia="zh-CN"/>
        </w:rPr>
        <w:t>成交人应在成交通知书发放后3天内签订《采购合同》并对接服装款式面料等问题，在《采购合同》签订之日起15日历天内，将符合要求的货物送达指定地点并交付正常使用（需上门量体裁衣）</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0000FF"/>
          <w:kern w:val="2"/>
          <w:sz w:val="24"/>
          <w:szCs w:val="24"/>
          <w:shd w:val="clear"/>
          <w:lang w:val="en-US" w:eastAsia="zh-CN"/>
        </w:rPr>
        <w:t>所有制服完成交付且经验收合格后支付至合同总价的95%；剩余的5%的货款作为质量保证金，以验收合格半年后，无质量问题，再予以支付。</w:t>
      </w:r>
    </w:p>
    <w:p w14:paraId="2E3867F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8.质保期：半年</w:t>
      </w:r>
    </w:p>
    <w:p w14:paraId="4056414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9.质量要求：</w:t>
      </w:r>
    </w:p>
    <w:p w14:paraId="4B180A7C">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9.1采购清单内所有产品的款式、颜色及面料具体以采购人确认后为准，未经采购人确认的不得进行排产量产；</w:t>
      </w:r>
    </w:p>
    <w:p w14:paraId="577290F5">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9.2质量及验收标准：所有制服使用布料需为全新的未曾使用过的合格布料，达到国家服装产品质量标准，符合国家及行业的相关标准以及上条要求。供应商到货时须提供出产合格证等质量证明资料由采购方人员进行验收，对不符合采购人要求的，或存在瑕疵的，成交供应商应在十个工作日内修复完毕，无法修改的应立即更换。</w:t>
      </w:r>
    </w:p>
    <w:p w14:paraId="2EAFA4F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9.3量衣时间：以采购人通知时间为准。</w:t>
      </w:r>
    </w:p>
    <w:p w14:paraId="774D43B0">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shd w:val="clear"/>
          <w:lang w:val="en-US" w:eastAsia="zh-CN"/>
        </w:rPr>
      </w:pPr>
      <w:r>
        <w:rPr>
          <w:rFonts w:hint="eastAsia" w:asciiTheme="minorEastAsia" w:hAnsiTheme="minorEastAsia" w:eastAsiaTheme="minorEastAsia" w:cstheme="minorEastAsia"/>
          <w:b w:val="0"/>
          <w:bCs w:val="0"/>
          <w:color w:val="0000FF"/>
          <w:kern w:val="2"/>
          <w:sz w:val="24"/>
          <w:szCs w:val="24"/>
          <w:shd w:val="clear"/>
          <w:lang w:val="en-US" w:eastAsia="zh-CN"/>
        </w:rPr>
        <w:t>9.4在采购人收到货品的7天内因产品自身质量出现问题的，成交供应商应当在收到采购人通知后2小时内按采购人要求解决，无法维修的，及时免费更换。</w:t>
      </w:r>
    </w:p>
    <w:p w14:paraId="09D27658">
      <w:pPr>
        <w:spacing w:line="360" w:lineRule="auto"/>
        <w:ind w:firstLine="480" w:firstLineChars="200"/>
        <w:rPr>
          <w:rFonts w:ascii="宋体" w:hAnsi="宋体" w:eastAsia="宋体" w:cs="Arial"/>
          <w:b/>
          <w:sz w:val="24"/>
          <w:szCs w:val="24"/>
          <w:highlight w:val="none"/>
        </w:rPr>
      </w:pPr>
      <w:r>
        <w:rPr>
          <w:rFonts w:hint="eastAsia" w:asciiTheme="minorEastAsia" w:hAnsiTheme="minorEastAsia" w:eastAsiaTheme="minorEastAsia" w:cstheme="minorEastAsia"/>
          <w:b w:val="0"/>
          <w:bCs w:val="0"/>
          <w:color w:val="0000FF"/>
          <w:kern w:val="2"/>
          <w:sz w:val="24"/>
          <w:szCs w:val="24"/>
          <w:shd w:val="clear"/>
          <w:lang w:val="en-US" w:eastAsia="zh-CN"/>
        </w:rPr>
        <w:t>10.违约责任</w:t>
      </w:r>
      <w:r>
        <w:rPr>
          <w:rFonts w:hint="eastAsia" w:ascii="宋体" w:hAnsi="宋体" w:eastAsia="宋体" w:cs="Arial"/>
          <w:b/>
          <w:sz w:val="24"/>
          <w:szCs w:val="24"/>
          <w:highlight w:val="none"/>
        </w:rPr>
        <w:t>：</w:t>
      </w:r>
    </w:p>
    <w:p w14:paraId="5C8A3147">
      <w:pPr>
        <w:spacing w:line="360" w:lineRule="auto"/>
        <w:ind w:firstLine="480" w:firstLineChars="200"/>
        <w:rPr>
          <w:rFonts w:hint="default" w:ascii="宋体" w:hAnsi="宋体" w:eastAsia="宋体" w:cs="Arial"/>
          <w:color w:val="0000FF"/>
          <w:sz w:val="24"/>
          <w:szCs w:val="24"/>
          <w:highlight w:val="none"/>
          <w:lang w:val="en-US"/>
        </w:rPr>
      </w:pPr>
      <w:r>
        <w:rPr>
          <w:rFonts w:hint="eastAsia" w:ascii="宋体" w:hAnsi="宋体" w:eastAsia="宋体" w:cs="Arial"/>
          <w:color w:val="0000FF"/>
          <w:sz w:val="24"/>
          <w:szCs w:val="24"/>
          <w:highlight w:val="none"/>
          <w:lang w:val="en-US" w:eastAsia="zh-CN"/>
        </w:rPr>
        <w:t>10.1</w:t>
      </w:r>
      <w:r>
        <w:rPr>
          <w:rFonts w:hint="eastAsia" w:ascii="宋体" w:hAnsi="宋体" w:eastAsia="宋体" w:cs="Arial"/>
          <w:color w:val="0000FF"/>
          <w:sz w:val="24"/>
          <w:szCs w:val="24"/>
          <w:highlight w:val="none"/>
        </w:rPr>
        <w:t>若</w:t>
      </w:r>
      <w:r>
        <w:rPr>
          <w:rFonts w:hint="eastAsia" w:ascii="宋体" w:hAnsi="宋体" w:eastAsia="宋体" w:cs="Arial"/>
          <w:color w:val="0000FF"/>
          <w:sz w:val="24"/>
          <w:szCs w:val="24"/>
          <w:highlight w:val="none"/>
          <w:lang w:val="en-US" w:eastAsia="zh-CN"/>
        </w:rPr>
        <w:t>成交人</w:t>
      </w:r>
      <w:r>
        <w:rPr>
          <w:rFonts w:hint="eastAsia" w:ascii="宋体" w:hAnsi="宋体" w:eastAsia="宋体" w:cs="Arial"/>
          <w:color w:val="0000FF"/>
          <w:sz w:val="24"/>
          <w:szCs w:val="24"/>
          <w:highlight w:val="none"/>
        </w:rPr>
        <w:t>没有按约定的时间将货物运抵交货地点，视为延期交货，每迟一天按总额的3</w:t>
      </w:r>
      <w:r>
        <w:rPr>
          <w:rFonts w:hint="eastAsia" w:ascii="宋体" w:hAnsi="宋体" w:eastAsia="宋体" w:cs="Arial"/>
          <w:color w:val="0000FF"/>
          <w:sz w:val="24"/>
          <w:szCs w:val="24"/>
          <w:highlight w:val="none"/>
          <w:lang w:val="en-US" w:eastAsia="zh-CN"/>
        </w:rPr>
        <w:t>%</w:t>
      </w:r>
      <w:r>
        <w:rPr>
          <w:rFonts w:hint="eastAsia" w:ascii="宋体" w:hAnsi="宋体" w:eastAsia="宋体" w:cs="Arial"/>
          <w:color w:val="0000FF"/>
          <w:sz w:val="24"/>
          <w:szCs w:val="24"/>
          <w:highlight w:val="none"/>
        </w:rPr>
        <w:t>扣款。</w:t>
      </w:r>
      <w:r>
        <w:rPr>
          <w:rFonts w:hint="eastAsia" w:ascii="宋体" w:hAnsi="宋体" w:eastAsia="宋体" w:cs="Arial"/>
          <w:color w:val="0000FF"/>
          <w:sz w:val="24"/>
          <w:szCs w:val="24"/>
          <w:highlight w:val="none"/>
          <w:lang w:val="en-US" w:eastAsia="zh-CN"/>
        </w:rPr>
        <w:t>成交人不得以采购批次服装数量少、运费过高等任何理由拒绝交货。</w:t>
      </w:r>
    </w:p>
    <w:p w14:paraId="4F1244FE">
      <w:pPr>
        <w:spacing w:line="360" w:lineRule="auto"/>
        <w:ind w:firstLine="480" w:firstLineChars="200"/>
        <w:rPr>
          <w:rFonts w:hint="eastAsia" w:ascii="宋体" w:hAnsi="宋体" w:eastAsia="宋体" w:cs="Arial"/>
          <w:color w:val="0000FF"/>
          <w:sz w:val="24"/>
          <w:szCs w:val="24"/>
          <w:highlight w:val="none"/>
        </w:rPr>
      </w:pPr>
      <w:r>
        <w:rPr>
          <w:rFonts w:hint="eastAsia" w:ascii="宋体" w:hAnsi="宋体" w:eastAsia="宋体" w:cs="Arial"/>
          <w:color w:val="0000FF"/>
          <w:sz w:val="24"/>
          <w:szCs w:val="24"/>
          <w:highlight w:val="none"/>
          <w:lang w:val="en-US" w:eastAsia="zh-CN"/>
        </w:rPr>
        <w:t>10.2</w:t>
      </w:r>
      <w:r>
        <w:rPr>
          <w:rFonts w:hint="eastAsia" w:ascii="宋体" w:hAnsi="宋体" w:eastAsia="宋体" w:cs="Arial"/>
          <w:color w:val="0000FF"/>
          <w:sz w:val="24"/>
          <w:szCs w:val="24"/>
          <w:highlight w:val="none"/>
        </w:rPr>
        <w:t>若</w:t>
      </w:r>
      <w:r>
        <w:rPr>
          <w:rFonts w:hint="eastAsia" w:ascii="宋体" w:hAnsi="宋体" w:eastAsia="宋体" w:cs="Arial"/>
          <w:color w:val="0000FF"/>
          <w:sz w:val="24"/>
          <w:szCs w:val="24"/>
          <w:highlight w:val="none"/>
          <w:lang w:val="en-US" w:eastAsia="zh-CN"/>
        </w:rPr>
        <w:t>采购人</w:t>
      </w:r>
      <w:r>
        <w:rPr>
          <w:rFonts w:hint="eastAsia" w:ascii="宋体" w:hAnsi="宋体" w:eastAsia="宋体" w:cs="Arial"/>
          <w:color w:val="0000FF"/>
          <w:sz w:val="24"/>
          <w:szCs w:val="24"/>
          <w:highlight w:val="none"/>
        </w:rPr>
        <w:t>发现一例以假充真，以次充好的事件，全部退回成品，并由</w:t>
      </w:r>
      <w:r>
        <w:rPr>
          <w:rFonts w:hint="eastAsia" w:ascii="宋体" w:hAnsi="宋体" w:eastAsia="宋体" w:cs="Arial"/>
          <w:color w:val="0000FF"/>
          <w:sz w:val="24"/>
          <w:szCs w:val="24"/>
          <w:highlight w:val="none"/>
          <w:lang w:val="en-US" w:eastAsia="zh-CN"/>
        </w:rPr>
        <w:t>成交人</w:t>
      </w:r>
      <w:r>
        <w:rPr>
          <w:rFonts w:hint="eastAsia" w:ascii="宋体" w:hAnsi="宋体" w:eastAsia="宋体" w:cs="Arial"/>
          <w:color w:val="0000FF"/>
          <w:sz w:val="24"/>
          <w:szCs w:val="24"/>
          <w:highlight w:val="none"/>
        </w:rPr>
        <w:t>按合同总额的5%赔偿。</w:t>
      </w:r>
    </w:p>
    <w:p w14:paraId="60138117">
      <w:pPr>
        <w:pStyle w:val="2"/>
        <w:rPr>
          <w:rFonts w:hint="eastAsia" w:ascii="宋体" w:hAnsi="宋体" w:eastAsia="宋体" w:cs="Arial"/>
          <w:color w:val="0000FF"/>
          <w:sz w:val="24"/>
          <w:szCs w:val="24"/>
          <w:highlight w:val="none"/>
          <w:lang w:val="en-US" w:eastAsia="zh-CN"/>
        </w:rPr>
      </w:pPr>
      <w:r>
        <w:rPr>
          <w:rFonts w:hint="eastAsia" w:ascii="宋体" w:hAnsi="宋体" w:eastAsia="宋体" w:cs="Arial"/>
          <w:color w:val="0000FF"/>
          <w:sz w:val="24"/>
          <w:szCs w:val="24"/>
          <w:highlight w:val="none"/>
          <w:lang w:val="en-US" w:eastAsia="zh-CN"/>
        </w:rPr>
        <w:t>10.3若成交人逾期5个工作日未提供符合甲方要求的货品（工作服），采购人有权解除合同，成交人应支付合同金额50%的违约金。</w:t>
      </w:r>
    </w:p>
    <w:p w14:paraId="778B7EE0">
      <w:pPr>
        <w:pStyle w:val="2"/>
        <w:rPr>
          <w:rFonts w:hint="default" w:ascii="宋体" w:hAnsi="宋体" w:eastAsia="宋体" w:cs="Arial"/>
          <w:color w:val="0000FF"/>
          <w:sz w:val="24"/>
          <w:szCs w:val="24"/>
          <w:highlight w:val="none"/>
          <w:lang w:val="en-US" w:eastAsia="zh-CN"/>
        </w:rPr>
      </w:pPr>
      <w:r>
        <w:rPr>
          <w:rFonts w:hint="eastAsia" w:cs="Arial"/>
          <w:color w:val="0000FF"/>
          <w:sz w:val="24"/>
          <w:szCs w:val="24"/>
          <w:highlight w:val="none"/>
          <w:lang w:val="en-US" w:eastAsia="zh-CN"/>
        </w:rPr>
        <w:t>11.履约保证金：履约保证金为合同价的10%。</w:t>
      </w:r>
    </w:p>
    <w:p w14:paraId="0C7C95EB">
      <w:pPr>
        <w:widowControl/>
        <w:shd w:val="clear" w:color="auto" w:fill="FFFFFF"/>
        <w:adjustRightInd/>
        <w:snapToGrid/>
        <w:spacing w:after="0" w:line="360" w:lineRule="auto"/>
        <w:ind w:firstLine="480"/>
        <w:jc w:val="left"/>
        <w:rPr>
          <w:rFonts w:hint="eastAsia" w:ascii="宋体" w:hAnsi="宋体" w:eastAsia="宋体" w:cs="宋体"/>
          <w:color w:val="404040"/>
          <w:kern w:val="0"/>
          <w:sz w:val="21"/>
          <w:szCs w:val="21"/>
        </w:rPr>
      </w:pPr>
      <w:r>
        <w:rPr>
          <w:rFonts w:hint="eastAsia" w:ascii="宋体" w:hAnsi="宋体" w:eastAsia="宋体" w:cs="宋体"/>
          <w:b/>
          <w:bCs/>
          <w:color w:val="404040"/>
          <w:kern w:val="0"/>
          <w:sz w:val="24"/>
          <w:szCs w:val="24"/>
        </w:rPr>
        <w:t>特别提示：</w:t>
      </w:r>
    </w:p>
    <w:p w14:paraId="5B6BF94A">
      <w:pPr>
        <w:widowControl/>
        <w:shd w:val="clear" w:color="auto" w:fill="FFFFFF"/>
        <w:adjustRightInd/>
        <w:snapToGrid/>
        <w:spacing w:after="0" w:line="360" w:lineRule="auto"/>
        <w:ind w:firstLine="600"/>
        <w:jc w:val="left"/>
        <w:rPr>
          <w:rFonts w:hint="default" w:ascii="宋体" w:hAnsi="宋体" w:eastAsia="宋体" w:cs="Arial"/>
          <w:color w:val="0000FF"/>
          <w:sz w:val="24"/>
          <w:szCs w:val="24"/>
          <w:highlight w:val="none"/>
          <w:lang w:val="en-US" w:eastAsia="zh-CN"/>
        </w:rPr>
      </w:pPr>
      <w:r>
        <w:rPr>
          <w:rFonts w:hint="eastAsia" w:ascii="宋体" w:hAnsi="宋体" w:eastAsia="宋体" w:cs="宋体"/>
          <w:color w:val="404040"/>
          <w:kern w:val="0"/>
          <w:sz w:val="24"/>
          <w:szCs w:val="24"/>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55FC6BC7">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1.遵守中华人民共和国法律、法规，且能够诚信经营，具有独立法人资格的竞价人均可能成为合格的竞价人,但已经被列入失信被执行人名单（截止报名时间）的除外。</w:t>
      </w:r>
    </w:p>
    <w:p w14:paraId="142207FE">
      <w:pPr>
        <w:pStyle w:val="2"/>
        <w:rPr>
          <w:rFonts w:hint="eastAsia"/>
          <w:lang w:val="en-US" w:eastAsia="zh-CN"/>
        </w:rPr>
      </w:pPr>
      <w:r>
        <w:rPr>
          <w:rFonts w:hint="eastAsia" w:ascii="宋体" w:hAnsi="宋体" w:eastAsia="宋体" w:cs="宋体"/>
          <w:kern w:val="0"/>
          <w:sz w:val="24"/>
          <w:szCs w:val="24"/>
        </w:rPr>
        <w:t>2.具有履行合同所必需的能力</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500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2026年1月30日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26528.02元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26528.02元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26528.02元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righ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10"/>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2026年1月26日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2026年1月30日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连城县天泉湾酒店制服采购（三次）</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60130</w:t>
      </w:r>
      <w:bookmarkStart w:id="0" w:name="_GoBack"/>
      <w:bookmarkEnd w:id="0"/>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1E0B3ACC">
      <w:pPr>
        <w:widowControl w:val="0"/>
        <w:spacing w:line="380" w:lineRule="exact"/>
        <w:jc w:val="both"/>
        <w:rPr>
          <w:rFonts w:hint="eastAsia" w:ascii="Calibri" w:hAnsi="Calibri" w:eastAsia="宋体" w:cs="Arial"/>
          <w:kern w:val="2"/>
          <w:sz w:val="24"/>
          <w:szCs w:val="22"/>
          <w:lang w:val="en-US" w:eastAsia="zh-CN" w:bidi="ar-SA"/>
        </w:rPr>
      </w:pPr>
      <w:r>
        <w:rPr>
          <w:rFonts w:hint="eastAsia" w:ascii="Calibri" w:hAnsi="Calibri" w:eastAsia="宋体" w:cs="Arial"/>
          <w:kern w:val="2"/>
          <w:sz w:val="24"/>
          <w:szCs w:val="22"/>
          <w:lang w:val="en-US" w:eastAsia="zh-CN" w:bidi="ar-SA"/>
        </w:rPr>
        <w:t>附件：</w:t>
      </w:r>
    </w:p>
    <w:p w14:paraId="533F866B">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ascii="Calibri" w:hAnsi="Calibri" w:eastAsia="方正小标宋简体" w:cs="Arial"/>
          <w:sz w:val="32"/>
          <w:szCs w:val="32"/>
          <w:lang w:eastAsia="zh-CN"/>
        </w:rPr>
      </w:pPr>
      <w:r>
        <w:rPr>
          <w:rStyle w:val="18"/>
          <w:rFonts w:hint="eastAsia" w:ascii="方正小标宋简体" w:hAnsi="方正小标宋简体" w:eastAsia="方正小标宋简体" w:cs="方正小标宋简体"/>
          <w:b w:val="0"/>
          <w:bCs w:val="0"/>
          <w:sz w:val="32"/>
          <w:szCs w:val="32"/>
          <w:lang w:val="en-US" w:eastAsia="zh-CN"/>
        </w:rPr>
        <w:t>连城县天泉湾酒店制服采购</w:t>
      </w:r>
      <w:r>
        <w:rPr>
          <w:rStyle w:val="18"/>
          <w:rFonts w:hint="eastAsia" w:ascii="方正小标宋简体" w:hAnsi="方正小标宋简体" w:eastAsia="方正小标宋简体" w:cs="方正小标宋简体"/>
          <w:b w:val="0"/>
          <w:bCs w:val="0"/>
          <w:sz w:val="32"/>
          <w:szCs w:val="32"/>
        </w:rPr>
        <w:t>合同</w:t>
      </w:r>
      <w:r>
        <w:rPr>
          <w:rStyle w:val="18"/>
          <w:rFonts w:hint="eastAsia" w:ascii="方正小标宋简体" w:hAnsi="方正小标宋简体" w:eastAsia="方正小标宋简体" w:cs="方正小标宋简体"/>
          <w:b w:val="0"/>
          <w:bCs w:val="0"/>
          <w:sz w:val="32"/>
          <w:szCs w:val="32"/>
          <w:lang w:eastAsia="zh-CN"/>
        </w:rPr>
        <w:t>（</w:t>
      </w:r>
      <w:r>
        <w:rPr>
          <w:rStyle w:val="18"/>
          <w:rFonts w:hint="eastAsia" w:ascii="方正小标宋简体" w:hAnsi="方正小标宋简体" w:eastAsia="方正小标宋简体" w:cs="方正小标宋简体"/>
          <w:b w:val="0"/>
          <w:bCs w:val="0"/>
          <w:sz w:val="32"/>
          <w:szCs w:val="32"/>
          <w:lang w:val="en-US" w:eastAsia="zh-CN"/>
        </w:rPr>
        <w:t>参考模板</w:t>
      </w:r>
      <w:r>
        <w:rPr>
          <w:rStyle w:val="18"/>
          <w:rFonts w:hint="eastAsia" w:ascii="方正小标宋简体" w:hAnsi="方正小标宋简体" w:eastAsia="方正小标宋简体" w:cs="方正小标宋简体"/>
          <w:b w:val="0"/>
          <w:bCs w:val="0"/>
          <w:sz w:val="32"/>
          <w:szCs w:val="32"/>
          <w:lang w:eastAsia="zh-CN"/>
        </w:rPr>
        <w:t>）</w:t>
      </w:r>
    </w:p>
    <w:p w14:paraId="74A5D58C">
      <w:pPr>
        <w:spacing w:line="360" w:lineRule="exact"/>
        <w:ind w:firstLine="593" w:firstLineChars="246"/>
        <w:rPr>
          <w:rFonts w:hint="eastAsia" w:ascii="宋体" w:hAnsi="宋体" w:eastAsia="宋体" w:cs="宋体"/>
          <w:b/>
          <w:sz w:val="24"/>
          <w:szCs w:val="24"/>
        </w:rPr>
      </w:pPr>
    </w:p>
    <w:p w14:paraId="04339879">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68F455D6">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5BF5168B">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3460CAB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4D7A4D0">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5D289D0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p>
    <w:tbl>
      <w:tblPr>
        <w:tblStyle w:val="15"/>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8"/>
        <w:gridCol w:w="1"/>
        <w:gridCol w:w="1123"/>
        <w:gridCol w:w="2274"/>
        <w:gridCol w:w="2375"/>
        <w:gridCol w:w="669"/>
        <w:gridCol w:w="669"/>
        <w:gridCol w:w="1014"/>
        <w:gridCol w:w="1155"/>
      </w:tblGrid>
      <w:tr w14:paraId="6515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8" w:type="dxa"/>
            <w:shd w:val="clear" w:color="auto" w:fill="auto"/>
            <w:noWrap/>
            <w:vAlign w:val="center"/>
          </w:tcPr>
          <w:p w14:paraId="2F88F0B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124" w:type="dxa"/>
            <w:gridSpan w:val="2"/>
            <w:shd w:val="clear" w:color="auto" w:fill="auto"/>
            <w:noWrap/>
            <w:vAlign w:val="center"/>
          </w:tcPr>
          <w:p w14:paraId="4701EAE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产品名称</w:t>
            </w:r>
          </w:p>
        </w:tc>
        <w:tc>
          <w:tcPr>
            <w:tcW w:w="2274" w:type="dxa"/>
            <w:shd w:val="clear" w:color="auto" w:fill="auto"/>
            <w:noWrap/>
            <w:vAlign w:val="center"/>
          </w:tcPr>
          <w:p w14:paraId="4CCA464D">
            <w:pPr>
              <w:pageBreakBefore w:val="0"/>
              <w:widowControl/>
              <w:kinsoku/>
              <w:wordWrap/>
              <w:overflowPunct/>
              <w:topLinePunct w:val="0"/>
              <w:bidi w:val="0"/>
              <w:spacing w:line="320" w:lineRule="exact"/>
              <w:jc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kern w:val="0"/>
                <w:sz w:val="24"/>
                <w:szCs w:val="21"/>
              </w:rPr>
              <w:t>参数要求</w:t>
            </w:r>
          </w:p>
        </w:tc>
        <w:tc>
          <w:tcPr>
            <w:tcW w:w="2375" w:type="dxa"/>
            <w:shd w:val="clear" w:color="auto" w:fill="auto"/>
            <w:noWrap/>
            <w:vAlign w:val="center"/>
          </w:tcPr>
          <w:p w14:paraId="44E638F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投报品牌型号</w:t>
            </w:r>
          </w:p>
        </w:tc>
        <w:tc>
          <w:tcPr>
            <w:tcW w:w="669" w:type="dxa"/>
            <w:shd w:val="clear" w:color="auto" w:fill="auto"/>
            <w:noWrap/>
            <w:vAlign w:val="center"/>
          </w:tcPr>
          <w:p w14:paraId="295E4573">
            <w:pPr>
              <w:pageBreakBefore w:val="0"/>
              <w:widowControl/>
              <w:kinsoku/>
              <w:wordWrap/>
              <w:overflowPunct/>
              <w:topLinePunct w:val="0"/>
              <w:bidi w:val="0"/>
              <w:spacing w:line="320" w:lineRule="exact"/>
              <w:jc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kern w:val="0"/>
                <w:sz w:val="24"/>
                <w:szCs w:val="21"/>
              </w:rPr>
              <w:t>单位</w:t>
            </w:r>
          </w:p>
        </w:tc>
        <w:tc>
          <w:tcPr>
            <w:tcW w:w="669" w:type="dxa"/>
            <w:shd w:val="clear" w:color="auto" w:fill="auto"/>
            <w:noWrap/>
            <w:vAlign w:val="center"/>
          </w:tcPr>
          <w:p w14:paraId="33384E2F">
            <w:pPr>
              <w:pageBreakBefore w:val="0"/>
              <w:widowControl/>
              <w:kinsoku/>
              <w:wordWrap/>
              <w:overflowPunct/>
              <w:topLinePunct w:val="0"/>
              <w:bidi w:val="0"/>
              <w:spacing w:line="320" w:lineRule="exact"/>
              <w:jc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kern w:val="0"/>
                <w:sz w:val="24"/>
                <w:szCs w:val="21"/>
              </w:rPr>
              <w:t>数量</w:t>
            </w:r>
          </w:p>
        </w:tc>
        <w:tc>
          <w:tcPr>
            <w:tcW w:w="1014" w:type="dxa"/>
            <w:shd w:val="clear" w:color="auto" w:fill="auto"/>
            <w:noWrap/>
            <w:vAlign w:val="center"/>
          </w:tcPr>
          <w:p w14:paraId="48FD4DB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投报单价（元）</w:t>
            </w:r>
          </w:p>
        </w:tc>
        <w:tc>
          <w:tcPr>
            <w:tcW w:w="1155" w:type="dxa"/>
            <w:shd w:val="clear" w:color="auto" w:fill="auto"/>
            <w:noWrap/>
            <w:vAlign w:val="center"/>
          </w:tcPr>
          <w:p w14:paraId="696705C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小计（元）</w:t>
            </w:r>
          </w:p>
        </w:tc>
      </w:tr>
      <w:tr w14:paraId="4538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8" w:type="dxa"/>
            <w:shd w:val="clear" w:color="auto" w:fill="auto"/>
            <w:vAlign w:val="center"/>
          </w:tcPr>
          <w:p w14:paraId="29C00AFE">
            <w:pPr>
              <w:pageBreakBefore w:val="0"/>
              <w:widowControl/>
              <w:kinsoku/>
              <w:wordWrap/>
              <w:overflowPunct/>
              <w:topLinePunct w:val="0"/>
              <w:bidi w:val="0"/>
              <w:spacing w:line="320" w:lineRule="exact"/>
              <w:jc w:val="center"/>
              <w:rPr>
                <w:rFonts w:ascii="宋体" w:hAnsi="宋体" w:eastAsia="宋体" w:cs="宋体"/>
                <w:i w:val="0"/>
                <w:iCs w:val="0"/>
                <w:color w:val="000000"/>
                <w:sz w:val="20"/>
                <w:szCs w:val="20"/>
                <w:u w:val="none"/>
              </w:rPr>
            </w:pPr>
            <w:r>
              <w:rPr>
                <w:rFonts w:hint="eastAsia" w:asciiTheme="minorEastAsia" w:hAnsiTheme="minorEastAsia" w:eastAsiaTheme="minorEastAsia" w:cstheme="minorEastAsia"/>
                <w:kern w:val="0"/>
                <w:sz w:val="22"/>
                <w:szCs w:val="20"/>
              </w:rPr>
              <w:t xml:space="preserve">1 </w:t>
            </w:r>
          </w:p>
        </w:tc>
        <w:tc>
          <w:tcPr>
            <w:tcW w:w="1124" w:type="dxa"/>
            <w:gridSpan w:val="2"/>
            <w:shd w:val="clear" w:color="auto" w:fill="auto"/>
            <w:vAlign w:val="center"/>
          </w:tcPr>
          <w:p w14:paraId="30493C6C">
            <w:pPr>
              <w:pageBreakBefore w:val="0"/>
              <w:widowControl/>
              <w:kinsoku/>
              <w:wordWrap/>
              <w:overflowPunct/>
              <w:topLinePunct w:val="0"/>
              <w:bidi w:val="0"/>
              <w:spacing w:line="320" w:lineRule="exact"/>
              <w:jc w:val="center"/>
              <w:rPr>
                <w:rFonts w:ascii="宋体" w:hAnsi="宋体" w:eastAsia="宋体" w:cs="宋体"/>
                <w:i w:val="0"/>
                <w:iCs w:val="0"/>
                <w:color w:val="000000"/>
                <w:kern w:val="0"/>
                <w:sz w:val="20"/>
                <w:szCs w:val="20"/>
                <w:u w:val="none"/>
                <w:lang w:val="en-US" w:eastAsia="zh-CN" w:bidi="ar"/>
              </w:rPr>
            </w:pPr>
          </w:p>
        </w:tc>
        <w:tc>
          <w:tcPr>
            <w:tcW w:w="2274" w:type="dxa"/>
            <w:shd w:val="clear" w:color="auto" w:fill="auto"/>
            <w:vAlign w:val="center"/>
          </w:tcPr>
          <w:p w14:paraId="06D3A2AB">
            <w:pPr>
              <w:pageBreakBefore w:val="0"/>
              <w:widowControl/>
              <w:kinsoku/>
              <w:wordWrap/>
              <w:overflowPunct/>
              <w:topLinePunct w:val="0"/>
              <w:bidi w:val="0"/>
              <w:spacing w:line="320" w:lineRule="exact"/>
              <w:jc w:val="left"/>
              <w:rPr>
                <w:rFonts w:ascii="新宋体" w:hAnsi="新宋体" w:eastAsia="新宋体" w:cs="新宋体"/>
                <w:i w:val="0"/>
                <w:iCs w:val="0"/>
                <w:color w:val="000000"/>
                <w:sz w:val="20"/>
                <w:szCs w:val="20"/>
                <w:u w:val="none"/>
              </w:rPr>
            </w:pPr>
          </w:p>
        </w:tc>
        <w:tc>
          <w:tcPr>
            <w:tcW w:w="2375" w:type="dxa"/>
            <w:shd w:val="clear" w:color="auto" w:fill="auto"/>
            <w:vAlign w:val="center"/>
          </w:tcPr>
          <w:p w14:paraId="234AA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669" w:type="dxa"/>
            <w:shd w:val="clear" w:color="000000" w:fill="FFFFFF"/>
            <w:vAlign w:val="center"/>
          </w:tcPr>
          <w:p w14:paraId="1043B3E9">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rPr>
            </w:pPr>
          </w:p>
        </w:tc>
        <w:tc>
          <w:tcPr>
            <w:tcW w:w="669" w:type="dxa"/>
            <w:shd w:val="clear" w:color="000000" w:fill="FFFFFF"/>
            <w:vAlign w:val="center"/>
          </w:tcPr>
          <w:p w14:paraId="42678233">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bidi="ar-SA"/>
              </w:rPr>
            </w:pPr>
          </w:p>
        </w:tc>
        <w:tc>
          <w:tcPr>
            <w:tcW w:w="1014" w:type="dxa"/>
            <w:shd w:val="clear" w:color="000000" w:fill="FFFFFF"/>
            <w:vAlign w:val="center"/>
          </w:tcPr>
          <w:p w14:paraId="69A1404A">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4"/>
                <w:szCs w:val="21"/>
                <w:lang w:val="en-US" w:eastAsia="zh-CN" w:bidi="ar-SA"/>
              </w:rPr>
            </w:pPr>
          </w:p>
        </w:tc>
        <w:tc>
          <w:tcPr>
            <w:tcW w:w="1155" w:type="dxa"/>
            <w:shd w:val="clear" w:color="auto" w:fill="auto"/>
            <w:vAlign w:val="center"/>
          </w:tcPr>
          <w:p w14:paraId="1F92F4E6">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r>
      <w:tr w14:paraId="0427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8" w:type="dxa"/>
            <w:shd w:val="clear" w:color="auto" w:fill="auto"/>
            <w:vAlign w:val="center"/>
          </w:tcPr>
          <w:p w14:paraId="45DC3822">
            <w:pPr>
              <w:pageBreakBefore w:val="0"/>
              <w:widowControl/>
              <w:kinsoku/>
              <w:wordWrap/>
              <w:overflowPunct/>
              <w:topLinePunct w:val="0"/>
              <w:bidi w:val="0"/>
              <w:spacing w:line="320" w:lineRule="exact"/>
              <w:jc w:val="center"/>
              <w:rPr>
                <w:rFonts w:ascii="宋体" w:hAnsi="宋体" w:eastAsia="宋体" w:cs="宋体"/>
                <w:i w:val="0"/>
                <w:iCs w:val="0"/>
                <w:color w:val="000000"/>
                <w:sz w:val="20"/>
                <w:szCs w:val="20"/>
                <w:u w:val="none"/>
              </w:rPr>
            </w:pPr>
            <w:r>
              <w:rPr>
                <w:rFonts w:hint="eastAsia" w:asciiTheme="minorEastAsia" w:hAnsiTheme="minorEastAsia" w:eastAsiaTheme="minorEastAsia" w:cstheme="minorEastAsia"/>
                <w:kern w:val="0"/>
                <w:sz w:val="22"/>
                <w:szCs w:val="20"/>
                <w:lang w:val="en-US" w:eastAsia="zh-CN"/>
              </w:rPr>
              <w:t>2</w:t>
            </w:r>
          </w:p>
        </w:tc>
        <w:tc>
          <w:tcPr>
            <w:tcW w:w="1124" w:type="dxa"/>
            <w:gridSpan w:val="2"/>
            <w:shd w:val="clear" w:color="auto" w:fill="auto"/>
            <w:vAlign w:val="center"/>
          </w:tcPr>
          <w:p w14:paraId="7A7EEBE9">
            <w:pPr>
              <w:pageBreakBefore w:val="0"/>
              <w:widowControl/>
              <w:kinsoku/>
              <w:wordWrap/>
              <w:overflowPunct/>
              <w:topLinePunct w:val="0"/>
              <w:bidi w:val="0"/>
              <w:spacing w:line="320" w:lineRule="exact"/>
              <w:jc w:val="center"/>
              <w:rPr>
                <w:rFonts w:ascii="宋体" w:hAnsi="宋体" w:eastAsia="宋体" w:cs="宋体"/>
                <w:i w:val="0"/>
                <w:iCs w:val="0"/>
                <w:color w:val="000000"/>
                <w:kern w:val="0"/>
                <w:sz w:val="20"/>
                <w:szCs w:val="20"/>
                <w:u w:val="none"/>
                <w:lang w:val="en-US" w:eastAsia="zh-CN" w:bidi="ar"/>
              </w:rPr>
            </w:pPr>
          </w:p>
        </w:tc>
        <w:tc>
          <w:tcPr>
            <w:tcW w:w="2274" w:type="dxa"/>
            <w:shd w:val="clear" w:color="auto" w:fill="FFFFFF"/>
            <w:vAlign w:val="center"/>
          </w:tcPr>
          <w:p w14:paraId="1A35EA50">
            <w:pPr>
              <w:pageBreakBefore w:val="0"/>
              <w:widowControl/>
              <w:kinsoku/>
              <w:wordWrap/>
              <w:overflowPunct/>
              <w:topLinePunct w:val="0"/>
              <w:bidi w:val="0"/>
              <w:spacing w:line="320" w:lineRule="exact"/>
              <w:jc w:val="left"/>
              <w:rPr>
                <w:rFonts w:ascii="宋体" w:hAnsi="宋体" w:eastAsia="宋体" w:cs="宋体"/>
                <w:i w:val="0"/>
                <w:iCs w:val="0"/>
                <w:color w:val="000000"/>
                <w:sz w:val="20"/>
                <w:szCs w:val="20"/>
                <w:u w:val="none"/>
              </w:rPr>
            </w:pPr>
          </w:p>
        </w:tc>
        <w:tc>
          <w:tcPr>
            <w:tcW w:w="2375" w:type="dxa"/>
            <w:shd w:val="clear" w:color="auto" w:fill="auto"/>
            <w:vAlign w:val="center"/>
          </w:tcPr>
          <w:p w14:paraId="52D08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669" w:type="dxa"/>
            <w:shd w:val="clear" w:color="000000" w:fill="FFFFFF"/>
            <w:vAlign w:val="center"/>
          </w:tcPr>
          <w:p w14:paraId="449911B0">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rPr>
            </w:pPr>
          </w:p>
        </w:tc>
        <w:tc>
          <w:tcPr>
            <w:tcW w:w="669" w:type="dxa"/>
            <w:shd w:val="clear" w:color="000000" w:fill="FFFFFF"/>
            <w:vAlign w:val="center"/>
          </w:tcPr>
          <w:p w14:paraId="402AF141">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bidi="ar-SA"/>
              </w:rPr>
            </w:pPr>
          </w:p>
        </w:tc>
        <w:tc>
          <w:tcPr>
            <w:tcW w:w="1014" w:type="dxa"/>
            <w:shd w:val="clear" w:color="000000" w:fill="FFFFFF"/>
            <w:vAlign w:val="center"/>
          </w:tcPr>
          <w:p w14:paraId="7AE30DF1">
            <w:pPr>
              <w:pageBreakBefore w:val="0"/>
              <w:widowControl/>
              <w:kinsoku/>
              <w:wordWrap/>
              <w:overflowPunct/>
              <w:topLinePunct w:val="0"/>
              <w:bidi w:val="0"/>
              <w:spacing w:line="320" w:lineRule="exact"/>
              <w:jc w:val="center"/>
              <w:rPr>
                <w:rFonts w:hint="default" w:asciiTheme="minorEastAsia" w:hAnsiTheme="minorEastAsia" w:eastAsiaTheme="minorEastAsia" w:cstheme="minorEastAsia"/>
                <w:kern w:val="0"/>
                <w:sz w:val="24"/>
                <w:szCs w:val="21"/>
                <w:lang w:val="en-US" w:eastAsia="zh-CN" w:bidi="ar-SA"/>
              </w:rPr>
            </w:pPr>
          </w:p>
        </w:tc>
        <w:tc>
          <w:tcPr>
            <w:tcW w:w="1155" w:type="dxa"/>
            <w:shd w:val="clear" w:color="auto" w:fill="auto"/>
            <w:vAlign w:val="center"/>
          </w:tcPr>
          <w:p w14:paraId="5F52C84E">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r>
      <w:tr w14:paraId="3F78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8" w:type="dxa"/>
            <w:shd w:val="clear" w:color="auto" w:fill="auto"/>
            <w:vAlign w:val="center"/>
          </w:tcPr>
          <w:p w14:paraId="4F0566F8">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rPr>
            </w:pPr>
            <w:r>
              <w:rPr>
                <w:rFonts w:hint="eastAsia" w:asciiTheme="minorEastAsia" w:hAnsiTheme="minorEastAsia" w:eastAsiaTheme="minorEastAsia" w:cstheme="minorEastAsia"/>
                <w:kern w:val="0"/>
                <w:sz w:val="22"/>
                <w:szCs w:val="20"/>
                <w:lang w:val="en-US" w:eastAsia="zh-CN"/>
              </w:rPr>
              <w:t>……</w:t>
            </w:r>
          </w:p>
        </w:tc>
        <w:tc>
          <w:tcPr>
            <w:tcW w:w="1124" w:type="dxa"/>
            <w:gridSpan w:val="2"/>
            <w:shd w:val="clear" w:color="auto" w:fill="auto"/>
            <w:vAlign w:val="center"/>
          </w:tcPr>
          <w:p w14:paraId="2EDBCCD2">
            <w:pPr>
              <w:pageBreakBefore w:val="0"/>
              <w:widowControl/>
              <w:kinsoku/>
              <w:wordWrap/>
              <w:overflowPunct/>
              <w:topLinePunct w:val="0"/>
              <w:bidi w:val="0"/>
              <w:spacing w:line="320" w:lineRule="exact"/>
              <w:jc w:val="center"/>
              <w:rPr>
                <w:rFonts w:ascii="宋体" w:hAnsi="宋体" w:eastAsia="宋体" w:cs="宋体"/>
                <w:i w:val="0"/>
                <w:iCs w:val="0"/>
                <w:color w:val="000000"/>
                <w:kern w:val="0"/>
                <w:sz w:val="20"/>
                <w:szCs w:val="20"/>
                <w:u w:val="none"/>
                <w:lang w:val="en-US" w:eastAsia="zh-CN" w:bidi="ar"/>
              </w:rPr>
            </w:pPr>
          </w:p>
        </w:tc>
        <w:tc>
          <w:tcPr>
            <w:tcW w:w="2274" w:type="dxa"/>
            <w:shd w:val="clear" w:color="auto" w:fill="FFFFFF"/>
            <w:vAlign w:val="center"/>
          </w:tcPr>
          <w:p w14:paraId="4FD5927F">
            <w:pPr>
              <w:pageBreakBefore w:val="0"/>
              <w:widowControl/>
              <w:kinsoku/>
              <w:wordWrap/>
              <w:overflowPunct/>
              <w:topLinePunct w:val="0"/>
              <w:bidi w:val="0"/>
              <w:spacing w:line="320" w:lineRule="exact"/>
              <w:jc w:val="left"/>
              <w:rPr>
                <w:rFonts w:ascii="宋体" w:hAnsi="宋体" w:eastAsia="宋体" w:cs="宋体"/>
                <w:i w:val="0"/>
                <w:iCs w:val="0"/>
                <w:color w:val="000000"/>
                <w:sz w:val="20"/>
                <w:szCs w:val="20"/>
                <w:u w:val="none"/>
              </w:rPr>
            </w:pPr>
          </w:p>
        </w:tc>
        <w:tc>
          <w:tcPr>
            <w:tcW w:w="2375" w:type="dxa"/>
            <w:shd w:val="clear" w:color="auto" w:fill="auto"/>
            <w:vAlign w:val="center"/>
          </w:tcPr>
          <w:p w14:paraId="51B72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669" w:type="dxa"/>
            <w:shd w:val="clear" w:color="000000" w:fill="FFFFFF"/>
            <w:vAlign w:val="center"/>
          </w:tcPr>
          <w:p w14:paraId="414C5478">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rPr>
            </w:pPr>
          </w:p>
        </w:tc>
        <w:tc>
          <w:tcPr>
            <w:tcW w:w="669" w:type="dxa"/>
            <w:shd w:val="clear" w:color="000000" w:fill="FFFFFF"/>
            <w:vAlign w:val="center"/>
          </w:tcPr>
          <w:p w14:paraId="3C8AA897">
            <w:pPr>
              <w:pageBreakBefore w:val="0"/>
              <w:widowControl/>
              <w:kinsoku/>
              <w:wordWrap/>
              <w:overflowPunct/>
              <w:topLinePunct w:val="0"/>
              <w:bidi w:val="0"/>
              <w:spacing w:line="320" w:lineRule="exact"/>
              <w:jc w:val="center"/>
              <w:rPr>
                <w:rFonts w:hint="eastAsia" w:asciiTheme="minorEastAsia" w:hAnsiTheme="minorEastAsia" w:eastAsiaTheme="minorEastAsia" w:cstheme="minorEastAsia"/>
                <w:kern w:val="0"/>
                <w:sz w:val="22"/>
                <w:szCs w:val="20"/>
                <w:lang w:val="en-US" w:eastAsia="zh-CN" w:bidi="ar-SA"/>
              </w:rPr>
            </w:pPr>
          </w:p>
        </w:tc>
        <w:tc>
          <w:tcPr>
            <w:tcW w:w="1014" w:type="dxa"/>
            <w:shd w:val="clear" w:color="000000" w:fill="FFFFFF"/>
            <w:vAlign w:val="center"/>
          </w:tcPr>
          <w:p w14:paraId="3BAD9EE2">
            <w:pPr>
              <w:pageBreakBefore w:val="0"/>
              <w:widowControl/>
              <w:kinsoku/>
              <w:wordWrap/>
              <w:overflowPunct/>
              <w:topLinePunct w:val="0"/>
              <w:bidi w:val="0"/>
              <w:spacing w:line="320" w:lineRule="exact"/>
              <w:jc w:val="center"/>
              <w:rPr>
                <w:rFonts w:hint="default" w:asciiTheme="minorEastAsia" w:hAnsiTheme="minorEastAsia" w:eastAsiaTheme="minorEastAsia" w:cstheme="minorEastAsia"/>
                <w:kern w:val="0"/>
                <w:sz w:val="24"/>
                <w:szCs w:val="21"/>
                <w:lang w:val="en-US" w:eastAsia="zh-CN" w:bidi="ar-SA"/>
              </w:rPr>
            </w:pPr>
          </w:p>
        </w:tc>
        <w:tc>
          <w:tcPr>
            <w:tcW w:w="1155" w:type="dxa"/>
            <w:shd w:val="clear" w:color="auto" w:fill="auto"/>
            <w:vAlign w:val="center"/>
          </w:tcPr>
          <w:p w14:paraId="66D8A6BA">
            <w:pPr>
              <w:keepNext w:val="0"/>
              <w:keepLines w:val="0"/>
              <w:widowControl/>
              <w:suppressLineNumbers w:val="0"/>
              <w:jc w:val="center"/>
              <w:textAlignment w:val="center"/>
              <w:rPr>
                <w:rFonts w:ascii="宋体" w:hAnsi="宋体" w:eastAsia="宋体" w:cs="宋体"/>
                <w:i w:val="0"/>
                <w:iCs w:val="0"/>
                <w:color w:val="000000"/>
                <w:kern w:val="0"/>
                <w:sz w:val="21"/>
                <w:szCs w:val="21"/>
                <w:u w:val="none"/>
                <w:lang w:val="en-US" w:eastAsia="zh-CN" w:bidi="ar"/>
              </w:rPr>
            </w:pPr>
          </w:p>
        </w:tc>
      </w:tr>
      <w:tr w14:paraId="3B64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69" w:type="dxa"/>
            <w:gridSpan w:val="2"/>
            <w:shd w:val="clear" w:color="auto" w:fill="auto"/>
            <w:noWrap/>
            <w:vAlign w:val="center"/>
          </w:tcPr>
          <w:p w14:paraId="5F8F278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9279" w:type="dxa"/>
            <w:gridSpan w:val="7"/>
            <w:shd w:val="clear" w:color="auto" w:fill="auto"/>
            <w:noWrap/>
            <w:vAlign w:val="center"/>
          </w:tcPr>
          <w:p w14:paraId="406BA0FC">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合同总价：</w:t>
            </w:r>
            <w:r>
              <w:rPr>
                <w:rFonts w:hint="eastAsia" w:ascii="宋体" w:hAnsi="宋体" w:eastAsia="宋体" w:cs="宋体"/>
                <w:i w:val="0"/>
                <w:iCs w:val="0"/>
                <w:color w:val="000000"/>
                <w:kern w:val="0"/>
                <w:sz w:val="24"/>
                <w:szCs w:val="24"/>
                <w:u w:val="single"/>
                <w:lang w:val="en-US" w:eastAsia="zh-CN" w:bidi="ar"/>
              </w:rPr>
              <w:t xml:space="preserve">大写      元小写￥        </w:t>
            </w:r>
          </w:p>
        </w:tc>
      </w:tr>
    </w:tbl>
    <w:p w14:paraId="1986658F">
      <w:pPr>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rPr>
        <w:t>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在</w:t>
      </w:r>
      <w:r>
        <w:rPr>
          <w:rFonts w:hint="eastAsia" w:asciiTheme="minorEastAsia" w:hAnsiTheme="minorEastAsia" w:eastAsiaTheme="minorEastAsia" w:cstheme="minorEastAsia"/>
          <w:color w:val="auto"/>
          <w:sz w:val="24"/>
          <w:szCs w:val="24"/>
          <w:lang w:eastAsia="zh-CN"/>
        </w:rPr>
        <w:t>《供货合同》签订之日起15日历天内，将符合要求的货物送达指定地点并交付正常使用（需上门量体裁衣）</w:t>
      </w:r>
    </w:p>
    <w:p w14:paraId="1C8F927F">
      <w:pPr>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6147036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1.采购清单内所有产品的款式、颜色及面料具体以甲方确认后的为准，未经甲方书面确认的不得进行排产量产；</w:t>
      </w:r>
    </w:p>
    <w:p w14:paraId="656A7F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质量及验收标准：所有制服使用布料需为全新的未曾使用过的合格布料，达到国家服装产品质量标准，符合国家及行业的相关标准以及上条要求。到货时乙方须提供出产合格证等质量证明资料由甲方人员进行验收，对不符合甲方要求的，或存在瑕疵的，乙方应在十个工作日内修复完毕，无法修改的应立即更换。</w:t>
      </w:r>
    </w:p>
    <w:p w14:paraId="42BDFA6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2.2量衣时间：以甲方通知时间为准。</w:t>
      </w:r>
    </w:p>
    <w:p w14:paraId="416D851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2.3在甲方收到货品的7天内因产品自身质量出现问题的，乙方应当在收到甲方通知后2小时内按甲方要求解决，无法维修的，及时免费更换。</w:t>
      </w:r>
    </w:p>
    <w:p w14:paraId="112C0F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四、验收：由甲方负责组织验收，甲方应在产品</w:t>
      </w:r>
      <w:r>
        <w:rPr>
          <w:rFonts w:hint="eastAsia" w:asciiTheme="minorEastAsia" w:hAnsiTheme="minorEastAsia" w:eastAsiaTheme="minorEastAsia" w:cstheme="minorEastAsia"/>
          <w:color w:val="auto"/>
          <w:sz w:val="24"/>
          <w:szCs w:val="24"/>
          <w:lang w:val="en-US" w:eastAsia="zh-CN"/>
        </w:rPr>
        <w:t>送货签收完毕</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b/>
          <w:bCs/>
          <w:color w:val="auto"/>
          <w:sz w:val="24"/>
          <w:szCs w:val="24"/>
          <w:u w:val="single"/>
          <w:lang w:val="en-US" w:eastAsia="zh-CN"/>
        </w:rPr>
        <w:t>30</w:t>
      </w:r>
      <w:r>
        <w:rPr>
          <w:rFonts w:hint="eastAsia" w:asciiTheme="minorEastAsia" w:hAnsiTheme="minorEastAsia" w:eastAsiaTheme="minorEastAsia" w:cstheme="minorEastAsia"/>
          <w:color w:val="auto"/>
          <w:sz w:val="24"/>
          <w:szCs w:val="24"/>
        </w:rPr>
        <w:t>个工作日内</w:t>
      </w:r>
      <w:r>
        <w:rPr>
          <w:rFonts w:hint="eastAsia" w:asciiTheme="minorEastAsia" w:hAnsiTheme="minorEastAsia" w:eastAsiaTheme="minorEastAsia" w:cstheme="minorEastAsia"/>
          <w:color w:val="auto"/>
          <w:sz w:val="24"/>
          <w:szCs w:val="24"/>
          <w:lang w:val="en-US" w:eastAsia="zh-CN"/>
        </w:rPr>
        <w:t>完成</w:t>
      </w:r>
      <w:r>
        <w:rPr>
          <w:rFonts w:hint="eastAsia" w:asciiTheme="minorEastAsia" w:hAnsiTheme="minorEastAsia" w:eastAsiaTheme="minorEastAsia" w:cstheme="minorEastAsia"/>
          <w:color w:val="auto"/>
          <w:sz w:val="24"/>
          <w:szCs w:val="24"/>
        </w:rPr>
        <w:t>验收。</w:t>
      </w:r>
    </w:p>
    <w:p w14:paraId="6A9748E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五、付款条件及方式：</w:t>
      </w:r>
    </w:p>
    <w:p w14:paraId="186A724A">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1.付款方式：</w:t>
      </w:r>
      <w:r>
        <w:rPr>
          <w:rFonts w:hint="eastAsia" w:asciiTheme="minorEastAsia" w:hAnsiTheme="minorEastAsia" w:eastAsiaTheme="minorEastAsia" w:cstheme="minorEastAsia"/>
          <w:b w:val="0"/>
          <w:bCs/>
          <w:color w:val="auto"/>
          <w:sz w:val="24"/>
          <w:szCs w:val="24"/>
        </w:rPr>
        <w:t>所有制服完成交付且经验收合格后支付至合同总价的9</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%；剩余的</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%的货款作为质量保证金，以验收合格半年后，无质量问题，再予以支付</w:t>
      </w:r>
      <w:r>
        <w:rPr>
          <w:rFonts w:hint="eastAsia" w:asciiTheme="minorEastAsia" w:hAnsiTheme="minorEastAsia" w:eastAsiaTheme="minorEastAsia" w:cstheme="minorEastAsia"/>
          <w:b w:val="0"/>
          <w:bCs/>
          <w:color w:val="auto"/>
          <w:sz w:val="24"/>
          <w:szCs w:val="24"/>
          <w:lang w:val="en-US" w:eastAsia="zh-CN"/>
        </w:rPr>
        <w:t>。</w:t>
      </w:r>
    </w:p>
    <w:p w14:paraId="2A96E64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02AC08D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76562CAE">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4BC026D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7627D5C6">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673BAA7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4BBE969D">
      <w:pPr>
        <w:keepNext w:val="0"/>
        <w:keepLines w:val="0"/>
        <w:pageBreakBefore w:val="0"/>
        <w:numPr>
          <w:ilvl w:val="0"/>
          <w:numId w:val="4"/>
        </w:numPr>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5DA7C51E">
      <w:pPr>
        <w:pStyle w:val="2"/>
        <w:numPr>
          <w:ilvl w:val="0"/>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5.履约保证金为合同价的10%。</w:t>
      </w:r>
    </w:p>
    <w:p w14:paraId="7218850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574DE45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w:t>
      </w:r>
      <w:r>
        <w:rPr>
          <w:rFonts w:hint="eastAsia" w:asciiTheme="minorEastAsia" w:hAnsiTheme="minorEastAsia" w:eastAsiaTheme="minorEastAsia" w:cstheme="minorEastAsia"/>
          <w:sz w:val="24"/>
          <w:szCs w:val="24"/>
          <w:lang w:eastAsia="zh-CN"/>
        </w:rPr>
        <w:t>货物</w:t>
      </w:r>
      <w:r>
        <w:rPr>
          <w:rFonts w:hint="eastAsia" w:asciiTheme="minorEastAsia" w:hAnsiTheme="minorEastAsia" w:eastAsiaTheme="minorEastAsia" w:cstheme="minorEastAsia"/>
          <w:sz w:val="24"/>
          <w:szCs w:val="24"/>
        </w:rPr>
        <w:t>按国家有关规定进行保修，</w:t>
      </w:r>
      <w:r>
        <w:rPr>
          <w:rFonts w:hint="eastAsia" w:asciiTheme="minorEastAsia" w:hAnsiTheme="minorEastAsia" w:eastAsiaTheme="minorEastAsia" w:cstheme="minorEastAsia"/>
          <w:sz w:val="24"/>
          <w:szCs w:val="24"/>
          <w:lang w:val="en-US" w:eastAsia="zh-CN"/>
        </w:rPr>
        <w:t>保修期为</w:t>
      </w:r>
      <w:r>
        <w:rPr>
          <w:rFonts w:hint="eastAsia" w:asciiTheme="minorEastAsia" w:hAnsiTheme="minorEastAsia" w:eastAsiaTheme="minorEastAsia" w:cstheme="minorEastAsia"/>
          <w:color w:val="0000FF"/>
          <w:sz w:val="24"/>
          <w:szCs w:val="24"/>
          <w:lang w:val="en-US" w:eastAsia="zh-CN"/>
        </w:rPr>
        <w:t>半年</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保修期内非因操作不当造成需要更换零配件及</w:t>
      </w:r>
      <w:r>
        <w:rPr>
          <w:rFonts w:hint="eastAsia" w:asciiTheme="minorEastAsia" w:hAnsiTheme="minorEastAsia" w:eastAsiaTheme="minorEastAsia" w:cstheme="minorEastAsia"/>
          <w:sz w:val="24"/>
          <w:szCs w:val="24"/>
          <w:lang w:eastAsia="zh-CN"/>
        </w:rPr>
        <w:t>货物</w:t>
      </w:r>
      <w:r>
        <w:rPr>
          <w:rFonts w:hint="eastAsia" w:asciiTheme="minorEastAsia" w:hAnsiTheme="minorEastAsia" w:eastAsiaTheme="minorEastAsia" w:cstheme="minorEastAsia"/>
          <w:sz w:val="24"/>
          <w:szCs w:val="24"/>
        </w:rPr>
        <w:t>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w:t>
      </w:r>
      <w:r>
        <w:rPr>
          <w:rFonts w:hint="eastAsia" w:asciiTheme="minorEastAsia" w:hAnsiTheme="minorEastAsia" w:eastAsiaTheme="minorEastAsia" w:cstheme="minorEastAsia"/>
          <w:sz w:val="24"/>
          <w:szCs w:val="24"/>
          <w:lang w:val="en-US" w:eastAsia="zh-CN"/>
        </w:rPr>
        <w:t>属</w:t>
      </w:r>
      <w:r>
        <w:rPr>
          <w:rFonts w:hint="eastAsia" w:asciiTheme="minorEastAsia" w:hAnsiTheme="minorEastAsia" w:eastAsiaTheme="minorEastAsia" w:cstheme="minorEastAsia"/>
          <w:sz w:val="24"/>
          <w:szCs w:val="24"/>
        </w:rPr>
        <w:t>非人为</w:t>
      </w:r>
      <w:r>
        <w:rPr>
          <w:rFonts w:hint="eastAsia" w:asciiTheme="minorEastAsia" w:hAnsiTheme="minorEastAsia" w:eastAsiaTheme="minorEastAsia" w:cstheme="minorEastAsia"/>
          <w:sz w:val="24"/>
          <w:szCs w:val="24"/>
          <w:lang w:val="en-US" w:eastAsia="zh-CN"/>
        </w:rPr>
        <w:t>造成的损坏</w:t>
      </w:r>
      <w:r>
        <w:rPr>
          <w:rFonts w:hint="eastAsia" w:asciiTheme="minorEastAsia" w:hAnsiTheme="minorEastAsia" w:eastAsiaTheme="minorEastAsia" w:cstheme="minorEastAsia"/>
          <w:sz w:val="24"/>
          <w:szCs w:val="24"/>
        </w:rPr>
        <w:t>提供为期</w:t>
      </w:r>
      <w:r>
        <w:rPr>
          <w:rFonts w:hint="eastAsia" w:asciiTheme="minorEastAsia" w:hAnsiTheme="minorEastAsia" w:eastAsiaTheme="minorEastAsia" w:cstheme="minorEastAsia"/>
          <w:sz w:val="24"/>
          <w:szCs w:val="24"/>
          <w:lang w:val="en-US" w:eastAsia="zh-CN"/>
        </w:rPr>
        <w:t>半</w:t>
      </w:r>
      <w:r>
        <w:rPr>
          <w:rFonts w:hint="eastAsia" w:asciiTheme="minorEastAsia" w:hAnsiTheme="minorEastAsia" w:eastAsiaTheme="minorEastAsia" w:cstheme="minorEastAsia"/>
          <w:sz w:val="24"/>
          <w:szCs w:val="24"/>
        </w:rPr>
        <w:t>年的免费保修。乙方可以根据自身情况提供更优惠的保修承诺。</w:t>
      </w:r>
    </w:p>
    <w:p w14:paraId="1BA8636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小时。</w:t>
      </w:r>
    </w:p>
    <w:p w14:paraId="1EDE5B9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443D7006">
      <w:pPr>
        <w:spacing w:line="360" w:lineRule="auto"/>
        <w:ind w:firstLine="480" w:firstLineChars="200"/>
        <w:rPr>
          <w:rFonts w:hint="default" w:ascii="宋体" w:hAnsi="宋体" w:eastAsia="宋体" w:cs="Arial"/>
          <w:sz w:val="24"/>
          <w:szCs w:val="24"/>
          <w:highlight w:val="none"/>
          <w:lang w:val="en-US"/>
        </w:rPr>
      </w:pPr>
      <w:r>
        <w:rPr>
          <w:rFonts w:hint="eastAsia" w:asciiTheme="minorEastAsia" w:hAnsiTheme="minorEastAsia" w:eastAsiaTheme="minorEastAsia" w:cstheme="minorEastAsia"/>
          <w:sz w:val="24"/>
          <w:szCs w:val="24"/>
          <w:lang w:val="en-US" w:eastAsia="zh-CN"/>
        </w:rPr>
        <w:t>1.</w:t>
      </w:r>
      <w:r>
        <w:rPr>
          <w:rFonts w:hint="eastAsia" w:ascii="宋体" w:hAnsi="宋体" w:eastAsia="宋体" w:cs="Arial"/>
          <w:sz w:val="24"/>
          <w:szCs w:val="24"/>
          <w:highlight w:val="none"/>
        </w:rPr>
        <w:t>若</w:t>
      </w:r>
      <w:r>
        <w:rPr>
          <w:rFonts w:hint="eastAsia" w:ascii="宋体" w:hAnsi="宋体" w:eastAsia="宋体" w:cs="Arial"/>
          <w:sz w:val="24"/>
          <w:szCs w:val="24"/>
          <w:highlight w:val="none"/>
          <w:lang w:val="en-US" w:eastAsia="zh-CN"/>
        </w:rPr>
        <w:t>乙方</w:t>
      </w:r>
      <w:r>
        <w:rPr>
          <w:rFonts w:hint="eastAsia" w:ascii="宋体" w:hAnsi="宋体" w:eastAsia="宋体" w:cs="Arial"/>
          <w:sz w:val="24"/>
          <w:szCs w:val="24"/>
          <w:highlight w:val="none"/>
        </w:rPr>
        <w:t>没有按约定的时间将货物运抵交货地点，视为延期交货，每迟一天按总额的3</w:t>
      </w:r>
      <w:r>
        <w:rPr>
          <w:rFonts w:hint="eastAsia" w:ascii="宋体" w:hAnsi="宋体" w:eastAsia="宋体" w:cs="Arial"/>
          <w:sz w:val="24"/>
          <w:szCs w:val="24"/>
          <w:highlight w:val="none"/>
          <w:lang w:val="en-US" w:eastAsia="zh-CN"/>
        </w:rPr>
        <w:t>%</w:t>
      </w:r>
      <w:r>
        <w:rPr>
          <w:rFonts w:hint="eastAsia" w:ascii="宋体" w:hAnsi="宋体" w:eastAsia="宋体" w:cs="Arial"/>
          <w:sz w:val="24"/>
          <w:szCs w:val="24"/>
          <w:highlight w:val="none"/>
        </w:rPr>
        <w:t>扣款。</w:t>
      </w:r>
      <w:r>
        <w:rPr>
          <w:rFonts w:hint="eastAsia" w:ascii="宋体" w:hAnsi="宋体" w:eastAsia="宋体" w:cs="Arial"/>
          <w:sz w:val="24"/>
          <w:szCs w:val="24"/>
          <w:highlight w:val="none"/>
          <w:lang w:val="en-US" w:eastAsia="zh-CN"/>
        </w:rPr>
        <w:t>乙方不得以采购批次服装数量少、运费过高等任何理由拒绝交货。</w:t>
      </w:r>
    </w:p>
    <w:p w14:paraId="0CC6F76E">
      <w:pPr>
        <w:spacing w:line="360" w:lineRule="auto"/>
        <w:ind w:firstLine="480" w:firstLineChars="200"/>
        <w:rPr>
          <w:rFonts w:hint="eastAsia" w:ascii="宋体" w:hAnsi="宋体" w:eastAsia="宋体" w:cs="Arial"/>
          <w:sz w:val="24"/>
          <w:szCs w:val="24"/>
          <w:highlight w:val="none"/>
        </w:rPr>
      </w:pPr>
      <w:r>
        <w:rPr>
          <w:rFonts w:hint="eastAsia" w:ascii="宋体" w:hAnsi="宋体" w:eastAsia="宋体" w:cs="Arial"/>
          <w:sz w:val="24"/>
          <w:szCs w:val="24"/>
          <w:highlight w:val="none"/>
          <w:lang w:val="en-US" w:eastAsia="zh-CN"/>
        </w:rPr>
        <w:t>2.</w:t>
      </w:r>
      <w:r>
        <w:rPr>
          <w:rFonts w:hint="eastAsia" w:ascii="宋体" w:hAnsi="宋体" w:eastAsia="宋体" w:cs="Arial"/>
          <w:sz w:val="24"/>
          <w:szCs w:val="24"/>
          <w:highlight w:val="none"/>
        </w:rPr>
        <w:t>若</w:t>
      </w:r>
      <w:r>
        <w:rPr>
          <w:rFonts w:hint="eastAsia" w:ascii="宋体" w:hAnsi="宋体" w:eastAsia="宋体" w:cs="Arial"/>
          <w:sz w:val="24"/>
          <w:szCs w:val="24"/>
          <w:highlight w:val="none"/>
          <w:lang w:val="en-US" w:eastAsia="zh-CN"/>
        </w:rPr>
        <w:t>甲方</w:t>
      </w:r>
      <w:r>
        <w:rPr>
          <w:rFonts w:hint="eastAsia" w:ascii="宋体" w:hAnsi="宋体" w:eastAsia="宋体" w:cs="Arial"/>
          <w:sz w:val="24"/>
          <w:szCs w:val="24"/>
          <w:highlight w:val="none"/>
        </w:rPr>
        <w:t>发现一例以假充真，以次充好的事件，全部退回成品，并由</w:t>
      </w:r>
      <w:r>
        <w:rPr>
          <w:rFonts w:hint="eastAsia" w:ascii="宋体" w:hAnsi="宋体" w:eastAsia="宋体" w:cs="Arial"/>
          <w:sz w:val="24"/>
          <w:szCs w:val="24"/>
          <w:highlight w:val="none"/>
          <w:lang w:val="en-US" w:eastAsia="zh-CN"/>
        </w:rPr>
        <w:t>乙方</w:t>
      </w:r>
      <w:r>
        <w:rPr>
          <w:rFonts w:hint="eastAsia" w:ascii="宋体" w:hAnsi="宋体" w:eastAsia="宋体" w:cs="Arial"/>
          <w:sz w:val="24"/>
          <w:szCs w:val="24"/>
          <w:highlight w:val="none"/>
        </w:rPr>
        <w:t>按合同总额的5%赔偿。</w:t>
      </w:r>
    </w:p>
    <w:p w14:paraId="26950CF5">
      <w:pPr>
        <w:spacing w:line="360" w:lineRule="auto"/>
        <w:ind w:firstLine="480" w:firstLineChars="200"/>
        <w:rPr>
          <w:rFonts w:hint="eastAsia" w:ascii="宋体" w:hAnsi="宋体" w:eastAsia="宋体" w:cs="Arial"/>
          <w:sz w:val="24"/>
          <w:szCs w:val="24"/>
          <w:highlight w:val="none"/>
          <w:lang w:val="en-US" w:eastAsia="zh-CN"/>
        </w:rPr>
      </w:pPr>
      <w:r>
        <w:rPr>
          <w:rFonts w:hint="eastAsia" w:ascii="宋体" w:hAnsi="宋体" w:eastAsia="宋体" w:cs="Arial"/>
          <w:sz w:val="24"/>
          <w:szCs w:val="24"/>
          <w:highlight w:val="none"/>
          <w:lang w:val="en-US" w:eastAsia="zh-CN"/>
        </w:rPr>
        <w:t>3.若乙方逾期5个工作日未提供符合甲方要求的货品（工作服），甲方有权解除合同，乙方应支付合同金额50%的违约金。</w:t>
      </w:r>
    </w:p>
    <w:p w14:paraId="7A519BD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3655C3C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606B1C0D">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748BE45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5009CA3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val="en-US" w:eastAsia="zh-CN"/>
        </w:rPr>
        <w:t>肆</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lang w:eastAsia="zh-CN"/>
        </w:rPr>
        <w:t>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经甲、乙双方签字并盖章后生效。</w:t>
      </w:r>
    </w:p>
    <w:p w14:paraId="65308B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6D16A0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3470637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414530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6398681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01B3F2A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EAE57D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987E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396C730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11F62A8">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15A6269E"/>
    <w:p w14:paraId="2E1318E6">
      <w:pPr>
        <w:pStyle w:val="5"/>
      </w:pPr>
    </w:p>
    <w:p w14:paraId="27E5E3D0"/>
    <w:p w14:paraId="27E595AB">
      <w:pPr>
        <w:pStyle w:val="5"/>
      </w:pPr>
    </w:p>
    <w:p w14:paraId="03F009DA"/>
    <w:p w14:paraId="472A160F"/>
    <w:p w14:paraId="52D3A900">
      <w:pPr>
        <w:pStyle w:val="5"/>
      </w:pPr>
    </w:p>
    <w:p w14:paraId="4CCEE6B3"/>
    <w:p w14:paraId="7A4B9AAC">
      <w:pPr>
        <w:pStyle w:val="5"/>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4"/>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1D13E"/>
    <w:multiLevelType w:val="singleLevel"/>
    <w:tmpl w:val="DB61D13E"/>
    <w:lvl w:ilvl="0" w:tentative="0">
      <w:start w:val="4"/>
      <w:numFmt w:val="decimal"/>
      <w:lvlText w:val="%1."/>
      <w:lvlJc w:val="left"/>
      <w:pPr>
        <w:tabs>
          <w:tab w:val="left" w:pos="312"/>
        </w:tabs>
      </w:pPr>
    </w:lvl>
  </w:abstractNum>
  <w:abstractNum w:abstractNumId="1">
    <w:nsid w:val="DFD4BA4E"/>
    <w:multiLevelType w:val="singleLevel"/>
    <w:tmpl w:val="DFD4BA4E"/>
    <w:lvl w:ilvl="0" w:tentative="0">
      <w:start w:val="2"/>
      <w:numFmt w:val="chineseCounting"/>
      <w:suff w:val="space"/>
      <w:lvlText w:val="第%1条"/>
      <w:lvlJc w:val="left"/>
      <w:rPr>
        <w:rFonts w:hint="eastAsia"/>
      </w:rPr>
    </w:lvl>
  </w:abstractNum>
  <w:abstractNum w:abstractNumId="2">
    <w:nsid w:val="EF5B853A"/>
    <w:multiLevelType w:val="singleLevel"/>
    <w:tmpl w:val="EF5B853A"/>
    <w:lvl w:ilvl="0" w:tentative="0">
      <w:start w:val="1"/>
      <w:numFmt w:val="chineseCounting"/>
      <w:suff w:val="nothing"/>
      <w:lvlText w:val="%1、"/>
      <w:lvlJc w:val="left"/>
      <w:rPr>
        <w:rFonts w:hint="eastAsia"/>
      </w:rPr>
    </w:lvl>
  </w:abstractNum>
  <w:abstractNum w:abstractNumId="3">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D6656"/>
    <w:rsid w:val="005E2D23"/>
    <w:rsid w:val="00732078"/>
    <w:rsid w:val="0114696D"/>
    <w:rsid w:val="014D4677"/>
    <w:rsid w:val="02274EC8"/>
    <w:rsid w:val="025874A5"/>
    <w:rsid w:val="029562D6"/>
    <w:rsid w:val="02AE00E7"/>
    <w:rsid w:val="02CA6B1C"/>
    <w:rsid w:val="032D650E"/>
    <w:rsid w:val="034677B9"/>
    <w:rsid w:val="036068E4"/>
    <w:rsid w:val="038A1BB2"/>
    <w:rsid w:val="039B541A"/>
    <w:rsid w:val="03F90AE6"/>
    <w:rsid w:val="043A7135"/>
    <w:rsid w:val="04441D61"/>
    <w:rsid w:val="04595B2A"/>
    <w:rsid w:val="04E15802"/>
    <w:rsid w:val="0580501B"/>
    <w:rsid w:val="05D45367"/>
    <w:rsid w:val="05DA79C7"/>
    <w:rsid w:val="069A6270"/>
    <w:rsid w:val="06AC7371"/>
    <w:rsid w:val="06CB0518"/>
    <w:rsid w:val="07100621"/>
    <w:rsid w:val="07124399"/>
    <w:rsid w:val="07174993"/>
    <w:rsid w:val="073315E1"/>
    <w:rsid w:val="074F1149"/>
    <w:rsid w:val="07A64AE1"/>
    <w:rsid w:val="07D50D0A"/>
    <w:rsid w:val="07F817E1"/>
    <w:rsid w:val="08174AFA"/>
    <w:rsid w:val="08EC0C19"/>
    <w:rsid w:val="08F12A2E"/>
    <w:rsid w:val="09306D58"/>
    <w:rsid w:val="09622C8A"/>
    <w:rsid w:val="098350DA"/>
    <w:rsid w:val="0A2F0DBE"/>
    <w:rsid w:val="0A9F23E7"/>
    <w:rsid w:val="0AB17A25"/>
    <w:rsid w:val="0BCB4B16"/>
    <w:rsid w:val="0C1F3ABF"/>
    <w:rsid w:val="0C9876E7"/>
    <w:rsid w:val="0CF839A8"/>
    <w:rsid w:val="0D2F33D6"/>
    <w:rsid w:val="0D4D63F1"/>
    <w:rsid w:val="0D553231"/>
    <w:rsid w:val="0E63197E"/>
    <w:rsid w:val="0E97237F"/>
    <w:rsid w:val="0EBE0962"/>
    <w:rsid w:val="0F2033CB"/>
    <w:rsid w:val="0FBC30F4"/>
    <w:rsid w:val="0FE577B4"/>
    <w:rsid w:val="0FFC33FA"/>
    <w:rsid w:val="1001144E"/>
    <w:rsid w:val="11032FA4"/>
    <w:rsid w:val="11DB182B"/>
    <w:rsid w:val="11F33019"/>
    <w:rsid w:val="12437AFC"/>
    <w:rsid w:val="12747CB6"/>
    <w:rsid w:val="127B18D3"/>
    <w:rsid w:val="13182D37"/>
    <w:rsid w:val="13761663"/>
    <w:rsid w:val="138F0B1F"/>
    <w:rsid w:val="14065285"/>
    <w:rsid w:val="14117786"/>
    <w:rsid w:val="141C6857"/>
    <w:rsid w:val="143F42F3"/>
    <w:rsid w:val="14517563"/>
    <w:rsid w:val="14832432"/>
    <w:rsid w:val="14DB226E"/>
    <w:rsid w:val="14F13AEF"/>
    <w:rsid w:val="150572EB"/>
    <w:rsid w:val="152C0D1B"/>
    <w:rsid w:val="161C2B3E"/>
    <w:rsid w:val="164D0F49"/>
    <w:rsid w:val="166C0A45"/>
    <w:rsid w:val="169B0C29"/>
    <w:rsid w:val="16CF7BB0"/>
    <w:rsid w:val="16DF3B6C"/>
    <w:rsid w:val="16F72C63"/>
    <w:rsid w:val="17306175"/>
    <w:rsid w:val="17343EB7"/>
    <w:rsid w:val="17C0574B"/>
    <w:rsid w:val="185E284C"/>
    <w:rsid w:val="18CD0120"/>
    <w:rsid w:val="192A37C4"/>
    <w:rsid w:val="19C85E8A"/>
    <w:rsid w:val="19D84FCE"/>
    <w:rsid w:val="19EE2A43"/>
    <w:rsid w:val="1A07140F"/>
    <w:rsid w:val="1A451613"/>
    <w:rsid w:val="1B065B6B"/>
    <w:rsid w:val="1B067919"/>
    <w:rsid w:val="1B486183"/>
    <w:rsid w:val="1B8076CB"/>
    <w:rsid w:val="1B900D63"/>
    <w:rsid w:val="1BCC2910"/>
    <w:rsid w:val="1C6E4E9F"/>
    <w:rsid w:val="1CC04F77"/>
    <w:rsid w:val="1CE65C54"/>
    <w:rsid w:val="1D4604A0"/>
    <w:rsid w:val="1DE026A3"/>
    <w:rsid w:val="1E2302B6"/>
    <w:rsid w:val="1E3D18A3"/>
    <w:rsid w:val="1E813C7F"/>
    <w:rsid w:val="1F08025D"/>
    <w:rsid w:val="1F86727A"/>
    <w:rsid w:val="1F986481"/>
    <w:rsid w:val="1FC50807"/>
    <w:rsid w:val="203A349A"/>
    <w:rsid w:val="203C3DDD"/>
    <w:rsid w:val="204F58BE"/>
    <w:rsid w:val="208714FC"/>
    <w:rsid w:val="20947775"/>
    <w:rsid w:val="21050673"/>
    <w:rsid w:val="21E169EA"/>
    <w:rsid w:val="21E96A77"/>
    <w:rsid w:val="22AC6FF8"/>
    <w:rsid w:val="23616034"/>
    <w:rsid w:val="23D700A4"/>
    <w:rsid w:val="24156E1F"/>
    <w:rsid w:val="242B219E"/>
    <w:rsid w:val="25896995"/>
    <w:rsid w:val="25F969F8"/>
    <w:rsid w:val="26485289"/>
    <w:rsid w:val="264A7253"/>
    <w:rsid w:val="264F6618"/>
    <w:rsid w:val="266320C3"/>
    <w:rsid w:val="27AA5AD0"/>
    <w:rsid w:val="27AE55C0"/>
    <w:rsid w:val="27B8643F"/>
    <w:rsid w:val="27C46B92"/>
    <w:rsid w:val="280B2A12"/>
    <w:rsid w:val="28575C58"/>
    <w:rsid w:val="290520D8"/>
    <w:rsid w:val="297D16EE"/>
    <w:rsid w:val="29EC6874"/>
    <w:rsid w:val="2A225DF1"/>
    <w:rsid w:val="2A3A138D"/>
    <w:rsid w:val="2A8820F8"/>
    <w:rsid w:val="2AEB24EE"/>
    <w:rsid w:val="2BAC0068"/>
    <w:rsid w:val="2BBD4024"/>
    <w:rsid w:val="2BDB5197"/>
    <w:rsid w:val="2CCE400E"/>
    <w:rsid w:val="2CE13D42"/>
    <w:rsid w:val="2CFF5994"/>
    <w:rsid w:val="2D2105E2"/>
    <w:rsid w:val="2DEA4E78"/>
    <w:rsid w:val="2E821554"/>
    <w:rsid w:val="2EB536D8"/>
    <w:rsid w:val="2EC77C50"/>
    <w:rsid w:val="2ED2428A"/>
    <w:rsid w:val="2F1877C3"/>
    <w:rsid w:val="2F776BDF"/>
    <w:rsid w:val="30085A89"/>
    <w:rsid w:val="302C1778"/>
    <w:rsid w:val="303411DC"/>
    <w:rsid w:val="310D15A9"/>
    <w:rsid w:val="31A55C86"/>
    <w:rsid w:val="31BC6B2B"/>
    <w:rsid w:val="31D67EB0"/>
    <w:rsid w:val="32132BEF"/>
    <w:rsid w:val="32250B75"/>
    <w:rsid w:val="32FA790B"/>
    <w:rsid w:val="33136E97"/>
    <w:rsid w:val="336D27D3"/>
    <w:rsid w:val="33B95A18"/>
    <w:rsid w:val="34AA5361"/>
    <w:rsid w:val="35944047"/>
    <w:rsid w:val="36050E0E"/>
    <w:rsid w:val="36323860"/>
    <w:rsid w:val="36533F02"/>
    <w:rsid w:val="366F6862"/>
    <w:rsid w:val="368340BC"/>
    <w:rsid w:val="37117919"/>
    <w:rsid w:val="371D1E1A"/>
    <w:rsid w:val="37C52BDE"/>
    <w:rsid w:val="37DB1BF5"/>
    <w:rsid w:val="3802063D"/>
    <w:rsid w:val="380A05F1"/>
    <w:rsid w:val="38BE762D"/>
    <w:rsid w:val="38D34E86"/>
    <w:rsid w:val="392A6A70"/>
    <w:rsid w:val="398B5761"/>
    <w:rsid w:val="39D8471E"/>
    <w:rsid w:val="3A3C4CAD"/>
    <w:rsid w:val="3AB605BC"/>
    <w:rsid w:val="3AEC222F"/>
    <w:rsid w:val="3AF410E4"/>
    <w:rsid w:val="3B6B584A"/>
    <w:rsid w:val="3BFA097C"/>
    <w:rsid w:val="3C3A6FCB"/>
    <w:rsid w:val="3CA60B04"/>
    <w:rsid w:val="3CC179FF"/>
    <w:rsid w:val="3D000214"/>
    <w:rsid w:val="3D6E33D0"/>
    <w:rsid w:val="3E467EA9"/>
    <w:rsid w:val="3E7A2248"/>
    <w:rsid w:val="3E7A4524"/>
    <w:rsid w:val="3EA03A5D"/>
    <w:rsid w:val="3EA82911"/>
    <w:rsid w:val="406B3BF6"/>
    <w:rsid w:val="40A70D13"/>
    <w:rsid w:val="411B561D"/>
    <w:rsid w:val="41650F8E"/>
    <w:rsid w:val="428B1739"/>
    <w:rsid w:val="42E67EAC"/>
    <w:rsid w:val="42EB101F"/>
    <w:rsid w:val="42F851B8"/>
    <w:rsid w:val="437E00E5"/>
    <w:rsid w:val="43BD0C0D"/>
    <w:rsid w:val="44A21BB1"/>
    <w:rsid w:val="455530C7"/>
    <w:rsid w:val="45EA7CB3"/>
    <w:rsid w:val="46160AA8"/>
    <w:rsid w:val="46274A64"/>
    <w:rsid w:val="475A5FE3"/>
    <w:rsid w:val="47723ABC"/>
    <w:rsid w:val="47946129"/>
    <w:rsid w:val="47A10846"/>
    <w:rsid w:val="487B1097"/>
    <w:rsid w:val="487E46E3"/>
    <w:rsid w:val="48C60564"/>
    <w:rsid w:val="48C90054"/>
    <w:rsid w:val="48DC7D87"/>
    <w:rsid w:val="48E22EC4"/>
    <w:rsid w:val="4A080708"/>
    <w:rsid w:val="4A174A8F"/>
    <w:rsid w:val="4A2A2D74"/>
    <w:rsid w:val="4A3414FD"/>
    <w:rsid w:val="4A3961AC"/>
    <w:rsid w:val="4A914BA1"/>
    <w:rsid w:val="4A99652F"/>
    <w:rsid w:val="4AD86409"/>
    <w:rsid w:val="4BA426B2"/>
    <w:rsid w:val="4BFE0015"/>
    <w:rsid w:val="4C0D3FFB"/>
    <w:rsid w:val="4C4F6AC2"/>
    <w:rsid w:val="4C7D362F"/>
    <w:rsid w:val="4CF5766A"/>
    <w:rsid w:val="4DBA7F6B"/>
    <w:rsid w:val="4E375A60"/>
    <w:rsid w:val="4EFB4CDF"/>
    <w:rsid w:val="4F0516BA"/>
    <w:rsid w:val="4F1B2C8C"/>
    <w:rsid w:val="4F6939F7"/>
    <w:rsid w:val="4FC32A8F"/>
    <w:rsid w:val="4FE63299"/>
    <w:rsid w:val="502618E8"/>
    <w:rsid w:val="502838B2"/>
    <w:rsid w:val="50BA005B"/>
    <w:rsid w:val="50D15CF8"/>
    <w:rsid w:val="50DB0924"/>
    <w:rsid w:val="51316796"/>
    <w:rsid w:val="51656440"/>
    <w:rsid w:val="51BD6537"/>
    <w:rsid w:val="52623FB6"/>
    <w:rsid w:val="52896FF7"/>
    <w:rsid w:val="5296672A"/>
    <w:rsid w:val="534F31D7"/>
    <w:rsid w:val="536410A5"/>
    <w:rsid w:val="53760DD8"/>
    <w:rsid w:val="538A6ABE"/>
    <w:rsid w:val="53933738"/>
    <w:rsid w:val="539B25ED"/>
    <w:rsid w:val="541C78C1"/>
    <w:rsid w:val="544E58B1"/>
    <w:rsid w:val="550A7A2A"/>
    <w:rsid w:val="55520310"/>
    <w:rsid w:val="558C043F"/>
    <w:rsid w:val="55DF2C65"/>
    <w:rsid w:val="55E97640"/>
    <w:rsid w:val="563B1BAA"/>
    <w:rsid w:val="56637DF2"/>
    <w:rsid w:val="56777AE0"/>
    <w:rsid w:val="568F468B"/>
    <w:rsid w:val="57167B89"/>
    <w:rsid w:val="572B0584"/>
    <w:rsid w:val="578735B4"/>
    <w:rsid w:val="57AD436E"/>
    <w:rsid w:val="58393655"/>
    <w:rsid w:val="5866766D"/>
    <w:rsid w:val="58CD149A"/>
    <w:rsid w:val="59017396"/>
    <w:rsid w:val="591075D9"/>
    <w:rsid w:val="59C52172"/>
    <w:rsid w:val="59E940B2"/>
    <w:rsid w:val="5A2A6479"/>
    <w:rsid w:val="5A3B0686"/>
    <w:rsid w:val="5A4C4641"/>
    <w:rsid w:val="5A8D4B2E"/>
    <w:rsid w:val="5B6D6AF3"/>
    <w:rsid w:val="5B7E6A7C"/>
    <w:rsid w:val="5BB64468"/>
    <w:rsid w:val="5C031433"/>
    <w:rsid w:val="5C732614"/>
    <w:rsid w:val="5CB0535B"/>
    <w:rsid w:val="5CD03307"/>
    <w:rsid w:val="5CD728E8"/>
    <w:rsid w:val="5D081E82"/>
    <w:rsid w:val="5D1C319C"/>
    <w:rsid w:val="5D211DB5"/>
    <w:rsid w:val="5D557CB0"/>
    <w:rsid w:val="5D5850AB"/>
    <w:rsid w:val="5D6121B1"/>
    <w:rsid w:val="5DE8778C"/>
    <w:rsid w:val="5DFD637E"/>
    <w:rsid w:val="5E341674"/>
    <w:rsid w:val="5ED13367"/>
    <w:rsid w:val="5EE4753E"/>
    <w:rsid w:val="5F8B79B9"/>
    <w:rsid w:val="5FAF18FA"/>
    <w:rsid w:val="5FED2422"/>
    <w:rsid w:val="5FF40209"/>
    <w:rsid w:val="60363DC9"/>
    <w:rsid w:val="604C0EF7"/>
    <w:rsid w:val="608A7C71"/>
    <w:rsid w:val="60E03D35"/>
    <w:rsid w:val="6138147B"/>
    <w:rsid w:val="61AF4C4A"/>
    <w:rsid w:val="622639C9"/>
    <w:rsid w:val="627D5CDF"/>
    <w:rsid w:val="62982EC7"/>
    <w:rsid w:val="630248A2"/>
    <w:rsid w:val="63116428"/>
    <w:rsid w:val="6361115D"/>
    <w:rsid w:val="63EE0517"/>
    <w:rsid w:val="646023AE"/>
    <w:rsid w:val="647C1FC7"/>
    <w:rsid w:val="654A0B5E"/>
    <w:rsid w:val="65FC516D"/>
    <w:rsid w:val="660C7EBD"/>
    <w:rsid w:val="660E6C4E"/>
    <w:rsid w:val="66154481"/>
    <w:rsid w:val="668F5FE1"/>
    <w:rsid w:val="66A23F66"/>
    <w:rsid w:val="67393D61"/>
    <w:rsid w:val="679305D0"/>
    <w:rsid w:val="6793565D"/>
    <w:rsid w:val="67982C74"/>
    <w:rsid w:val="67A45ABC"/>
    <w:rsid w:val="68121A65"/>
    <w:rsid w:val="68776D2D"/>
    <w:rsid w:val="68833924"/>
    <w:rsid w:val="68FE539B"/>
    <w:rsid w:val="69126A56"/>
    <w:rsid w:val="69913E1E"/>
    <w:rsid w:val="699D27C3"/>
    <w:rsid w:val="69F83E9D"/>
    <w:rsid w:val="69FF6FDA"/>
    <w:rsid w:val="6A9811DC"/>
    <w:rsid w:val="6A9C2A7B"/>
    <w:rsid w:val="6AB44268"/>
    <w:rsid w:val="6AF55047"/>
    <w:rsid w:val="6B4A616F"/>
    <w:rsid w:val="6B916358"/>
    <w:rsid w:val="6BA22313"/>
    <w:rsid w:val="6BA918F3"/>
    <w:rsid w:val="6C094140"/>
    <w:rsid w:val="6C293FE6"/>
    <w:rsid w:val="6C2E1DF8"/>
    <w:rsid w:val="6C327132"/>
    <w:rsid w:val="6C622CF6"/>
    <w:rsid w:val="6C8C6B1F"/>
    <w:rsid w:val="6C9505C3"/>
    <w:rsid w:val="6CAB51F7"/>
    <w:rsid w:val="6CC85DA9"/>
    <w:rsid w:val="6CE95D1F"/>
    <w:rsid w:val="6D8F68C7"/>
    <w:rsid w:val="6DB12B4C"/>
    <w:rsid w:val="6E1119D2"/>
    <w:rsid w:val="6E1A0886"/>
    <w:rsid w:val="6E427DDD"/>
    <w:rsid w:val="6E6C6C08"/>
    <w:rsid w:val="6E8201DA"/>
    <w:rsid w:val="6EA63EC8"/>
    <w:rsid w:val="6FA523D2"/>
    <w:rsid w:val="6FA63AB6"/>
    <w:rsid w:val="6FAA3E8C"/>
    <w:rsid w:val="70DF72B6"/>
    <w:rsid w:val="712437CA"/>
    <w:rsid w:val="71463740"/>
    <w:rsid w:val="7160340E"/>
    <w:rsid w:val="72001B41"/>
    <w:rsid w:val="72785B7B"/>
    <w:rsid w:val="728B4E57"/>
    <w:rsid w:val="72CA214F"/>
    <w:rsid w:val="72E651DB"/>
    <w:rsid w:val="731F249B"/>
    <w:rsid w:val="733F0D8F"/>
    <w:rsid w:val="73625832"/>
    <w:rsid w:val="737A5923"/>
    <w:rsid w:val="738F7621"/>
    <w:rsid w:val="73C372CA"/>
    <w:rsid w:val="740022CC"/>
    <w:rsid w:val="747D1B6F"/>
    <w:rsid w:val="748E78D8"/>
    <w:rsid w:val="74EE65C9"/>
    <w:rsid w:val="75022074"/>
    <w:rsid w:val="75B01893"/>
    <w:rsid w:val="75B06567"/>
    <w:rsid w:val="76B40C43"/>
    <w:rsid w:val="76FB6D7B"/>
    <w:rsid w:val="777A3AF4"/>
    <w:rsid w:val="77B04009"/>
    <w:rsid w:val="77D01FB6"/>
    <w:rsid w:val="78774B27"/>
    <w:rsid w:val="78B33DB1"/>
    <w:rsid w:val="78D635FC"/>
    <w:rsid w:val="78EE6B97"/>
    <w:rsid w:val="7916483D"/>
    <w:rsid w:val="79167E9C"/>
    <w:rsid w:val="79441715"/>
    <w:rsid w:val="799D236B"/>
    <w:rsid w:val="79CB0C87"/>
    <w:rsid w:val="79FC52E4"/>
    <w:rsid w:val="7A460C55"/>
    <w:rsid w:val="7A6D61E2"/>
    <w:rsid w:val="7A990D85"/>
    <w:rsid w:val="7AB61937"/>
    <w:rsid w:val="7ACC115A"/>
    <w:rsid w:val="7B0643C9"/>
    <w:rsid w:val="7B385575"/>
    <w:rsid w:val="7B9D2AF7"/>
    <w:rsid w:val="7C2A25D8"/>
    <w:rsid w:val="7C653614"/>
    <w:rsid w:val="7CD267D0"/>
    <w:rsid w:val="7CF6426C"/>
    <w:rsid w:val="7D0D7808"/>
    <w:rsid w:val="7D336A65"/>
    <w:rsid w:val="7D80447E"/>
    <w:rsid w:val="7DCC321F"/>
    <w:rsid w:val="7DE06CCB"/>
    <w:rsid w:val="7E483361"/>
    <w:rsid w:val="7E5E656D"/>
    <w:rsid w:val="7E790340"/>
    <w:rsid w:val="7F0361DD"/>
    <w:rsid w:val="7F182BC0"/>
    <w:rsid w:val="7F671451"/>
    <w:rsid w:val="7F9C651C"/>
    <w:rsid w:val="7FAA567E"/>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4">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paragraph" w:styleId="5">
    <w:name w:val="Normal Indent"/>
    <w:basedOn w:val="1"/>
    <w:next w:val="1"/>
    <w:qFormat/>
    <w:uiPriority w:val="0"/>
    <w:pPr>
      <w:ind w:firstLine="420"/>
    </w:pPr>
    <w:rPr>
      <w:szCs w:val="20"/>
    </w:rPr>
  </w:style>
  <w:style w:type="paragraph" w:styleId="6">
    <w:name w:val="Body Text"/>
    <w:basedOn w:val="1"/>
    <w:qFormat/>
    <w:uiPriority w:val="0"/>
    <w:pPr>
      <w:spacing w:line="380" w:lineRule="exact"/>
    </w:pPr>
    <w:rPr>
      <w:sz w:val="24"/>
    </w:rPr>
  </w:style>
  <w:style w:type="paragraph" w:styleId="7">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8">
    <w:name w:val="Plain Text"/>
    <w:basedOn w:val="1"/>
    <w:qFormat/>
    <w:uiPriority w:val="0"/>
    <w:rPr>
      <w:rFonts w:ascii="宋体" w:hAnsi="Courier New"/>
      <w:szCs w:val="20"/>
    </w:rPr>
  </w:style>
  <w:style w:type="paragraph" w:styleId="9">
    <w:name w:val="Body Text Indent 2"/>
    <w:basedOn w:val="1"/>
    <w:qFormat/>
    <w:uiPriority w:val="0"/>
    <w:pPr>
      <w:spacing w:line="20" w:lineRule="atLeast"/>
      <w:ind w:firstLine="199" w:firstLineChars="199"/>
      <w:jc w:val="left"/>
    </w:pPr>
    <w:rPr>
      <w:rFonts w:ascii="宋体"/>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2">
    <w:name w:val="toc 1"/>
    <w:basedOn w:val="1"/>
    <w:next w:val="1"/>
    <w:qFormat/>
    <w:uiPriority w:val="39"/>
    <w:pPr>
      <w:spacing w:before="120" w:after="120"/>
      <w:jc w:val="left"/>
    </w:pPr>
    <w:rPr>
      <w:rFonts w:ascii="Calibri" w:hAnsi="Calibri"/>
      <w:b/>
      <w:bCs/>
      <w:caps/>
      <w:sz w:val="20"/>
    </w:rPr>
  </w:style>
  <w:style w:type="paragraph" w:styleId="13">
    <w:name w:val="Body Text Indent 3"/>
    <w:basedOn w:val="1"/>
    <w:unhideWhenUsed/>
    <w:qFormat/>
    <w:uiPriority w:val="99"/>
    <w:pPr>
      <w:spacing w:after="120"/>
      <w:ind w:left="420" w:leftChars="200"/>
    </w:pPr>
    <w:rPr>
      <w:kern w:val="2"/>
      <w:sz w:val="16"/>
      <w:szCs w:val="16"/>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表格正文 + 两端对齐"/>
    <w:next w:val="20"/>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20">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customStyle="1" w:styleId="2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8"/>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5699</Words>
  <Characters>6279</Characters>
  <Lines>0</Lines>
  <Paragraphs>0</Paragraphs>
  <TotalTime>1</TotalTime>
  <ScaleCrop>false</ScaleCrop>
  <LinksUpToDate>false</LinksUpToDate>
  <CharactersWithSpaces>6650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2026-01-26T06:38:06Z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