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bookmarkStart w:id="0" w:name="_GoBack"/>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LCCQJJ20260310-1</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2026年3月10日10:00止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2026年3月10日10:00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连城县连发城市建设有限公司公开竞价选取第三方审计服务机构项目</w:t>
      </w:r>
      <w:r>
        <w:rPr>
          <w:rFonts w:hint="eastAsia" w:ascii="宋体" w:hAnsi="宋体" w:eastAsia="宋体" w:cs="宋体"/>
          <w:b w:val="0"/>
          <w:bCs w:val="0"/>
          <w:color w:val="auto"/>
          <w:sz w:val="28"/>
          <w:szCs w:val="28"/>
          <w:highlight w:val="none"/>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2.审计内容：</w:t>
      </w:r>
      <w:r>
        <w:rPr>
          <w:rFonts w:hint="eastAsia" w:ascii="宋体" w:hAnsi="宋体" w:eastAsia="宋体" w:cs="宋体"/>
          <w:color w:val="auto"/>
          <w:sz w:val="28"/>
          <w:szCs w:val="28"/>
          <w:highlight w:val="none"/>
          <w:lang w:val="en-US" w:eastAsia="zh-CN"/>
        </w:rPr>
        <w:t>对原老公安局大楼实际二次装修过程中产生的加装电梯费、会议采购费和工程人员管理费进行核算。</w:t>
      </w:r>
    </w:p>
    <w:p w14:paraId="5005D0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3.最高限价：</w:t>
      </w:r>
      <w:r>
        <w:rPr>
          <w:rFonts w:hint="eastAsia" w:ascii="宋体" w:hAnsi="宋体" w:cs="宋体"/>
          <w:b w:val="0"/>
          <w:bCs w:val="0"/>
          <w:color w:val="auto"/>
          <w:sz w:val="28"/>
          <w:szCs w:val="28"/>
          <w:highlight w:val="none"/>
          <w:lang w:val="en-US" w:eastAsia="zh-CN"/>
        </w:rPr>
        <w:t>2000</w:t>
      </w:r>
      <w:r>
        <w:rPr>
          <w:rFonts w:hint="eastAsia" w:ascii="宋体" w:hAnsi="宋体" w:eastAsia="宋体" w:cs="宋体"/>
          <w:b w:val="0"/>
          <w:bCs w:val="0"/>
          <w:color w:val="auto"/>
          <w:sz w:val="28"/>
          <w:szCs w:val="28"/>
          <w:highlight w:val="none"/>
          <w:lang w:val="en-US" w:eastAsia="zh-CN"/>
        </w:rPr>
        <w:t>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5.服务期限：</w:t>
      </w:r>
      <w:r>
        <w:rPr>
          <w:rFonts w:hint="eastAsia" w:ascii="宋体" w:hAnsi="宋体" w:eastAsia="宋体" w:cs="宋体"/>
          <w:color w:val="auto"/>
          <w:sz w:val="28"/>
          <w:szCs w:val="28"/>
          <w:highlight w:val="none"/>
          <w:lang w:val="en-US" w:eastAsia="zh-CN"/>
        </w:rPr>
        <w:t>自合同签订之日起10天内完成审计工作并提交审计报告</w:t>
      </w:r>
      <w:r>
        <w:rPr>
          <w:rFonts w:hint="eastAsia" w:ascii="宋体" w:hAnsi="宋体" w:eastAsia="宋体" w:cs="宋体"/>
          <w:b w:val="0"/>
          <w:bCs w:val="0"/>
          <w:color w:val="auto"/>
          <w:sz w:val="28"/>
          <w:szCs w:val="28"/>
          <w:highlight w:val="none"/>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.工作要求：</w:t>
      </w:r>
    </w:p>
    <w:p w14:paraId="772255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（1）在审计过程中严格按照现行《会计准则》和《中国注册会计师审计准则》的要求进行审计。</w:t>
      </w:r>
    </w:p>
    <w:p w14:paraId="42E3F3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（2）审计目的对原老公安局大楼实际二次装修过程中产生的加装电梯费、会议采购费和工程人员管理费进行核算。。</w:t>
      </w:r>
    </w:p>
    <w:p w14:paraId="1272EF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）成交人及拟派注册会计师对出具的审计报告的客观性、真实性、公正性负责。</w:t>
      </w:r>
    </w:p>
    <w:p w14:paraId="195BB6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）对执行审计业务过程中知悉委托方商业秘密应严加保密、对委托方提供的有关资料和审计结果保密，并承担由此引起的法律纠纷。</w:t>
      </w:r>
    </w:p>
    <w:p w14:paraId="4745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）成交人在出具纸质审计报告的同时，需报送同口径的电子文档。</w:t>
      </w:r>
    </w:p>
    <w:p w14:paraId="52EB2B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）成交人及其拟派的注册会计师违反有关法律法规，与企业及相关人员串通，弄虚作假，出具不实或虚假内容的审计报告的，委托方将通报有关部门依法予以处罚,并予以调整更换。</w:t>
      </w:r>
    </w:p>
    <w:p w14:paraId="7ED6F9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）成交人如果没有根据委托方要求在审计工作期间进行签到的，委托方有权解除委托合同，同时成交人须向委托方支付审计费用30%的违约金。</w:t>
      </w:r>
    </w:p>
    <w:p w14:paraId="4889EF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）成交人不能按期完成审计任务的，委托方可视实际情况考虑予以更换，并由该成交人承担由此引起的经济损失和法律责任。</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4BA31A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1.遵守中华人民共和国法律、法规，具备国家行业主管部门颁发的有效执业资质的中介机构,但已经被列入失信被执行人名单（截止报名时间）的除外。</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0元，必须于</w:t>
      </w:r>
      <w:r>
        <w:rPr>
          <w:rFonts w:hint="eastAsia" w:ascii="宋体" w:hAnsi="宋体" w:cs="宋体"/>
          <w:color w:val="auto"/>
          <w:sz w:val="28"/>
          <w:szCs w:val="28"/>
          <w:highlight w:val="none"/>
          <w:lang w:val="en-US" w:eastAsia="zh-CN"/>
        </w:rPr>
        <w:t>2026年3月10日上午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2.竞价成交后，成交人必须在成交之日起2个工作日内与本公司签订《竞价结果通知书》，并在签订《竞价结果通知书》2个工作日内向委托人提供《委托</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lang w:val="en-US" w:eastAsia="zh-CN"/>
        </w:rPr>
        <w:t>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19D97C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（1）中介机构营业执照副本、法定代表人身份证复印件；</w:t>
      </w:r>
    </w:p>
    <w:p w14:paraId="34CA2B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（2）执业资质证书或备案证明复印件；</w:t>
      </w:r>
    </w:p>
    <w:p w14:paraId="3DC6BC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（3）签订完整的承诺书；</w:t>
      </w:r>
    </w:p>
    <w:p w14:paraId="02FC421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（4）已缴纳的竞价保证金凭证；</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4D7F709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本场竞价对参与竟价的人数不做限制，不受竟价人数量影响，只要有符合条件的竞价人参与并达成交易即可。</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成交人出具正式审计报告和增值税发票资料，经委托方确认后将在7个工作日内支付。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392AF72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5E666D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672FFB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3591EE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2026年3月10日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连城县连发城市建设有限公司公开竞价选取第三方审计服务机构项目</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LCCQJJ20260310-1</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bookmarkEnd w:id="0"/>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AEE0C79"/>
    <w:rsid w:val="0BEB0CCA"/>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6B50E1F"/>
    <w:rsid w:val="183B56FD"/>
    <w:rsid w:val="18AE0B48"/>
    <w:rsid w:val="18EF3710"/>
    <w:rsid w:val="1A394265"/>
    <w:rsid w:val="1A8962C8"/>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8315E7"/>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49D0C90"/>
    <w:rsid w:val="36070CBD"/>
    <w:rsid w:val="366756A0"/>
    <w:rsid w:val="371B5B3B"/>
    <w:rsid w:val="3741602B"/>
    <w:rsid w:val="38A87E0A"/>
    <w:rsid w:val="39C752B8"/>
    <w:rsid w:val="3A0C4B4E"/>
    <w:rsid w:val="3CDB07AE"/>
    <w:rsid w:val="3D3F6CF4"/>
    <w:rsid w:val="3D5C5D7A"/>
    <w:rsid w:val="3D71306C"/>
    <w:rsid w:val="3DC87AC0"/>
    <w:rsid w:val="3E166E94"/>
    <w:rsid w:val="3FA56A13"/>
    <w:rsid w:val="405D3D50"/>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Normal Indent"/>
    <w:basedOn w:val="1"/>
    <w:next w:val="1"/>
    <w:qFormat/>
    <w:uiPriority w:val="0"/>
    <w:pPr>
      <w:ind w:firstLine="420"/>
    </w:pPr>
    <w:rPr>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3929</Words>
  <Characters>4233</Characters>
  <Lines>4</Lines>
  <Paragraphs>7</Paragraphs>
  <TotalTime>3</TotalTime>
  <ScaleCrop>false</ScaleCrop>
  <LinksUpToDate>false</LinksUpToDate>
  <CharactersWithSpaces>4332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2025-12-11T07:36:00Z</cp:lastPrinted>
  <dcterms:modified xsi:type="dcterms:W3CDTF">2026-03-04T08:29:00Z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