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22981A">
      <w:pPr>
        <w:widowControl/>
        <w:shd w:val="clear"/>
        <w:snapToGrid/>
        <w:spacing w:before="0" w:line="360" w:lineRule="auto"/>
        <w:ind w:left="0" w:firstLine="560" w:firstLineChars="200"/>
        <w:jc w:val="center"/>
        <w:rPr>
          <w:rFonts w:hint="eastAsia" w:asciiTheme="minorEastAsia" w:hAnsiTheme="minorEastAsia" w:eastAsiaTheme="minorEastAsia" w:cstheme="minorEastAsia"/>
          <w:b/>
          <w:bCs/>
          <w:color w:val="auto"/>
          <w:sz w:val="24"/>
          <w:szCs w:val="24"/>
          <w:highlight w:val="none"/>
        </w:rPr>
      </w:pPr>
      <w:r>
        <w:rPr>
          <w:rFonts w:hint="eastAsia" w:ascii="方正小标宋简体" w:hAnsi="方正小标宋简体" w:eastAsia="方正小标宋简体" w:cs="方正小标宋简体"/>
          <w:b w:val="0"/>
          <w:bCs w:val="0"/>
          <w:color w:val="auto"/>
          <w:kern w:val="2"/>
          <w:sz w:val="28"/>
          <w:szCs w:val="28"/>
          <w:highlight w:val="none"/>
        </w:rPr>
        <w:t>网络竞价须知</w:t>
      </w:r>
    </w:p>
    <w:p w14:paraId="684621EC">
      <w:pPr>
        <w:widowControl/>
        <w:shd w:val="clear"/>
        <w:snapToGrid/>
        <w:spacing w:before="0" w:line="360" w:lineRule="auto"/>
        <w:ind w:left="0" w:firstLine="480" w:firstLineChars="20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val="0"/>
          <w:color w:val="auto"/>
          <w:kern w:val="2"/>
          <w:sz w:val="24"/>
          <w:szCs w:val="24"/>
          <w:highlight w:val="none"/>
          <w:shd w:val="clear"/>
        </w:rPr>
        <w:t>（项目编号:</w:t>
      </w:r>
      <w:r>
        <w:rPr>
          <w:rFonts w:hint="eastAsia" w:asciiTheme="minorEastAsia" w:hAnsiTheme="minorEastAsia" w:eastAsiaTheme="minorEastAsia" w:cstheme="minorEastAsia"/>
          <w:b w:val="0"/>
          <w:bCs w:val="0"/>
          <w:color w:val="auto"/>
          <w:kern w:val="2"/>
          <w:sz w:val="24"/>
          <w:szCs w:val="24"/>
          <w:highlight w:val="none"/>
          <w:shd w:val="clear"/>
          <w:lang w:eastAsia="zh-CN"/>
        </w:rPr>
        <w:t>LCCQJJ202</w:t>
      </w:r>
      <w:r>
        <w:rPr>
          <w:rFonts w:hint="eastAsia" w:asciiTheme="minorEastAsia" w:hAnsiTheme="minorEastAsia" w:eastAsiaTheme="minorEastAsia" w:cstheme="minorEastAsia"/>
          <w:b w:val="0"/>
          <w:bCs w:val="0"/>
          <w:color w:val="auto"/>
          <w:kern w:val="2"/>
          <w:sz w:val="24"/>
          <w:szCs w:val="24"/>
          <w:highlight w:val="none"/>
          <w:shd w:val="clear"/>
          <w:lang w:val="en-US" w:eastAsia="zh-CN"/>
        </w:rPr>
        <w:t>60429</w:t>
      </w:r>
      <w:r>
        <w:rPr>
          <w:rFonts w:hint="eastAsia" w:asciiTheme="minorEastAsia" w:hAnsiTheme="minorEastAsia" w:eastAsiaTheme="minorEastAsia" w:cstheme="minorEastAsia"/>
          <w:b w:val="0"/>
          <w:bCs w:val="0"/>
          <w:color w:val="auto"/>
          <w:kern w:val="2"/>
          <w:sz w:val="24"/>
          <w:szCs w:val="24"/>
          <w:highlight w:val="none"/>
          <w:shd w:val="clear"/>
        </w:rPr>
        <w:t>）</w:t>
      </w:r>
    </w:p>
    <w:p w14:paraId="3DFA4F91">
      <w:pPr>
        <w:widowControl/>
        <w:shd w:val="clear"/>
        <w:snapToGrid/>
        <w:spacing w:before="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rPr>
        <w:t>连城县国有资产产权交易服务有限公司</w:t>
      </w:r>
      <w:r>
        <w:rPr>
          <w:rFonts w:hint="eastAsia" w:asciiTheme="minorEastAsia" w:hAnsiTheme="minorEastAsia" w:eastAsiaTheme="minorEastAsia" w:cstheme="minorEastAsia"/>
          <w:color w:val="auto"/>
          <w:kern w:val="2"/>
          <w:sz w:val="24"/>
          <w:szCs w:val="24"/>
          <w:highlight w:val="none"/>
          <w:shd w:val="clear"/>
        </w:rPr>
        <w:t>（以下简称本公司）遵循“公开、公平、公正、诚实信用”的原则，依照国家法律、法规、政策为本次竞价活动提供服务。现将有关竞价事项告知如下：</w:t>
      </w:r>
    </w:p>
    <w:p w14:paraId="08C98628">
      <w:pPr>
        <w:widowControl/>
        <w:shd w:val="clear"/>
        <w:snapToGrid/>
        <w:spacing w:before="0" w:line="360" w:lineRule="auto"/>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一、竞价时间、报名时间</w:t>
      </w:r>
      <w:r>
        <w:rPr>
          <w:rFonts w:hint="eastAsia" w:asciiTheme="minorEastAsia" w:hAnsiTheme="minorEastAsia" w:eastAsiaTheme="minorEastAsia" w:cstheme="minorEastAsia"/>
          <w:b/>
          <w:bCs/>
          <w:color w:val="auto"/>
          <w:kern w:val="2"/>
          <w:sz w:val="24"/>
          <w:szCs w:val="24"/>
          <w:highlight w:val="none"/>
          <w:shd w:val="clear"/>
          <w:lang w:eastAsia="zh-CN"/>
        </w:rPr>
        <w:t>、</w:t>
      </w:r>
      <w:r>
        <w:rPr>
          <w:rFonts w:hint="eastAsia" w:asciiTheme="minorEastAsia" w:hAnsiTheme="minorEastAsia" w:eastAsiaTheme="minorEastAsia" w:cstheme="minorEastAsia"/>
          <w:b/>
          <w:bCs/>
          <w:color w:val="auto"/>
          <w:kern w:val="2"/>
          <w:sz w:val="24"/>
          <w:szCs w:val="24"/>
          <w:highlight w:val="none"/>
          <w:shd w:val="clear"/>
          <w:lang w:val="en-US" w:eastAsia="zh-CN"/>
        </w:rPr>
        <w:t>竞价</w:t>
      </w:r>
      <w:r>
        <w:rPr>
          <w:rFonts w:hint="eastAsia" w:asciiTheme="minorEastAsia" w:hAnsiTheme="minorEastAsia" w:eastAsiaTheme="minorEastAsia" w:cstheme="minorEastAsia"/>
          <w:b/>
          <w:bCs/>
          <w:color w:val="auto"/>
          <w:kern w:val="2"/>
          <w:sz w:val="24"/>
          <w:szCs w:val="24"/>
          <w:highlight w:val="none"/>
          <w:shd w:val="clear"/>
        </w:rPr>
        <w:t>地点</w:t>
      </w:r>
    </w:p>
    <w:p w14:paraId="73914261">
      <w:pPr>
        <w:widowControl/>
        <w:shd w:val="clear"/>
        <w:snapToGrid/>
        <w:spacing w:before="0" w:beforeAutospacing="0" w:after="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竞价截止时间：2026年</w:t>
      </w:r>
      <w:r>
        <w:rPr>
          <w:rFonts w:hint="eastAsia" w:asciiTheme="minorEastAsia" w:hAnsiTheme="minorEastAsia" w:eastAsiaTheme="minorEastAsia" w:cstheme="minorEastAsia"/>
          <w:color w:val="auto"/>
          <w:kern w:val="2"/>
          <w:sz w:val="24"/>
          <w:szCs w:val="24"/>
          <w:highlight w:val="none"/>
          <w:shd w:val="clear"/>
          <w:lang w:eastAsia="zh-CN"/>
        </w:rPr>
        <w:t>4月29日</w:t>
      </w:r>
      <w:r>
        <w:rPr>
          <w:rFonts w:hint="eastAsia" w:asciiTheme="minorEastAsia" w:hAnsiTheme="minorEastAsia" w:eastAsiaTheme="minorEastAsia" w:cstheme="minorEastAsia"/>
          <w:color w:val="auto"/>
          <w:kern w:val="2"/>
          <w:sz w:val="24"/>
          <w:szCs w:val="24"/>
          <w:highlight w:val="none"/>
          <w:shd w:val="clear"/>
        </w:rPr>
        <w:t xml:space="preserve"> 上午10:00止</w:t>
      </w:r>
    </w:p>
    <w:p w14:paraId="5A965918">
      <w:pPr>
        <w:widowControl/>
        <w:shd w:val="clear"/>
        <w:snapToGrid/>
        <w:spacing w:before="0" w:beforeAutospacing="0" w:after="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竞价地点：连城县招标投标交易平台（https://lcyjy.enjoy5191.com/home）</w:t>
      </w:r>
    </w:p>
    <w:p w14:paraId="45422928">
      <w:pPr>
        <w:widowControl/>
        <w:shd w:val="clear"/>
        <w:snapToGrid/>
        <w:spacing w:before="0" w:beforeAutospacing="0" w:after="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报名截止时间：2026年</w:t>
      </w:r>
      <w:r>
        <w:rPr>
          <w:rFonts w:hint="eastAsia" w:asciiTheme="minorEastAsia" w:hAnsiTheme="minorEastAsia" w:eastAsiaTheme="minorEastAsia" w:cstheme="minorEastAsia"/>
          <w:color w:val="auto"/>
          <w:kern w:val="2"/>
          <w:sz w:val="24"/>
          <w:szCs w:val="24"/>
          <w:highlight w:val="none"/>
          <w:shd w:val="clear"/>
          <w:lang w:eastAsia="zh-CN"/>
        </w:rPr>
        <w:t>4月29日</w:t>
      </w:r>
      <w:r>
        <w:rPr>
          <w:rFonts w:hint="eastAsia" w:asciiTheme="minorEastAsia" w:hAnsiTheme="minorEastAsia" w:eastAsiaTheme="minorEastAsia" w:cstheme="minorEastAsia"/>
          <w:color w:val="auto"/>
          <w:kern w:val="2"/>
          <w:sz w:val="24"/>
          <w:szCs w:val="24"/>
          <w:highlight w:val="none"/>
          <w:shd w:val="clear"/>
        </w:rPr>
        <w:t xml:space="preserve"> 上午10:00止</w:t>
      </w:r>
    </w:p>
    <w:p w14:paraId="062764F5">
      <w:pPr>
        <w:widowControl/>
        <w:shd w:val="clear"/>
        <w:snapToGrid/>
        <w:spacing w:before="0" w:beforeAutospacing="0" w:after="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报名地点：连城县招标投标交易平台（https://lcyjy.enjoy5191.com/home）</w:t>
      </w:r>
    </w:p>
    <w:p w14:paraId="451B532A">
      <w:pPr>
        <w:widowControl/>
        <w:shd w:val="clear"/>
        <w:snapToGrid/>
        <w:spacing w:before="0" w:beforeAutospacing="0" w:after="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连城产权联系电话：李先生 0597-8911670</w:t>
      </w:r>
    </w:p>
    <w:p w14:paraId="3217ACC7">
      <w:pPr>
        <w:widowControl/>
        <w:shd w:val="clear"/>
        <w:snapToGrid/>
        <w:spacing w:before="0" w:beforeAutospacing="0" w:after="0" w:afterAutospacing="0" w:line="360" w:lineRule="auto"/>
        <w:ind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（工作日上班时间：08:00-12:00,14:30-17:30）</w:t>
      </w:r>
    </w:p>
    <w:p w14:paraId="1807A17A">
      <w:pPr>
        <w:widowControl/>
        <w:shd w:val="clear"/>
        <w:snapToGrid/>
        <w:spacing w:before="0" w:beforeAutospacing="0" w:after="0" w:afterAutospacing="0"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二</w:t>
      </w:r>
      <w:r>
        <w:rPr>
          <w:rFonts w:hint="eastAsia" w:asciiTheme="minorEastAsia" w:hAnsiTheme="minorEastAsia" w:eastAsiaTheme="minorEastAsia" w:cstheme="minorEastAsia"/>
          <w:b/>
          <w:bCs/>
          <w:color w:val="auto"/>
          <w:sz w:val="24"/>
          <w:szCs w:val="24"/>
          <w:highlight w:val="none"/>
        </w:rPr>
        <w:t>、项目</w:t>
      </w:r>
      <w:r>
        <w:rPr>
          <w:rFonts w:hint="eastAsia" w:asciiTheme="minorEastAsia" w:hAnsiTheme="minorEastAsia" w:eastAsiaTheme="minorEastAsia" w:cstheme="minorEastAsia"/>
          <w:b/>
          <w:bCs/>
          <w:color w:val="auto"/>
          <w:sz w:val="24"/>
          <w:szCs w:val="24"/>
          <w:highlight w:val="none"/>
          <w:lang w:eastAsia="zh-CN"/>
        </w:rPr>
        <w:t>概况</w:t>
      </w:r>
      <w:r>
        <w:rPr>
          <w:rFonts w:hint="eastAsia" w:asciiTheme="minorEastAsia" w:hAnsiTheme="minorEastAsia" w:eastAsiaTheme="minorEastAsia" w:cstheme="minorEastAsia"/>
          <w:b/>
          <w:bCs/>
          <w:color w:val="auto"/>
          <w:sz w:val="24"/>
          <w:szCs w:val="24"/>
          <w:highlight w:val="none"/>
        </w:rPr>
        <w:t>及</w:t>
      </w:r>
      <w:r>
        <w:rPr>
          <w:rFonts w:hint="eastAsia" w:asciiTheme="minorEastAsia" w:hAnsiTheme="minorEastAsia" w:eastAsiaTheme="minorEastAsia" w:cstheme="minorEastAsia"/>
          <w:b/>
          <w:bCs/>
          <w:color w:val="auto"/>
          <w:sz w:val="24"/>
          <w:szCs w:val="24"/>
          <w:highlight w:val="none"/>
          <w:lang w:val="en-US" w:eastAsia="zh-CN"/>
        </w:rPr>
        <w:t>合同</w:t>
      </w:r>
      <w:r>
        <w:rPr>
          <w:rFonts w:hint="eastAsia" w:asciiTheme="minorEastAsia" w:hAnsiTheme="minorEastAsia" w:eastAsiaTheme="minorEastAsia" w:cstheme="minorEastAsia"/>
          <w:b/>
          <w:bCs/>
          <w:color w:val="auto"/>
          <w:sz w:val="24"/>
          <w:szCs w:val="24"/>
          <w:highlight w:val="none"/>
        </w:rPr>
        <w:t>要求</w:t>
      </w:r>
    </w:p>
    <w:p w14:paraId="716A5DA5">
      <w:pPr>
        <w:widowControl/>
        <w:shd w:val="clear"/>
        <w:snapToGrid/>
        <w:spacing w:before="0" w:beforeAutospacing="0" w:after="0" w:afterAutospacing="0" w:line="360" w:lineRule="auto"/>
        <w:ind w:firstLine="482"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1.项目名称</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kern w:val="2"/>
          <w:sz w:val="24"/>
          <w:szCs w:val="24"/>
          <w:highlight w:val="none"/>
          <w:u w:val="none"/>
          <w:lang w:eastAsia="zh-CN"/>
        </w:rPr>
        <w:t>连城县闽江九龙江（连城段）水环境综合治理工程（一期）可研及初设编制服务</w:t>
      </w:r>
    </w:p>
    <w:p w14:paraId="73FA4BB3">
      <w:pPr>
        <w:widowControl/>
        <w:shd w:val="clear"/>
        <w:snapToGrid/>
        <w:spacing w:before="0" w:beforeAutospacing="0" w:after="0" w:afterAutospacing="0" w:line="360" w:lineRule="auto"/>
        <w:ind w:firstLine="482" w:firstLineChars="200"/>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2.可研及初设编制内容：</w:t>
      </w:r>
      <w:r>
        <w:rPr>
          <w:rFonts w:hint="eastAsia" w:asciiTheme="minorEastAsia" w:hAnsiTheme="minorEastAsia" w:eastAsiaTheme="minorEastAsia" w:cstheme="minorEastAsia"/>
          <w:b w:val="0"/>
          <w:bCs w:val="0"/>
          <w:color w:val="auto"/>
          <w:kern w:val="2"/>
          <w:sz w:val="24"/>
          <w:szCs w:val="24"/>
          <w:highlight w:val="none"/>
          <w:lang w:val="en-US" w:eastAsia="zh-CN" w:bidi="ar-SA"/>
        </w:rPr>
        <w:t>综合整治长度约33.4km，新建生态护岸23880m、生态沟渠9500m。</w:t>
      </w:r>
    </w:p>
    <w:p w14:paraId="4C946D4F">
      <w:pPr>
        <w:widowControl/>
        <w:shd w:val="clear"/>
        <w:snapToGrid/>
        <w:spacing w:before="0" w:beforeAutospacing="0" w:after="0" w:afterAutospacing="0" w:line="360" w:lineRule="auto"/>
        <w:ind w:firstLine="482" w:firstLineChars="200"/>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3.项目地点：</w:t>
      </w:r>
      <w:r>
        <w:rPr>
          <w:rFonts w:hint="eastAsia" w:asciiTheme="minorEastAsia" w:hAnsiTheme="minorEastAsia" w:eastAsiaTheme="minorEastAsia" w:cstheme="minorEastAsia"/>
          <w:b w:val="0"/>
          <w:bCs w:val="0"/>
          <w:color w:val="auto"/>
          <w:kern w:val="2"/>
          <w:sz w:val="24"/>
          <w:szCs w:val="24"/>
          <w:highlight w:val="none"/>
          <w:lang w:val="en-US" w:eastAsia="zh-CN" w:bidi="ar-SA"/>
        </w:rPr>
        <w:t>连城县</w:t>
      </w:r>
    </w:p>
    <w:p w14:paraId="3891BED3">
      <w:pPr>
        <w:widowControl/>
        <w:shd w:val="clear"/>
        <w:snapToGrid/>
        <w:spacing w:before="0" w:beforeAutospacing="0" w:after="0" w:afterAutospacing="0" w:line="360" w:lineRule="auto"/>
        <w:ind w:firstLine="482" w:firstLineChars="200"/>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4.最高限价：</w:t>
      </w:r>
      <w:r>
        <w:rPr>
          <w:rFonts w:hint="eastAsia" w:asciiTheme="minorEastAsia" w:hAnsiTheme="minorEastAsia" w:eastAsiaTheme="minorEastAsia" w:cstheme="minorEastAsia"/>
          <w:b w:val="0"/>
          <w:bCs w:val="0"/>
          <w:color w:val="auto"/>
          <w:kern w:val="2"/>
          <w:sz w:val="24"/>
          <w:szCs w:val="24"/>
          <w:highlight w:val="none"/>
          <w:lang w:val="en-US" w:eastAsia="zh-CN" w:bidi="ar-SA"/>
        </w:rPr>
        <w:t>本项目最高控制价为</w:t>
      </w:r>
      <w:r>
        <w:rPr>
          <w:rFonts w:hint="eastAsia" w:asciiTheme="minorEastAsia" w:hAnsiTheme="minorEastAsia" w:eastAsiaTheme="minorEastAsia" w:cstheme="minorEastAsia"/>
          <w:color w:val="auto"/>
          <w:kern w:val="2"/>
          <w:sz w:val="24"/>
          <w:szCs w:val="24"/>
          <w:highlight w:val="none"/>
          <w:u w:val="none"/>
          <w:lang w:val="en-US" w:eastAsia="zh-CN" w:bidi="ar-SA"/>
        </w:rPr>
        <w:t>15.23</w:t>
      </w:r>
      <w:r>
        <w:rPr>
          <w:rFonts w:hint="eastAsia" w:asciiTheme="minorEastAsia" w:hAnsiTheme="minorEastAsia" w:eastAsiaTheme="minorEastAsia" w:cstheme="minorEastAsia"/>
          <w:b w:val="0"/>
          <w:bCs w:val="0"/>
          <w:color w:val="auto"/>
          <w:kern w:val="2"/>
          <w:sz w:val="24"/>
          <w:szCs w:val="24"/>
          <w:highlight w:val="none"/>
          <w:lang w:val="en-US" w:eastAsia="zh-CN" w:bidi="ar-SA"/>
        </w:rPr>
        <w:t>万元（含税包干）</w:t>
      </w:r>
    </w:p>
    <w:p w14:paraId="32798AFF">
      <w:pPr>
        <w:widowControl/>
        <w:shd w:val="clear"/>
        <w:snapToGrid/>
        <w:spacing w:before="0" w:beforeAutospacing="0" w:after="0" w:afterAutospacing="0" w:line="360" w:lineRule="auto"/>
        <w:ind w:firstLine="482" w:firstLineChars="200"/>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5.竞价保证金：</w:t>
      </w:r>
      <w:r>
        <w:rPr>
          <w:rFonts w:hint="eastAsia" w:asciiTheme="minorEastAsia" w:hAnsiTheme="minorEastAsia" w:eastAsiaTheme="minorEastAsia" w:cstheme="minorEastAsia"/>
          <w:b w:val="0"/>
          <w:bCs w:val="0"/>
          <w:color w:val="auto"/>
          <w:kern w:val="2"/>
          <w:sz w:val="24"/>
          <w:szCs w:val="24"/>
          <w:highlight w:val="none"/>
          <w:lang w:val="en-US" w:eastAsia="zh-CN" w:bidi="ar-SA"/>
        </w:rPr>
        <w:t>1500元</w:t>
      </w:r>
    </w:p>
    <w:p w14:paraId="51BD66C1">
      <w:pPr>
        <w:keepNext w:val="0"/>
        <w:keepLines w:val="0"/>
        <w:widowControl/>
        <w:suppressLineNumbers w:val="0"/>
        <w:spacing w:before="75" w:beforeAutospacing="0" w:after="75" w:afterAutospacing="0" w:line="360" w:lineRule="auto"/>
        <w:ind w:right="0" w:firstLine="482" w:firstLineChars="200"/>
        <w:jc w:val="left"/>
        <w:rPr>
          <w:rFonts w:hint="eastAsia" w:asciiTheme="minorEastAsia" w:hAnsiTheme="minorEastAsia" w:eastAsiaTheme="minorEastAsia" w:cstheme="minorEastAsia"/>
          <w:color w:val="auto"/>
          <w:kern w:val="2"/>
          <w:sz w:val="24"/>
          <w:szCs w:val="24"/>
          <w:highlight w:val="none"/>
          <w:u w:val="none"/>
          <w:lang w:val="en-US" w:eastAsia="zh-CN" w:bidi="ar-SA"/>
        </w:rPr>
      </w:pPr>
      <w:r>
        <w:rPr>
          <w:rFonts w:hint="eastAsia" w:asciiTheme="minorEastAsia" w:hAnsiTheme="minorEastAsia" w:eastAsiaTheme="minorEastAsia" w:cstheme="minorEastAsia"/>
          <w:b/>
          <w:bCs/>
          <w:color w:val="auto"/>
          <w:kern w:val="2"/>
          <w:sz w:val="24"/>
          <w:szCs w:val="24"/>
          <w:highlight w:val="none"/>
          <w:u w:val="none"/>
          <w:lang w:val="en-US" w:eastAsia="zh-CN" w:bidi="ar-SA"/>
        </w:rPr>
        <w:t>6.服务期限：</w:t>
      </w:r>
      <w:r>
        <w:rPr>
          <w:rFonts w:hint="eastAsia" w:asciiTheme="minorEastAsia" w:hAnsiTheme="minorEastAsia" w:eastAsiaTheme="minorEastAsia" w:cstheme="minorEastAsia"/>
          <w:color w:val="auto"/>
          <w:kern w:val="2"/>
          <w:sz w:val="24"/>
          <w:szCs w:val="24"/>
          <w:highlight w:val="none"/>
          <w:u w:val="none"/>
          <w:lang w:val="en-US" w:eastAsia="zh-CN" w:bidi="ar-SA"/>
        </w:rPr>
        <w:t>在收到可研及初设编制业务通知后必须尽快与委托人对接，并于合同签订之日起30日历天内完成可研及初设编制</w:t>
      </w:r>
    </w:p>
    <w:p w14:paraId="4948EF36">
      <w:pPr>
        <w:keepNext w:val="0"/>
        <w:keepLines w:val="0"/>
        <w:widowControl/>
        <w:suppressLineNumbers w:val="0"/>
        <w:spacing w:before="75" w:beforeAutospacing="0" w:after="75" w:afterAutospacing="0" w:line="360" w:lineRule="auto"/>
        <w:ind w:right="0" w:firstLine="482" w:firstLineChars="200"/>
        <w:jc w:val="left"/>
        <w:rPr>
          <w:rFonts w:hint="default" w:asciiTheme="minorEastAsia" w:hAnsiTheme="minorEastAsia" w:eastAsiaTheme="minorEastAsia" w:cstheme="minorEastAsia"/>
          <w:color w:val="auto"/>
          <w:kern w:val="2"/>
          <w:sz w:val="24"/>
          <w:szCs w:val="24"/>
          <w:highlight w:val="none"/>
          <w:u w:val="none"/>
          <w:lang w:val="en-US" w:eastAsia="zh-CN" w:bidi="ar-SA"/>
        </w:rPr>
      </w:pPr>
      <w:r>
        <w:rPr>
          <w:rFonts w:hint="eastAsia" w:asciiTheme="minorEastAsia" w:hAnsiTheme="minorEastAsia" w:eastAsiaTheme="minorEastAsia" w:cstheme="minorEastAsia"/>
          <w:b/>
          <w:bCs/>
          <w:color w:val="auto"/>
          <w:kern w:val="2"/>
          <w:sz w:val="24"/>
          <w:szCs w:val="24"/>
          <w:highlight w:val="none"/>
          <w:u w:val="none"/>
          <w:lang w:val="en-US" w:eastAsia="zh-CN"/>
        </w:rPr>
        <w:t>7.</w:t>
      </w:r>
      <w:r>
        <w:rPr>
          <w:rFonts w:hint="default" w:asciiTheme="minorEastAsia" w:hAnsiTheme="minorEastAsia" w:eastAsiaTheme="minorEastAsia" w:cstheme="minorEastAsia"/>
          <w:b/>
          <w:bCs/>
          <w:color w:val="auto"/>
          <w:kern w:val="2"/>
          <w:sz w:val="24"/>
          <w:szCs w:val="24"/>
          <w:highlight w:val="none"/>
          <w:u w:val="none"/>
          <w:lang w:val="en-US" w:eastAsia="zh-CN"/>
        </w:rPr>
        <w:t>验收标准：</w:t>
      </w:r>
      <w:r>
        <w:rPr>
          <w:rFonts w:hint="default" w:asciiTheme="minorEastAsia" w:hAnsiTheme="minorEastAsia" w:eastAsiaTheme="minorEastAsia" w:cstheme="minorEastAsia"/>
          <w:color w:val="auto"/>
          <w:kern w:val="2"/>
          <w:sz w:val="24"/>
          <w:szCs w:val="24"/>
          <w:highlight w:val="none"/>
          <w:u w:val="none"/>
          <w:lang w:val="en-US" w:eastAsia="zh-CN"/>
        </w:rPr>
        <w:t>符合国家有关的规范规定的编制深度并通过有关部门的审查批复</w:t>
      </w:r>
      <w:r>
        <w:rPr>
          <w:rFonts w:hint="default" w:asciiTheme="minorEastAsia" w:hAnsiTheme="minorEastAsia" w:eastAsiaTheme="minorEastAsia" w:cstheme="minorEastAsia"/>
          <w:color w:val="auto"/>
          <w:kern w:val="2"/>
          <w:sz w:val="24"/>
          <w:szCs w:val="24"/>
          <w:highlight w:val="none"/>
          <w:u w:val="none"/>
          <w:lang w:val="en-US" w:eastAsia="zh-CN" w:bidi="ar-SA"/>
        </w:rPr>
        <w:t>‌</w:t>
      </w:r>
    </w:p>
    <w:p w14:paraId="65B85319">
      <w:pPr>
        <w:widowControl/>
        <w:shd w:val="clear"/>
        <w:snapToGrid/>
        <w:spacing w:before="0" w:beforeAutospacing="0" w:after="0" w:afterAutospacing="0" w:line="360" w:lineRule="auto"/>
        <w:ind w:firstLine="482" w:firstLineChars="200"/>
        <w:rPr>
          <w:rFonts w:hint="eastAsia" w:eastAsia="宋体" w:cs="宋体"/>
          <w:b w:val="0"/>
          <w:bCs w:val="0"/>
          <w:color w:val="auto"/>
          <w:kern w:val="0"/>
          <w:sz w:val="24"/>
          <w:szCs w:val="24"/>
          <w:highlight w:val="none"/>
          <w:shd w:val="clear" w:fill="FFFFFF"/>
          <w:lang w:val="en-US" w:eastAsia="zh-CN" w:bidi="ar-SA"/>
        </w:rPr>
      </w:pPr>
      <w:r>
        <w:rPr>
          <w:rFonts w:hint="eastAsia" w:eastAsia="宋体" w:cs="宋体"/>
          <w:b/>
          <w:bCs/>
          <w:color w:val="auto"/>
          <w:kern w:val="0"/>
          <w:sz w:val="24"/>
          <w:szCs w:val="24"/>
          <w:highlight w:val="none"/>
          <w:shd w:val="clear" w:fill="FFFFFF"/>
          <w:lang w:val="en-US" w:eastAsia="zh-CN" w:bidi="ar-SA"/>
        </w:rPr>
        <w:t>8.付款方式：</w:t>
      </w:r>
      <w:r>
        <w:rPr>
          <w:rFonts w:hint="eastAsia" w:eastAsia="宋体" w:cs="宋体"/>
          <w:b w:val="0"/>
          <w:bCs w:val="0"/>
          <w:color w:val="auto"/>
          <w:kern w:val="0"/>
          <w:sz w:val="24"/>
          <w:szCs w:val="24"/>
          <w:highlight w:val="none"/>
          <w:shd w:val="clear" w:fill="FFFFFF"/>
          <w:lang w:val="en-US" w:eastAsia="zh-CN" w:bidi="ar-SA"/>
        </w:rPr>
        <w:t xml:space="preserve">由成交人提供正式可研及初设编制文件和正规增值税发票给委托人审核无误后，委托人将在15个工作日内一次性支付。  </w:t>
      </w:r>
    </w:p>
    <w:p w14:paraId="4A59BFFB">
      <w:pPr>
        <w:widowControl/>
        <w:shd w:val="clear"/>
        <w:snapToGrid/>
        <w:spacing w:before="0" w:beforeAutospacing="0" w:after="0" w:afterAutospacing="0" w:line="360" w:lineRule="auto"/>
        <w:ind w:firstLine="482" w:firstLineChars="200"/>
        <w:rPr>
          <w:rFonts w:hint="default" w:ascii="宋体" w:hAnsi="宋体" w:eastAsia="宋体" w:cs="宋体"/>
          <w:b w:val="0"/>
          <w:bCs w:val="0"/>
          <w:color w:val="auto"/>
          <w:kern w:val="0"/>
          <w:sz w:val="24"/>
          <w:szCs w:val="24"/>
          <w:highlight w:val="none"/>
          <w:shd w:val="clear" w:color="auto" w:fill="FFFFFF"/>
          <w:lang w:val="en-US" w:eastAsia="zh-CN" w:bidi="ar-SA"/>
        </w:rPr>
      </w:pPr>
      <w:r>
        <w:rPr>
          <w:rFonts w:hint="eastAsia" w:ascii="宋体" w:hAnsi="宋体" w:eastAsia="宋体" w:cs="宋体"/>
          <w:b/>
          <w:bCs/>
          <w:color w:val="auto"/>
          <w:kern w:val="0"/>
          <w:sz w:val="24"/>
          <w:szCs w:val="24"/>
          <w:highlight w:val="none"/>
          <w:shd w:val="clear" w:color="auto" w:fill="FFFFFF"/>
          <w:lang w:val="en-US" w:eastAsia="zh-CN" w:bidi="ar-SA"/>
        </w:rPr>
        <w:t>9.特别提示：</w:t>
      </w:r>
      <w:r>
        <w:rPr>
          <w:rFonts w:hint="eastAsia" w:asciiTheme="minorEastAsia" w:hAnsiTheme="minorEastAsia" w:eastAsiaTheme="minorEastAsia" w:cstheme="minorEastAsia"/>
          <w:b w:val="0"/>
          <w:color w:val="auto"/>
          <w:kern w:val="2"/>
          <w:sz w:val="24"/>
          <w:szCs w:val="24"/>
          <w:highlight w:val="none"/>
          <w:u w:val="none"/>
          <w:lang w:val="en-US" w:eastAsia="zh-CN" w:bidi="ar-SA"/>
        </w:rPr>
        <w:t>本项目不集中组织现场踏勘，竞价人可根据本公告所提供的内容要求自行踏勘现场（相关责任由竞价人自行承担），竞价人对本次供货内容应有充分认识，自行判断能够完成本项目所需的费用。中标价含税费、服务费、文印费、差旅费、交通费、住宿费等所有相关费用，成交人不得以实际情况与现场不一致而要求采购人给予补偿。</w:t>
      </w:r>
    </w:p>
    <w:p w14:paraId="32943283">
      <w:pPr>
        <w:spacing w:line="360" w:lineRule="auto"/>
        <w:ind w:firstLine="482" w:firstLineChars="200"/>
        <w:rPr>
          <w:rFonts w:hint="eastAsia" w:asciiTheme="minorEastAsia" w:hAnsiTheme="minorEastAsia" w:eastAsiaTheme="minorEastAsia" w:cstheme="minorEastAsia"/>
          <w:b/>
          <w:bCs/>
          <w:color w:val="auto"/>
          <w:kern w:val="2"/>
          <w:sz w:val="24"/>
          <w:szCs w:val="24"/>
          <w:highlight w:val="none"/>
          <w:shd w:val="clear"/>
        </w:rPr>
      </w:pPr>
      <w:r>
        <w:rPr>
          <w:rFonts w:hint="eastAsia" w:asciiTheme="minorEastAsia" w:hAnsiTheme="minorEastAsia" w:eastAsiaTheme="minorEastAsia" w:cstheme="minorEastAsia"/>
          <w:b/>
          <w:bCs/>
          <w:color w:val="auto"/>
          <w:kern w:val="2"/>
          <w:sz w:val="24"/>
          <w:szCs w:val="24"/>
          <w:highlight w:val="none"/>
          <w:shd w:val="clear"/>
        </w:rPr>
        <w:t>三、竞价资格</w:t>
      </w:r>
    </w:p>
    <w:p w14:paraId="3D2A62CE">
      <w:pPr>
        <w:widowControl/>
        <w:snapToGrid w:val="0"/>
        <w:spacing w:line="360" w:lineRule="auto"/>
        <w:ind w:left="14"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 xml:space="preserve">1. </w:t>
      </w:r>
      <w:r>
        <w:rPr>
          <w:rFonts w:hint="eastAsia" w:asciiTheme="minorEastAsia" w:hAnsiTheme="minorEastAsia" w:eastAsiaTheme="minorEastAsia" w:cstheme="minorEastAsia"/>
          <w:color w:val="auto"/>
          <w:kern w:val="2"/>
          <w:sz w:val="24"/>
          <w:szCs w:val="24"/>
          <w:highlight w:val="none"/>
          <w:u w:val="none"/>
          <w:lang w:val="en-US" w:eastAsia="zh-CN" w:bidi="ar-SA"/>
        </w:rPr>
        <w:t>竞价人必须遵守中华人民共和国法律、法规，具有独立法人资格的国内企业（失信被执行人除外）；</w:t>
      </w:r>
    </w:p>
    <w:p w14:paraId="72E07328">
      <w:pPr>
        <w:widowControl/>
        <w:snapToGrid w:val="0"/>
        <w:spacing w:line="360" w:lineRule="auto"/>
        <w:ind w:left="14" w:firstLine="480" w:firstLineChars="200"/>
        <w:rPr>
          <w:rFonts w:hint="eastAsia" w:asciiTheme="minorEastAsia" w:hAnsiTheme="minorEastAsia" w:eastAsiaTheme="minorEastAsia" w:cstheme="minorEastAsia"/>
          <w:color w:val="auto"/>
          <w:kern w:val="2"/>
          <w:sz w:val="24"/>
          <w:szCs w:val="24"/>
          <w:highlight w:val="none"/>
          <w:u w:val="none"/>
          <w:lang w:val="en-US" w:eastAsia="zh-CN" w:bidi="ar-SA"/>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kern w:val="2"/>
          <w:sz w:val="24"/>
          <w:szCs w:val="24"/>
          <w:highlight w:val="none"/>
          <w:u w:val="none"/>
          <w:lang w:val="en-US" w:eastAsia="zh-CN" w:bidi="ar-SA"/>
        </w:rPr>
        <w:t>竞价人必须具有履行合同所需的能力；</w:t>
      </w:r>
    </w:p>
    <w:p w14:paraId="1D0484A8">
      <w:pPr>
        <w:widowControl/>
        <w:snapToGrid w:val="0"/>
        <w:spacing w:line="360" w:lineRule="auto"/>
        <w:ind w:left="14"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kern w:val="2"/>
          <w:sz w:val="24"/>
          <w:szCs w:val="24"/>
          <w:highlight w:val="none"/>
          <w:u w:val="none"/>
          <w:lang w:val="en-US" w:eastAsia="zh-CN" w:bidi="ar-SA"/>
        </w:rPr>
        <w:t>3.竞价人必须是委托人邀请的单位；</w:t>
      </w:r>
    </w:p>
    <w:p w14:paraId="54050C7E">
      <w:pPr>
        <w:widowControl w:val="0"/>
        <w:overflowPunct w:val="0"/>
        <w:autoSpaceDE w:val="0"/>
        <w:autoSpaceDN w:val="0"/>
        <w:adjustRightInd w:val="0"/>
        <w:jc w:val="both"/>
        <w:textAlignment w:val="baseline"/>
        <w:rPr>
          <w:rFonts w:hint="default" w:ascii="Calibri" w:hAnsi="Calibri" w:eastAsia="宋体" w:cs="Arial"/>
          <w:color w:val="auto"/>
          <w:kern w:val="28"/>
          <w:sz w:val="21"/>
          <w:szCs w:val="20"/>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 xml:space="preserve">    4.</w:t>
      </w:r>
      <w:r>
        <w:rPr>
          <w:rFonts w:hint="eastAsia" w:asciiTheme="minorEastAsia" w:hAnsiTheme="minorEastAsia" w:eastAsiaTheme="minorEastAsia" w:cstheme="minorEastAsia"/>
          <w:color w:val="auto"/>
          <w:kern w:val="2"/>
          <w:sz w:val="24"/>
          <w:szCs w:val="24"/>
          <w:highlight w:val="none"/>
          <w:u w:val="none"/>
          <w:lang w:val="en-US" w:eastAsia="zh-CN" w:bidi="ar-SA"/>
        </w:rPr>
        <w:t>竞价人必须具备建设行政主管部门核发的工程设计综合甲级资质或水利行业乙级及以上资质；</w:t>
      </w:r>
    </w:p>
    <w:p w14:paraId="5BDBBCD7">
      <w:pPr>
        <w:widowControl/>
        <w:snapToGrid w:val="0"/>
        <w:spacing w:line="360" w:lineRule="auto"/>
        <w:ind w:left="14"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竞价资格（及限制性条件）认定由竞价人自行审查,因此产生委托人不予签定合同及其它一切后果由竞价人自行负责。竞价人提供虚假材料或资质不符合条件的，视为恶意竞价，保证金不予退回，按违约处理，委托人可另行选取服务供应商。</w:t>
      </w:r>
    </w:p>
    <w:p w14:paraId="1F0DF9E6">
      <w:pPr>
        <w:spacing w:line="360" w:lineRule="auto"/>
        <w:ind w:firstLine="482" w:firstLineChars="200"/>
        <w:rPr>
          <w:rFonts w:hint="eastAsia" w:asciiTheme="minorEastAsia" w:hAnsiTheme="minorEastAsia" w:eastAsiaTheme="minorEastAsia" w:cstheme="minorEastAsia"/>
          <w:b/>
          <w:bCs/>
          <w:color w:val="auto"/>
          <w:sz w:val="24"/>
          <w:szCs w:val="24"/>
          <w:highlight w:val="none"/>
          <w:shd w:val="clear"/>
        </w:rPr>
      </w:pPr>
      <w:r>
        <w:rPr>
          <w:rFonts w:hint="eastAsia" w:asciiTheme="minorEastAsia" w:hAnsiTheme="minorEastAsia" w:eastAsiaTheme="minorEastAsia" w:cstheme="minorEastAsia"/>
          <w:b/>
          <w:bCs/>
          <w:color w:val="auto"/>
          <w:sz w:val="24"/>
          <w:szCs w:val="24"/>
          <w:highlight w:val="none"/>
          <w:shd w:val="clear"/>
        </w:rPr>
        <w:t>四、竞价保证金</w:t>
      </w:r>
    </w:p>
    <w:p w14:paraId="2005A934">
      <w:pPr>
        <w:spacing w:line="360" w:lineRule="auto"/>
        <w:ind w:firstLine="480" w:firstLineChars="200"/>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color w:val="auto"/>
          <w:sz w:val="24"/>
          <w:szCs w:val="24"/>
          <w:highlight w:val="none"/>
          <w:shd w:val="clear"/>
        </w:rPr>
        <w:t>1.保证金</w:t>
      </w:r>
      <w:r>
        <w:rPr>
          <w:rFonts w:hint="eastAsia" w:asciiTheme="minorEastAsia" w:hAnsiTheme="minorEastAsia" w:eastAsiaTheme="minorEastAsia" w:cstheme="minorEastAsia"/>
          <w:color w:val="auto"/>
          <w:sz w:val="24"/>
          <w:szCs w:val="24"/>
          <w:highlight w:val="none"/>
          <w:shd w:val="clear"/>
          <w:lang w:val="en-US" w:eastAsia="zh-CN"/>
        </w:rPr>
        <w:t>1500</w:t>
      </w:r>
      <w:r>
        <w:rPr>
          <w:rFonts w:hint="eastAsia" w:asciiTheme="minorEastAsia" w:hAnsiTheme="minorEastAsia" w:eastAsiaTheme="minorEastAsia" w:cstheme="minorEastAsia"/>
          <w:color w:val="auto"/>
          <w:sz w:val="24"/>
          <w:szCs w:val="24"/>
          <w:highlight w:val="none"/>
          <w:shd w:val="clear"/>
        </w:rPr>
        <w:t>元，必须于2026年</w:t>
      </w:r>
      <w:r>
        <w:rPr>
          <w:rFonts w:hint="eastAsia" w:asciiTheme="minorEastAsia" w:hAnsiTheme="minorEastAsia" w:eastAsiaTheme="minorEastAsia" w:cstheme="minorEastAsia"/>
          <w:color w:val="auto"/>
          <w:sz w:val="24"/>
          <w:szCs w:val="24"/>
          <w:highlight w:val="none"/>
          <w:shd w:val="clear"/>
          <w:lang w:val="en-US" w:eastAsia="zh-CN"/>
        </w:rPr>
        <w:t>4月29日</w:t>
      </w:r>
      <w:r>
        <w:rPr>
          <w:rFonts w:hint="eastAsia" w:asciiTheme="minorEastAsia" w:hAnsiTheme="minorEastAsia" w:eastAsiaTheme="minorEastAsia" w:cstheme="minorEastAsia"/>
          <w:color w:val="auto"/>
          <w:sz w:val="24"/>
          <w:szCs w:val="24"/>
          <w:highlight w:val="none"/>
          <w:shd w:val="clear"/>
        </w:rPr>
        <w:t>上午10：00前汇到本公司指定账户（户名：连城县国有资产产权交易服务有限公司，开户行：中国银行连城支行，账号：4286 8871 8902）报名参加的竞价人与缴交竞价保证金的名称要一致。竞价保证金缴至以上账户时，交款单中“款项来源”或“用途”一栏内须填写“****</w:t>
      </w:r>
      <w:r>
        <w:rPr>
          <w:rFonts w:hint="eastAsia" w:asciiTheme="minorEastAsia" w:hAnsiTheme="minorEastAsia" w:eastAsiaTheme="minorEastAsia" w:cstheme="minorEastAsia"/>
          <w:color w:val="auto"/>
          <w:sz w:val="24"/>
          <w:szCs w:val="24"/>
          <w:highlight w:val="none"/>
          <w:shd w:val="clear"/>
          <w:lang w:val="en-US" w:eastAsia="zh-CN"/>
        </w:rPr>
        <w:t>项目</w:t>
      </w:r>
      <w:bookmarkStart w:id="0" w:name="_GoBack"/>
      <w:bookmarkEnd w:id="0"/>
      <w:r>
        <w:rPr>
          <w:rFonts w:hint="eastAsia" w:asciiTheme="minorEastAsia" w:hAnsiTheme="minorEastAsia" w:eastAsiaTheme="minorEastAsia" w:cstheme="minorEastAsia"/>
          <w:color w:val="auto"/>
          <w:sz w:val="24"/>
          <w:szCs w:val="24"/>
          <w:highlight w:val="none"/>
          <w:shd w:val="clear"/>
        </w:rPr>
        <w:t xml:space="preserve">的竞价保证金”。 </w:t>
      </w:r>
    </w:p>
    <w:p w14:paraId="17C1A2F4">
      <w:pPr>
        <w:snapToGrid/>
        <w:spacing w:line="360" w:lineRule="auto"/>
        <w:ind w:firstLine="480" w:firstLineChars="200"/>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color w:val="auto"/>
          <w:sz w:val="24"/>
          <w:szCs w:val="24"/>
          <w:highlight w:val="none"/>
          <w:shd w:val="clear"/>
        </w:rPr>
        <w:t>2.竞价成交后，成交人必须在成交之日起3个工作日内与本公司签订《竞价结果通知书》，并在签订《竞价结果通知书》之日起3个工作日内向委托人提供《</w:t>
      </w:r>
      <w:r>
        <w:rPr>
          <w:rFonts w:hint="eastAsia" w:asciiTheme="minorEastAsia" w:hAnsiTheme="minorEastAsia" w:eastAsiaTheme="minorEastAsia" w:cstheme="minorEastAsia"/>
          <w:color w:val="auto"/>
          <w:sz w:val="24"/>
          <w:szCs w:val="24"/>
          <w:highlight w:val="none"/>
          <w:shd w:val="clear"/>
          <w:lang w:val="en-US" w:eastAsia="zh-CN"/>
        </w:rPr>
        <w:t>供货合同</w:t>
      </w:r>
      <w:r>
        <w:rPr>
          <w:rFonts w:hint="eastAsia" w:asciiTheme="minorEastAsia" w:hAnsiTheme="minorEastAsia" w:eastAsiaTheme="minorEastAsia" w:cstheme="minorEastAsia"/>
          <w:color w:val="auto"/>
          <w:sz w:val="24"/>
          <w:szCs w:val="24"/>
          <w:highlight w:val="none"/>
          <w:shd w:val="clear"/>
        </w:rPr>
        <w:t>》，由委托人经过相应审批程序后签订。</w:t>
      </w:r>
    </w:p>
    <w:p w14:paraId="78A32631">
      <w:pPr>
        <w:snapToGrid/>
        <w:spacing w:line="360" w:lineRule="auto"/>
        <w:ind w:firstLine="480" w:firstLineChars="200"/>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color w:val="auto"/>
          <w:sz w:val="24"/>
          <w:szCs w:val="24"/>
          <w:highlight w:val="none"/>
          <w:shd w:val="clear"/>
        </w:rPr>
        <w:t>3.成交人的竞价保证金可以直接抵作交易服务费，如有剩余，在成交人与委托人签订《</w:t>
      </w:r>
      <w:r>
        <w:rPr>
          <w:rFonts w:hint="eastAsia" w:asciiTheme="minorEastAsia" w:hAnsiTheme="minorEastAsia" w:eastAsiaTheme="minorEastAsia" w:cstheme="minorEastAsia"/>
          <w:color w:val="auto"/>
          <w:sz w:val="24"/>
          <w:szCs w:val="24"/>
          <w:highlight w:val="none"/>
          <w:shd w:val="clear"/>
          <w:lang w:val="en-US" w:eastAsia="zh-CN"/>
        </w:rPr>
        <w:t>供货合同</w:t>
      </w:r>
      <w:r>
        <w:rPr>
          <w:rFonts w:hint="eastAsia" w:asciiTheme="minorEastAsia" w:hAnsiTheme="minorEastAsia" w:eastAsiaTheme="minorEastAsia" w:cstheme="minorEastAsia"/>
          <w:color w:val="auto"/>
          <w:sz w:val="24"/>
          <w:szCs w:val="24"/>
          <w:highlight w:val="none"/>
          <w:shd w:val="clear"/>
        </w:rPr>
        <w:t>》后</w:t>
      </w:r>
      <w:r>
        <w:rPr>
          <w:rFonts w:hint="eastAsia" w:asciiTheme="minorEastAsia" w:hAnsiTheme="minorEastAsia" w:eastAsiaTheme="minorEastAsia" w:cstheme="minorEastAsia"/>
          <w:color w:val="auto"/>
          <w:kern w:val="2"/>
          <w:sz w:val="24"/>
          <w:szCs w:val="24"/>
          <w:highlight w:val="none"/>
          <w:shd w:val="clear"/>
          <w:lang w:val="en-US" w:eastAsia="zh-CN"/>
        </w:rPr>
        <w:t>10</w:t>
      </w:r>
      <w:r>
        <w:rPr>
          <w:rFonts w:hint="eastAsia" w:asciiTheme="minorEastAsia" w:hAnsiTheme="minorEastAsia" w:eastAsiaTheme="minorEastAsia" w:cstheme="minorEastAsia"/>
          <w:color w:val="auto"/>
          <w:sz w:val="24"/>
          <w:szCs w:val="24"/>
          <w:highlight w:val="none"/>
          <w:shd w:val="clear"/>
        </w:rPr>
        <w:t>个工作日内一次性无息退回。</w:t>
      </w:r>
    </w:p>
    <w:p w14:paraId="228C69BF">
      <w:pPr>
        <w:snapToGrid/>
        <w:spacing w:line="360" w:lineRule="auto"/>
        <w:ind w:firstLine="480" w:firstLineChars="200"/>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color w:val="auto"/>
          <w:sz w:val="24"/>
          <w:szCs w:val="24"/>
          <w:highlight w:val="none"/>
          <w:shd w:val="clear"/>
        </w:rPr>
        <w:t>4.未成交人的保证金，在竞价结束后</w:t>
      </w:r>
      <w:r>
        <w:rPr>
          <w:rFonts w:hint="eastAsia" w:asciiTheme="minorEastAsia" w:hAnsiTheme="minorEastAsia" w:eastAsiaTheme="minorEastAsia" w:cstheme="minorEastAsia"/>
          <w:color w:val="auto"/>
          <w:kern w:val="2"/>
          <w:sz w:val="24"/>
          <w:szCs w:val="24"/>
          <w:highlight w:val="none"/>
          <w:shd w:val="clear"/>
          <w:lang w:val="en-US" w:eastAsia="zh-CN"/>
        </w:rPr>
        <w:t>10</w:t>
      </w:r>
      <w:r>
        <w:rPr>
          <w:rFonts w:hint="eastAsia" w:asciiTheme="minorEastAsia" w:hAnsiTheme="minorEastAsia" w:eastAsiaTheme="minorEastAsia" w:cstheme="minorEastAsia"/>
          <w:color w:val="auto"/>
          <w:sz w:val="24"/>
          <w:szCs w:val="24"/>
          <w:highlight w:val="none"/>
          <w:shd w:val="clear"/>
        </w:rPr>
        <w:t>个工作日内（遇法定节假日顺延）无息退回。</w:t>
      </w:r>
    </w:p>
    <w:p w14:paraId="4AEC94D3">
      <w:pPr>
        <w:widowControl/>
        <w:shd w:val="clear"/>
        <w:snapToGrid/>
        <w:spacing w:before="0" w:line="360" w:lineRule="auto"/>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五、竞价手续</w:t>
      </w:r>
    </w:p>
    <w:p w14:paraId="662A130F">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1.有意参加</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应提供如下有效证照复印件：</w:t>
      </w:r>
    </w:p>
    <w:p w14:paraId="166E78EF">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lang w:eastAsia="zh-CN"/>
        </w:rPr>
        <w:t>（</w:t>
      </w:r>
      <w:r>
        <w:rPr>
          <w:rFonts w:hint="eastAsia" w:asciiTheme="minorEastAsia" w:hAnsiTheme="minorEastAsia" w:eastAsiaTheme="minorEastAsia" w:cstheme="minorEastAsia"/>
          <w:color w:val="auto"/>
          <w:kern w:val="2"/>
          <w:sz w:val="24"/>
          <w:szCs w:val="24"/>
          <w:highlight w:val="none"/>
          <w:shd w:val="clear"/>
        </w:rPr>
        <w:t>1</w:t>
      </w:r>
      <w:r>
        <w:rPr>
          <w:rFonts w:hint="eastAsia" w:asciiTheme="minorEastAsia" w:hAnsiTheme="minorEastAsia" w:eastAsiaTheme="minorEastAsia" w:cstheme="minorEastAsia"/>
          <w:color w:val="auto"/>
          <w:kern w:val="2"/>
          <w:sz w:val="24"/>
          <w:szCs w:val="24"/>
          <w:highlight w:val="none"/>
          <w:shd w:val="clear"/>
          <w:lang w:eastAsia="zh-CN"/>
        </w:rPr>
        <w:t>）</w:t>
      </w:r>
      <w:r>
        <w:rPr>
          <w:rFonts w:hint="eastAsia" w:asciiTheme="minorEastAsia" w:hAnsiTheme="minorEastAsia" w:eastAsiaTheme="minorEastAsia" w:cstheme="minorEastAsia"/>
          <w:color w:val="auto"/>
          <w:kern w:val="2"/>
          <w:sz w:val="24"/>
          <w:szCs w:val="24"/>
          <w:highlight w:val="none"/>
          <w:shd w:val="clear"/>
        </w:rPr>
        <w:t>营业执照副本、法定代表人或单位负责人身份证复印件；</w:t>
      </w:r>
    </w:p>
    <w:p w14:paraId="487251C9">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lang w:eastAsia="zh-CN"/>
        </w:rPr>
      </w:pPr>
      <w:r>
        <w:rPr>
          <w:rFonts w:hint="eastAsia" w:asciiTheme="minorEastAsia" w:hAnsiTheme="minorEastAsia" w:eastAsiaTheme="minorEastAsia" w:cstheme="minorEastAsia"/>
          <w:color w:val="auto"/>
          <w:kern w:val="2"/>
          <w:sz w:val="24"/>
          <w:szCs w:val="24"/>
          <w:highlight w:val="none"/>
          <w:shd w:val="clear"/>
          <w:lang w:eastAsia="zh-CN"/>
        </w:rPr>
        <w:t>（</w:t>
      </w:r>
      <w:r>
        <w:rPr>
          <w:rFonts w:hint="eastAsia" w:asciiTheme="minorEastAsia" w:hAnsiTheme="minorEastAsia" w:eastAsiaTheme="minorEastAsia" w:cstheme="minorEastAsia"/>
          <w:color w:val="auto"/>
          <w:kern w:val="2"/>
          <w:sz w:val="24"/>
          <w:szCs w:val="24"/>
          <w:highlight w:val="none"/>
          <w:shd w:val="clear"/>
        </w:rPr>
        <w:t>2</w:t>
      </w:r>
      <w:r>
        <w:rPr>
          <w:rFonts w:hint="eastAsia" w:asciiTheme="minorEastAsia" w:hAnsiTheme="minorEastAsia" w:eastAsiaTheme="minorEastAsia" w:cstheme="minorEastAsia"/>
          <w:color w:val="auto"/>
          <w:kern w:val="2"/>
          <w:sz w:val="24"/>
          <w:szCs w:val="24"/>
          <w:highlight w:val="none"/>
          <w:shd w:val="clear"/>
          <w:lang w:eastAsia="zh-CN"/>
        </w:rPr>
        <w:t>）</w:t>
      </w:r>
      <w:r>
        <w:rPr>
          <w:rFonts w:hint="eastAsia" w:asciiTheme="minorEastAsia" w:hAnsiTheme="minorEastAsia" w:eastAsiaTheme="minorEastAsia" w:cstheme="minorEastAsia"/>
          <w:color w:val="auto"/>
          <w:sz w:val="24"/>
          <w:szCs w:val="24"/>
          <w:highlight w:val="none"/>
          <w:lang w:val="en-US" w:eastAsia="zh-CN"/>
        </w:rPr>
        <w:t>建设行政主管部门核发的工程设计综合甲级资质或水利行业乙级及以上资质复印件；</w:t>
      </w:r>
    </w:p>
    <w:p w14:paraId="7BA8D679">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lang w:eastAsia="zh-CN"/>
        </w:rPr>
      </w:pPr>
      <w:r>
        <w:rPr>
          <w:rFonts w:hint="eastAsia" w:asciiTheme="minorEastAsia" w:hAnsiTheme="minorEastAsia" w:eastAsiaTheme="minorEastAsia" w:cstheme="minorEastAsia"/>
          <w:color w:val="auto"/>
          <w:kern w:val="2"/>
          <w:sz w:val="24"/>
          <w:szCs w:val="24"/>
          <w:highlight w:val="none"/>
          <w:shd w:val="clear"/>
          <w:lang w:val="en-US" w:eastAsia="zh-CN"/>
        </w:rPr>
        <w:t>（3）签订完整的承诺书；</w:t>
      </w:r>
    </w:p>
    <w:p w14:paraId="5CAD2D4B">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lang w:val="en-US" w:eastAsia="zh-CN"/>
        </w:rPr>
      </w:pPr>
      <w:r>
        <w:rPr>
          <w:rFonts w:hint="eastAsia" w:asciiTheme="minorEastAsia" w:hAnsiTheme="minorEastAsia" w:eastAsiaTheme="minorEastAsia" w:cstheme="minorEastAsia"/>
          <w:color w:val="auto"/>
          <w:kern w:val="2"/>
          <w:sz w:val="24"/>
          <w:szCs w:val="24"/>
          <w:highlight w:val="none"/>
          <w:shd w:val="clear"/>
          <w:lang w:eastAsia="zh-CN"/>
        </w:rPr>
        <w:t>（</w:t>
      </w:r>
      <w:r>
        <w:rPr>
          <w:rFonts w:hint="eastAsia" w:asciiTheme="minorEastAsia" w:hAnsiTheme="minorEastAsia" w:eastAsiaTheme="minorEastAsia" w:cstheme="minorEastAsia"/>
          <w:color w:val="auto"/>
          <w:kern w:val="2"/>
          <w:sz w:val="24"/>
          <w:szCs w:val="24"/>
          <w:highlight w:val="none"/>
          <w:shd w:val="clear"/>
          <w:lang w:val="en-US" w:eastAsia="zh-CN"/>
        </w:rPr>
        <w:t>4</w:t>
      </w:r>
      <w:r>
        <w:rPr>
          <w:rFonts w:hint="eastAsia" w:asciiTheme="minorEastAsia" w:hAnsiTheme="minorEastAsia" w:eastAsiaTheme="minorEastAsia" w:cstheme="minorEastAsia"/>
          <w:color w:val="auto"/>
          <w:kern w:val="2"/>
          <w:sz w:val="24"/>
          <w:szCs w:val="24"/>
          <w:highlight w:val="none"/>
          <w:shd w:val="clear"/>
          <w:lang w:eastAsia="zh-CN"/>
        </w:rPr>
        <w:t>）</w:t>
      </w:r>
      <w:r>
        <w:rPr>
          <w:rFonts w:hint="eastAsia" w:asciiTheme="minorEastAsia" w:hAnsiTheme="minorEastAsia" w:eastAsiaTheme="minorEastAsia" w:cstheme="minorEastAsia"/>
          <w:color w:val="auto"/>
          <w:kern w:val="2"/>
          <w:sz w:val="24"/>
          <w:szCs w:val="24"/>
          <w:highlight w:val="none"/>
          <w:shd w:val="clear"/>
        </w:rPr>
        <w:t>已缴纳的竞价保证金凭证</w:t>
      </w:r>
      <w:r>
        <w:rPr>
          <w:rFonts w:hint="eastAsia" w:asciiTheme="minorEastAsia" w:hAnsiTheme="minorEastAsia" w:eastAsiaTheme="minorEastAsia" w:cstheme="minorEastAsia"/>
          <w:color w:val="auto"/>
          <w:kern w:val="2"/>
          <w:sz w:val="24"/>
          <w:szCs w:val="24"/>
          <w:highlight w:val="none"/>
          <w:shd w:val="clear"/>
          <w:lang w:eastAsia="zh-CN"/>
        </w:rPr>
        <w:t>；</w:t>
      </w:r>
    </w:p>
    <w:p w14:paraId="75F1CD24">
      <w:pPr>
        <w:widowControl/>
        <w:shd w:val="clear"/>
        <w:snapToGrid/>
        <w:spacing w:before="0" w:line="360" w:lineRule="auto"/>
        <w:ind w:left="0"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shd w:val="clear"/>
          <w:lang w:val="en-US" w:eastAsia="zh-CN"/>
        </w:rPr>
        <w:t>（5）</w:t>
      </w:r>
      <w:r>
        <w:rPr>
          <w:rFonts w:hint="eastAsia" w:asciiTheme="minorEastAsia" w:hAnsiTheme="minorEastAsia" w:eastAsiaTheme="minorEastAsia" w:cstheme="minorEastAsia"/>
          <w:color w:val="auto"/>
          <w:sz w:val="24"/>
          <w:szCs w:val="24"/>
          <w:highlight w:val="none"/>
          <w:lang w:val="en-US" w:eastAsia="zh-CN"/>
        </w:rPr>
        <w:t>在参加本次采购活动前3年内在经营活动中没有重大违法记录的书面声明（格式自拟）；</w:t>
      </w:r>
    </w:p>
    <w:p w14:paraId="20B560CC">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lang w:val="en-US" w:eastAsia="zh-CN"/>
        </w:rPr>
      </w:pPr>
      <w:r>
        <w:rPr>
          <w:rFonts w:hint="eastAsia" w:asciiTheme="minorEastAsia" w:hAnsiTheme="minorEastAsia" w:eastAsiaTheme="minorEastAsia" w:cstheme="minorEastAsia"/>
          <w:color w:val="auto"/>
          <w:sz w:val="24"/>
          <w:szCs w:val="24"/>
          <w:highlight w:val="none"/>
          <w:lang w:val="en-US" w:eastAsia="zh-CN"/>
        </w:rPr>
        <w:t>（6）通过“信用中国”网（www.creditchina.gov.cn）或中国政府采购网（www.ccgp.gov.cn）信用信息查询无严重违法失信行为信息记录的打印件（或截图）；</w:t>
      </w:r>
    </w:p>
    <w:p w14:paraId="212A2571">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如</w:t>
      </w:r>
      <w:r>
        <w:rPr>
          <w:rFonts w:hint="eastAsia" w:asciiTheme="minorEastAsia" w:hAnsiTheme="minorEastAsia" w:eastAsiaTheme="minorEastAsia" w:cstheme="minorEastAsia"/>
          <w:color w:val="auto"/>
          <w:kern w:val="2"/>
          <w:sz w:val="24"/>
          <w:szCs w:val="24"/>
          <w:highlight w:val="none"/>
          <w:shd w:val="clear"/>
          <w:lang w:eastAsia="zh-CN"/>
        </w:rPr>
        <w:t>法定代表人或单位负责人</w:t>
      </w:r>
      <w:r>
        <w:rPr>
          <w:rFonts w:hint="eastAsia" w:asciiTheme="minorEastAsia" w:hAnsiTheme="minorEastAsia" w:eastAsiaTheme="minorEastAsia" w:cstheme="minorEastAsia"/>
          <w:color w:val="auto"/>
          <w:kern w:val="2"/>
          <w:sz w:val="24"/>
          <w:szCs w:val="24"/>
          <w:highlight w:val="none"/>
          <w:shd w:val="clear"/>
        </w:rPr>
        <w:t>无法亲自到现场办理竞价手续的，应提供《授权委托书》原件和委托代理人身份证复印件。</w:t>
      </w:r>
    </w:p>
    <w:p w14:paraId="58E82B18">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以上材料复印件</w:t>
      </w:r>
      <w:r>
        <w:rPr>
          <w:rFonts w:hint="eastAsia" w:asciiTheme="minorEastAsia" w:hAnsiTheme="minorEastAsia" w:eastAsiaTheme="minorEastAsia" w:cstheme="minorEastAsia"/>
          <w:color w:val="auto"/>
          <w:kern w:val="2"/>
          <w:sz w:val="24"/>
          <w:szCs w:val="24"/>
          <w:highlight w:val="none"/>
          <w:shd w:val="clear"/>
          <w:lang w:val="en-US" w:eastAsia="zh-CN"/>
        </w:rPr>
        <w:t>需</w:t>
      </w:r>
      <w:r>
        <w:rPr>
          <w:rFonts w:hint="eastAsia" w:asciiTheme="minorEastAsia" w:hAnsiTheme="minorEastAsia" w:eastAsiaTheme="minorEastAsia" w:cstheme="minorEastAsia"/>
          <w:color w:val="auto"/>
          <w:kern w:val="2"/>
          <w:sz w:val="24"/>
          <w:szCs w:val="24"/>
          <w:highlight w:val="none"/>
          <w:shd w:val="clear"/>
        </w:rPr>
        <w:t>加盖公章。</w:t>
      </w:r>
    </w:p>
    <w:p w14:paraId="5888C7E3">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2.报名方式</w:t>
      </w:r>
    </w:p>
    <w:p w14:paraId="5846C3E8">
      <w:pPr>
        <w:widowControl/>
        <w:shd w:val="clear"/>
        <w:snapToGrid/>
        <w:spacing w:before="0" w:line="360" w:lineRule="auto"/>
        <w:ind w:left="0" w:firstLine="482" w:firstLineChars="200"/>
        <w:rPr>
          <w:rFonts w:hint="eastAsia" w:asciiTheme="minorEastAsia" w:hAnsiTheme="minorEastAsia" w:eastAsiaTheme="minorEastAsia" w:cstheme="minorEastAsia"/>
          <w:b/>
          <w:bCs/>
          <w:color w:val="auto"/>
          <w:kern w:val="2"/>
          <w:sz w:val="24"/>
          <w:szCs w:val="24"/>
          <w:highlight w:val="none"/>
          <w:shd w:val="clear"/>
          <w:lang w:val="en-US" w:eastAsia="zh-CN"/>
        </w:rPr>
      </w:pPr>
      <w:r>
        <w:rPr>
          <w:rFonts w:hint="eastAsia" w:asciiTheme="minorEastAsia" w:hAnsiTheme="minorEastAsia" w:eastAsiaTheme="minorEastAsia" w:cstheme="minorEastAsia"/>
          <w:b/>
          <w:bCs/>
          <w:color w:val="auto"/>
          <w:kern w:val="2"/>
          <w:sz w:val="24"/>
          <w:szCs w:val="24"/>
          <w:highlight w:val="none"/>
          <w:shd w:val="clear"/>
        </w:rPr>
        <w:t>参与本次竞价会的竞价人须在规定时间前缴纳竞价保证金，登录连城县招标投标交易平台办理竞价登记手续并需支付平台使用费100元，并将报名资料上传至交易平台（https://lcyjy.enjoy5191.com/home）。若因系统原因无法上传报名材料，可通过现场递交或邮件（邮箱地址:lccqjyw20251@163.com）的方式提交。</w:t>
      </w:r>
      <w:r>
        <w:rPr>
          <w:rFonts w:hint="eastAsia" w:asciiTheme="minorEastAsia" w:hAnsiTheme="minorEastAsia" w:eastAsiaTheme="minorEastAsia" w:cstheme="minorEastAsia"/>
          <w:b/>
          <w:bCs/>
          <w:color w:val="auto"/>
          <w:kern w:val="2"/>
          <w:sz w:val="24"/>
          <w:szCs w:val="24"/>
          <w:highlight w:val="none"/>
          <w:shd w:val="clear"/>
          <w:lang w:val="en-US" w:eastAsia="zh-CN"/>
        </w:rPr>
        <w:t xml:space="preserve">       </w:t>
      </w:r>
    </w:p>
    <w:p w14:paraId="00772424">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3.竞价人应自行至连城县招标投标交易平台网站学习竞价流程，注册竞价系统账号并在报名截止时间之前登录竞价系统申请竞价，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14:paraId="7601DD68">
      <w:pPr>
        <w:widowControl/>
        <w:shd w:val="clear"/>
        <w:snapToGrid/>
        <w:spacing w:before="0"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14:paraId="099733F8">
      <w:pPr>
        <w:widowControl/>
        <w:shd w:val="clear"/>
        <w:snapToGrid/>
        <w:spacing w:before="0" w:line="360" w:lineRule="auto"/>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六、竞价程序</w:t>
      </w:r>
    </w:p>
    <w:p w14:paraId="20DAB3F7">
      <w:pPr>
        <w:keepNext w:val="0"/>
        <w:keepLines w:val="0"/>
        <w:pageBreakBefore w:val="0"/>
        <w:widowControl/>
        <w:kinsoku/>
        <w:wordWrap/>
        <w:topLinePunct w:val="0"/>
        <w:bidi w:val="0"/>
        <w:spacing w:line="360" w:lineRule="auto"/>
        <w:ind w:left="0" w:firstLine="480" w:firstLineChars="200"/>
        <w:jc w:val="left"/>
        <w:textAlignment w:val="top"/>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1.</w:t>
      </w:r>
      <w:r>
        <w:rPr>
          <w:rFonts w:hint="eastAsia" w:asciiTheme="minorEastAsia" w:hAnsiTheme="minorEastAsia" w:eastAsiaTheme="minorEastAsia" w:cstheme="minorEastAsia"/>
          <w:color w:val="auto"/>
          <w:sz w:val="24"/>
          <w:szCs w:val="24"/>
          <w:highlight w:val="none"/>
        </w:rPr>
        <w:t>本场竞价</w:t>
      </w:r>
      <w:r>
        <w:rPr>
          <w:rFonts w:hint="eastAsia" w:asciiTheme="minorEastAsia" w:hAnsiTheme="minorEastAsia" w:eastAsiaTheme="minorEastAsia" w:cstheme="minorEastAsia"/>
          <w:color w:val="auto"/>
          <w:sz w:val="24"/>
          <w:szCs w:val="24"/>
          <w:highlight w:val="none"/>
          <w:lang w:eastAsia="zh-CN"/>
        </w:rPr>
        <w:t>须三家及以上竞价人在规定时间内参与竞价，如果在规定时间内参与竞价的竞价人不足三家，则按流标处理</w:t>
      </w:r>
      <w:r>
        <w:rPr>
          <w:rFonts w:hint="eastAsia" w:asciiTheme="minorEastAsia" w:hAnsiTheme="minorEastAsia" w:eastAsiaTheme="minorEastAsia" w:cstheme="minorEastAsia"/>
          <w:color w:val="auto"/>
          <w:sz w:val="24"/>
          <w:szCs w:val="24"/>
          <w:highlight w:val="none"/>
        </w:rPr>
        <w:t>，竞价人不得有异议。</w:t>
      </w:r>
    </w:p>
    <w:p w14:paraId="3CF31C5A">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highlight w:val="none"/>
          <w:shd w:val="clear"/>
          <w:lang w:val="en-US" w:eastAsia="zh-CN"/>
        </w:rPr>
      </w:pPr>
      <w:r>
        <w:rPr>
          <w:rFonts w:hint="eastAsia" w:asciiTheme="minorEastAsia" w:hAnsiTheme="minorEastAsia" w:eastAsiaTheme="minorEastAsia" w:cstheme="minorEastAsia"/>
          <w:color w:val="auto"/>
          <w:kern w:val="2"/>
          <w:sz w:val="24"/>
          <w:szCs w:val="24"/>
          <w:highlight w:val="none"/>
          <w:shd w:val="clear"/>
          <w:lang w:val="en-US" w:eastAsia="zh-CN"/>
        </w:rPr>
        <w:t>2.意向竞价人应至连城县招标投标交易平台注册用户名，并于报名截止时间前至本公司办理报名竞价手续，登录到连城县招标投标交易平台申请参与本场竞价。</w:t>
      </w:r>
    </w:p>
    <w:p w14:paraId="10EF8A3D">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lang w:val="en-US" w:eastAsia="zh-CN"/>
        </w:rPr>
        <w:t>3</w:t>
      </w:r>
      <w:r>
        <w:rPr>
          <w:rFonts w:hint="eastAsia" w:asciiTheme="minorEastAsia" w:hAnsiTheme="minorEastAsia" w:eastAsiaTheme="minorEastAsia" w:cstheme="minorEastAsia"/>
          <w:color w:val="auto"/>
          <w:kern w:val="2"/>
          <w:sz w:val="24"/>
          <w:szCs w:val="24"/>
          <w:highlight w:val="none"/>
          <w:shd w:val="clear"/>
        </w:rPr>
        <w:t>.</w:t>
      </w:r>
      <w:r>
        <w:rPr>
          <w:rFonts w:hint="eastAsia" w:ascii="新宋体" w:hAnsi="新宋体" w:eastAsia="新宋体" w:cs="新宋体"/>
          <w:color w:val="auto"/>
          <w:kern w:val="2"/>
          <w:sz w:val="24"/>
          <w:szCs w:val="24"/>
          <w:highlight w:val="none"/>
          <w:shd w:val="clear"/>
        </w:rPr>
        <w:t>本次公开竞价采用“连城县招标投标交易平台(https://lcyjy.enjoy5191.com/home )”</w:t>
      </w:r>
      <w:r>
        <w:rPr>
          <w:rFonts w:hint="eastAsia" w:ascii="新宋体" w:hAnsi="新宋体" w:eastAsia="新宋体" w:cs="新宋体"/>
          <w:color w:val="auto"/>
          <w:kern w:val="2"/>
          <w:sz w:val="24"/>
          <w:szCs w:val="24"/>
          <w:highlight w:val="none"/>
          <w:shd w:val="clear"/>
          <w:lang w:eastAsia="zh-CN"/>
        </w:rPr>
        <w:t>网络</w:t>
      </w:r>
      <w:r>
        <w:rPr>
          <w:rFonts w:hint="eastAsia" w:ascii="新宋体" w:hAnsi="新宋体" w:eastAsia="新宋体" w:cs="新宋体"/>
          <w:color w:val="auto"/>
          <w:kern w:val="2"/>
          <w:sz w:val="24"/>
          <w:szCs w:val="24"/>
          <w:highlight w:val="none"/>
          <w:shd w:val="clear"/>
          <w:lang w:val="en-US" w:eastAsia="zh-CN"/>
        </w:rPr>
        <w:t>反</w:t>
      </w:r>
      <w:r>
        <w:rPr>
          <w:rFonts w:hint="eastAsia" w:ascii="新宋体" w:hAnsi="新宋体" w:eastAsia="新宋体" w:cs="新宋体"/>
          <w:color w:val="auto"/>
          <w:kern w:val="2"/>
          <w:sz w:val="24"/>
          <w:szCs w:val="24"/>
          <w:highlight w:val="none"/>
          <w:shd w:val="clear"/>
          <w:lang w:eastAsia="zh-CN"/>
        </w:rPr>
        <w:t>向一次性报价</w:t>
      </w:r>
      <w:r>
        <w:rPr>
          <w:rFonts w:hint="eastAsia" w:ascii="新宋体" w:hAnsi="新宋体" w:eastAsia="新宋体" w:cs="新宋体"/>
          <w:color w:val="auto"/>
          <w:kern w:val="2"/>
          <w:sz w:val="24"/>
          <w:szCs w:val="24"/>
          <w:highlight w:val="none"/>
          <w:shd w:val="clear"/>
        </w:rPr>
        <w:t>、</w:t>
      </w:r>
      <w:r>
        <w:rPr>
          <w:rFonts w:hint="eastAsia" w:ascii="新宋体" w:hAnsi="新宋体" w:eastAsia="新宋体" w:cs="新宋体"/>
          <w:b/>
          <w:bCs/>
          <w:color w:val="auto"/>
          <w:kern w:val="2"/>
          <w:sz w:val="24"/>
          <w:szCs w:val="24"/>
          <w:highlight w:val="none"/>
          <w:shd w:val="clear"/>
          <w:lang w:val="en-US" w:eastAsia="zh-CN"/>
        </w:rPr>
        <w:t>价低者</w:t>
      </w:r>
      <w:r>
        <w:rPr>
          <w:rFonts w:hint="eastAsia" w:ascii="新宋体" w:hAnsi="新宋体" w:eastAsia="新宋体" w:cs="新宋体"/>
          <w:color w:val="auto"/>
          <w:kern w:val="2"/>
          <w:sz w:val="24"/>
          <w:szCs w:val="24"/>
          <w:highlight w:val="none"/>
          <w:shd w:val="clear"/>
        </w:rPr>
        <w:t>得的交易方式，以“价格优先，时间优先”（即同等价格时，以报价时间优先）确定本次竞价标的的成交人。竞价人以</w:t>
      </w:r>
      <w:r>
        <w:rPr>
          <w:rFonts w:hint="eastAsia" w:ascii="宋体" w:hAnsi="宋体" w:eastAsia="宋体" w:cs="宋体"/>
          <w:b/>
          <w:bCs/>
          <w:color w:val="auto"/>
          <w:kern w:val="2"/>
          <w:sz w:val="24"/>
          <w:szCs w:val="24"/>
          <w:highlight w:val="none"/>
          <w:u w:val="none"/>
          <w:lang w:val="en-US" w:eastAsia="zh-CN" w:bidi="ar-SA"/>
        </w:rPr>
        <w:t>总价形式</w:t>
      </w:r>
      <w:r>
        <w:rPr>
          <w:rFonts w:hint="eastAsia" w:ascii="新宋体" w:hAnsi="新宋体" w:eastAsia="新宋体" w:cs="新宋体"/>
          <w:color w:val="auto"/>
          <w:kern w:val="2"/>
          <w:sz w:val="24"/>
          <w:szCs w:val="24"/>
          <w:highlight w:val="none"/>
          <w:shd w:val="clear"/>
        </w:rPr>
        <w:t>进行报价，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05CB07BF">
      <w:pPr>
        <w:widowControl/>
        <w:shd w:val="clear"/>
        <w:snapToGrid/>
        <w:spacing w:before="0" w:line="520" w:lineRule="exact"/>
        <w:ind w:left="0" w:firstLine="482" w:firstLineChars="200"/>
        <w:rPr>
          <w:rFonts w:hint="eastAsia" w:ascii="新宋体" w:hAnsi="新宋体" w:eastAsia="新宋体" w:cs="新宋体"/>
          <w:color w:val="auto"/>
          <w:sz w:val="24"/>
          <w:szCs w:val="24"/>
          <w:highlight w:val="none"/>
        </w:rPr>
      </w:pPr>
      <w:r>
        <w:rPr>
          <w:rFonts w:hint="eastAsia" w:ascii="新宋体" w:hAnsi="新宋体" w:eastAsia="新宋体" w:cs="新宋体"/>
          <w:b/>
          <w:bCs/>
          <w:color w:val="auto"/>
          <w:kern w:val="2"/>
          <w:sz w:val="24"/>
          <w:szCs w:val="24"/>
          <w:highlight w:val="none"/>
          <w:shd w:val="clear"/>
          <w:lang w:val="en-US" w:eastAsia="zh-CN"/>
        </w:rPr>
        <w:t>4</w:t>
      </w:r>
      <w:r>
        <w:rPr>
          <w:rFonts w:hint="eastAsia" w:ascii="新宋体" w:hAnsi="新宋体" w:eastAsia="新宋体" w:cs="新宋体"/>
          <w:b/>
          <w:bCs/>
          <w:color w:val="auto"/>
          <w:kern w:val="2"/>
          <w:sz w:val="24"/>
          <w:szCs w:val="24"/>
          <w:highlight w:val="none"/>
          <w:shd w:val="clear"/>
        </w:rPr>
        <w:t>.</w:t>
      </w:r>
      <w:r>
        <w:rPr>
          <w:rFonts w:hint="eastAsia" w:ascii="宋体" w:hAnsi="宋体" w:eastAsia="宋体" w:cs="宋体"/>
          <w:b/>
          <w:bCs/>
          <w:color w:val="auto"/>
          <w:kern w:val="2"/>
          <w:sz w:val="24"/>
          <w:szCs w:val="24"/>
          <w:highlight w:val="none"/>
          <w:shd w:val="clear"/>
          <w:lang w:eastAsia="zh-CN"/>
        </w:rPr>
        <w:t>竞价人</w:t>
      </w:r>
      <w:r>
        <w:rPr>
          <w:rFonts w:hint="eastAsia" w:ascii="宋体" w:hAnsi="宋体" w:eastAsia="宋体" w:cs="宋体"/>
          <w:b/>
          <w:bCs/>
          <w:color w:val="auto"/>
          <w:kern w:val="2"/>
          <w:sz w:val="24"/>
          <w:szCs w:val="24"/>
          <w:highlight w:val="none"/>
          <w:shd w:val="clear"/>
        </w:rPr>
        <w:t>应以</w:t>
      </w:r>
      <w:r>
        <w:rPr>
          <w:rFonts w:hint="eastAsia" w:ascii="宋体" w:hAnsi="宋体" w:eastAsia="宋体" w:cs="宋体"/>
          <w:b/>
          <w:bCs/>
          <w:color w:val="auto"/>
          <w:kern w:val="2"/>
          <w:sz w:val="24"/>
          <w:szCs w:val="24"/>
          <w:highlight w:val="none"/>
          <w:u w:val="none"/>
          <w:lang w:val="en-US" w:eastAsia="zh-CN" w:bidi="ar-SA"/>
        </w:rPr>
        <w:t>总价形式</w:t>
      </w:r>
      <w:r>
        <w:rPr>
          <w:rFonts w:hint="eastAsia" w:ascii="宋体" w:hAnsi="宋体" w:eastAsia="宋体" w:cs="宋体"/>
          <w:b/>
          <w:bCs/>
          <w:color w:val="auto"/>
          <w:kern w:val="2"/>
          <w:sz w:val="24"/>
          <w:szCs w:val="24"/>
          <w:highlight w:val="none"/>
          <w:shd w:val="clear"/>
        </w:rPr>
        <w:t>进行报价</w:t>
      </w:r>
      <w:r>
        <w:rPr>
          <w:rFonts w:hint="eastAsia" w:asciiTheme="minorEastAsia" w:hAnsiTheme="minorEastAsia" w:eastAsiaTheme="minorEastAsia" w:cstheme="minorEastAsia"/>
          <w:b/>
          <w:bCs/>
          <w:color w:val="auto"/>
          <w:kern w:val="2"/>
          <w:sz w:val="24"/>
          <w:szCs w:val="24"/>
          <w:highlight w:val="none"/>
          <w:shd w:val="clear"/>
        </w:rPr>
        <w:t>，竞价系统设置的价格</w:t>
      </w:r>
      <w:r>
        <w:rPr>
          <w:rFonts w:hint="eastAsia" w:ascii="宋体" w:hAnsi="宋体" w:cs="宋体"/>
          <w:b/>
          <w:bCs/>
          <w:color w:val="auto"/>
          <w:sz w:val="24"/>
          <w:szCs w:val="24"/>
          <w:highlight w:val="none"/>
          <w:lang w:val="en-US" w:eastAsia="zh-CN"/>
        </w:rPr>
        <w:t>152300</w:t>
      </w:r>
      <w:r>
        <w:rPr>
          <w:rFonts w:hint="eastAsia" w:asciiTheme="minorEastAsia" w:hAnsiTheme="minorEastAsia" w:eastAsiaTheme="minorEastAsia" w:cstheme="minorEastAsia"/>
          <w:b/>
          <w:bCs/>
          <w:color w:val="auto"/>
          <w:kern w:val="2"/>
          <w:sz w:val="24"/>
          <w:szCs w:val="24"/>
          <w:highlight w:val="none"/>
          <w:shd w:val="clear"/>
          <w:lang w:val="en-US" w:eastAsia="zh-CN"/>
        </w:rPr>
        <w:t>元</w:t>
      </w:r>
      <w:r>
        <w:rPr>
          <w:rFonts w:hint="eastAsia" w:asciiTheme="minorEastAsia" w:hAnsiTheme="minorEastAsia" w:eastAsiaTheme="minorEastAsia" w:cstheme="minorEastAsia"/>
          <w:b/>
          <w:bCs/>
          <w:color w:val="auto"/>
          <w:kern w:val="2"/>
          <w:sz w:val="24"/>
          <w:szCs w:val="24"/>
          <w:highlight w:val="none"/>
          <w:shd w:val="clear"/>
        </w:rPr>
        <w:t>表示</w:t>
      </w:r>
      <w:r>
        <w:rPr>
          <w:rFonts w:hint="eastAsia" w:asciiTheme="minorEastAsia" w:hAnsiTheme="minorEastAsia" w:eastAsiaTheme="minorEastAsia" w:cstheme="minorEastAsia"/>
          <w:b/>
          <w:bCs/>
          <w:color w:val="auto"/>
          <w:kern w:val="2"/>
          <w:sz w:val="24"/>
          <w:szCs w:val="24"/>
          <w:highlight w:val="none"/>
          <w:shd w:val="clear"/>
          <w:lang w:val="en-US" w:eastAsia="zh-CN"/>
        </w:rPr>
        <w:t>最高限价</w:t>
      </w:r>
      <w:r>
        <w:rPr>
          <w:rFonts w:hint="eastAsia" w:asciiTheme="minorEastAsia" w:hAnsiTheme="minorEastAsia" w:eastAsiaTheme="minorEastAsia" w:cstheme="minorEastAsia"/>
          <w:b/>
          <w:bCs/>
          <w:color w:val="auto"/>
          <w:kern w:val="2"/>
          <w:sz w:val="24"/>
          <w:szCs w:val="24"/>
          <w:highlight w:val="none"/>
          <w:shd w:val="clear"/>
        </w:rPr>
        <w:t>为</w:t>
      </w:r>
      <w:r>
        <w:rPr>
          <w:rFonts w:hint="eastAsia" w:asciiTheme="minorEastAsia" w:hAnsiTheme="minorEastAsia" w:eastAsiaTheme="minorEastAsia" w:cstheme="minorEastAsia"/>
          <w:b/>
          <w:bCs/>
          <w:color w:val="auto"/>
          <w:kern w:val="2"/>
          <w:sz w:val="24"/>
          <w:szCs w:val="24"/>
          <w:highlight w:val="none"/>
          <w:shd w:val="clear"/>
          <w:lang w:val="en-US" w:eastAsia="zh-CN"/>
        </w:rPr>
        <w:t>人民币</w:t>
      </w:r>
      <w:r>
        <w:rPr>
          <w:rFonts w:hint="eastAsia" w:ascii="宋体" w:hAnsi="宋体" w:cs="宋体"/>
          <w:b/>
          <w:bCs/>
          <w:color w:val="auto"/>
          <w:sz w:val="24"/>
          <w:szCs w:val="24"/>
          <w:highlight w:val="none"/>
          <w:lang w:val="en-US" w:eastAsia="zh-CN"/>
        </w:rPr>
        <w:t>152300</w:t>
      </w:r>
      <w:r>
        <w:rPr>
          <w:rFonts w:hint="eastAsia" w:ascii="宋体" w:hAnsi="宋体" w:eastAsia="宋体" w:cs="宋体"/>
          <w:b/>
          <w:bCs/>
          <w:color w:val="auto"/>
          <w:sz w:val="24"/>
          <w:szCs w:val="24"/>
          <w:highlight w:val="none"/>
          <w:lang w:val="en-US" w:eastAsia="zh-CN"/>
        </w:rPr>
        <w:t>元</w:t>
      </w:r>
      <w:r>
        <w:rPr>
          <w:rFonts w:hint="eastAsia" w:asciiTheme="minorEastAsia" w:hAnsiTheme="minorEastAsia" w:eastAsiaTheme="minorEastAsia" w:cstheme="minorEastAsia"/>
          <w:b/>
          <w:bCs/>
          <w:color w:val="auto"/>
          <w:kern w:val="2"/>
          <w:sz w:val="24"/>
          <w:szCs w:val="24"/>
          <w:highlight w:val="none"/>
          <w:shd w:val="clear"/>
        </w:rPr>
        <w:t>，</w:t>
      </w:r>
      <w:r>
        <w:rPr>
          <w:rFonts w:hint="eastAsia" w:asciiTheme="minorEastAsia" w:hAnsiTheme="minorEastAsia" w:eastAsiaTheme="minorEastAsia" w:cstheme="minorEastAsia"/>
          <w:b/>
          <w:bCs/>
          <w:color w:val="auto"/>
          <w:kern w:val="2"/>
          <w:sz w:val="24"/>
          <w:szCs w:val="24"/>
          <w:highlight w:val="none"/>
          <w:shd w:val="clear"/>
          <w:lang w:eastAsia="zh-CN"/>
        </w:rPr>
        <w:t>竞价人</w:t>
      </w:r>
      <w:r>
        <w:rPr>
          <w:rFonts w:hint="eastAsia" w:asciiTheme="minorEastAsia" w:hAnsiTheme="minorEastAsia" w:eastAsiaTheme="minorEastAsia" w:cstheme="minorEastAsia"/>
          <w:b/>
          <w:bCs/>
          <w:color w:val="auto"/>
          <w:kern w:val="2"/>
          <w:sz w:val="24"/>
          <w:szCs w:val="24"/>
          <w:highlight w:val="none"/>
          <w:shd w:val="clear"/>
        </w:rPr>
        <w:t>在竞价系统填报</w:t>
      </w:r>
      <w:r>
        <w:rPr>
          <w:rFonts w:hint="eastAsia" w:asciiTheme="minorEastAsia" w:hAnsiTheme="minorEastAsia" w:eastAsiaTheme="minorEastAsia" w:cstheme="minorEastAsia"/>
          <w:b/>
          <w:bCs/>
          <w:color w:val="auto"/>
          <w:kern w:val="2"/>
          <w:sz w:val="24"/>
          <w:szCs w:val="24"/>
          <w:highlight w:val="none"/>
          <w:shd w:val="clear"/>
          <w:lang w:val="en-US" w:eastAsia="zh-CN"/>
        </w:rPr>
        <w:t>价格高</w:t>
      </w:r>
      <w:r>
        <w:rPr>
          <w:rFonts w:hint="eastAsia" w:asciiTheme="minorEastAsia" w:hAnsiTheme="minorEastAsia" w:eastAsiaTheme="minorEastAsia" w:cstheme="minorEastAsia"/>
          <w:b/>
          <w:bCs/>
          <w:color w:val="auto"/>
          <w:kern w:val="2"/>
          <w:sz w:val="24"/>
          <w:szCs w:val="24"/>
          <w:highlight w:val="none"/>
          <w:shd w:val="clear"/>
        </w:rPr>
        <w:t>于</w:t>
      </w:r>
      <w:r>
        <w:rPr>
          <w:rFonts w:hint="eastAsia" w:ascii="宋体" w:hAnsi="宋体" w:cs="宋体"/>
          <w:b/>
          <w:bCs/>
          <w:color w:val="auto"/>
          <w:sz w:val="24"/>
          <w:szCs w:val="24"/>
          <w:highlight w:val="none"/>
          <w:lang w:val="en-US" w:eastAsia="zh-CN"/>
        </w:rPr>
        <w:t>152300</w:t>
      </w:r>
      <w:r>
        <w:rPr>
          <w:rFonts w:hint="eastAsia" w:ascii="宋体" w:hAnsi="宋体" w:eastAsia="宋体" w:cs="宋体"/>
          <w:b/>
          <w:bCs/>
          <w:color w:val="auto"/>
          <w:sz w:val="24"/>
          <w:szCs w:val="24"/>
          <w:highlight w:val="none"/>
          <w:lang w:val="en-US" w:eastAsia="zh-CN"/>
        </w:rPr>
        <w:t>万元</w:t>
      </w:r>
      <w:r>
        <w:rPr>
          <w:rFonts w:hint="eastAsia" w:asciiTheme="minorEastAsia" w:hAnsiTheme="minorEastAsia" w:eastAsiaTheme="minorEastAsia" w:cstheme="minorEastAsia"/>
          <w:b/>
          <w:bCs/>
          <w:color w:val="auto"/>
          <w:kern w:val="2"/>
          <w:sz w:val="24"/>
          <w:szCs w:val="24"/>
          <w:highlight w:val="none"/>
          <w:shd w:val="clear"/>
        </w:rPr>
        <w:t>为无效报价</w:t>
      </w:r>
      <w:r>
        <w:rPr>
          <w:rFonts w:hint="eastAsia" w:asciiTheme="minorEastAsia" w:hAnsiTheme="minorEastAsia" w:eastAsiaTheme="minorEastAsia" w:cstheme="minorEastAsia"/>
          <w:b/>
          <w:bCs/>
          <w:color w:val="auto"/>
          <w:kern w:val="2"/>
          <w:sz w:val="24"/>
          <w:szCs w:val="24"/>
          <w:highlight w:val="none"/>
          <w:shd w:val="clear"/>
          <w:lang w:eastAsia="zh-CN"/>
        </w:rPr>
        <w:t>，</w:t>
      </w:r>
      <w:r>
        <w:rPr>
          <w:rFonts w:hint="eastAsia" w:asciiTheme="minorEastAsia" w:hAnsiTheme="minorEastAsia" w:eastAsiaTheme="minorEastAsia" w:cstheme="minorEastAsia"/>
          <w:b/>
          <w:bCs/>
          <w:color w:val="auto"/>
          <w:kern w:val="2"/>
          <w:sz w:val="24"/>
          <w:szCs w:val="24"/>
          <w:highlight w:val="none"/>
          <w:shd w:val="clear"/>
        </w:rPr>
        <w:t>填报</w:t>
      </w:r>
      <w:r>
        <w:rPr>
          <w:rFonts w:hint="eastAsia" w:asciiTheme="minorEastAsia" w:hAnsiTheme="minorEastAsia" w:eastAsiaTheme="minorEastAsia" w:cstheme="minorEastAsia"/>
          <w:b/>
          <w:bCs/>
          <w:color w:val="auto"/>
          <w:kern w:val="2"/>
          <w:sz w:val="24"/>
          <w:szCs w:val="24"/>
          <w:highlight w:val="none"/>
          <w:shd w:val="clear"/>
          <w:lang w:val="en-US" w:eastAsia="zh-CN"/>
        </w:rPr>
        <w:t>总价最低的</w:t>
      </w:r>
      <w:r>
        <w:rPr>
          <w:rFonts w:hint="eastAsia" w:asciiTheme="minorEastAsia" w:hAnsiTheme="minorEastAsia" w:eastAsiaTheme="minorEastAsia" w:cstheme="minorEastAsia"/>
          <w:b/>
          <w:bCs/>
          <w:color w:val="auto"/>
          <w:kern w:val="2"/>
          <w:sz w:val="24"/>
          <w:szCs w:val="24"/>
          <w:highlight w:val="none"/>
          <w:shd w:val="clear"/>
          <w:lang w:eastAsia="zh-CN"/>
        </w:rPr>
        <w:t>竞价人</w:t>
      </w:r>
      <w:r>
        <w:rPr>
          <w:rFonts w:hint="eastAsia" w:asciiTheme="minorEastAsia" w:hAnsiTheme="minorEastAsia" w:eastAsiaTheme="minorEastAsia" w:cstheme="minorEastAsia"/>
          <w:b/>
          <w:bCs/>
          <w:color w:val="auto"/>
          <w:kern w:val="2"/>
          <w:sz w:val="24"/>
          <w:szCs w:val="24"/>
          <w:highlight w:val="none"/>
          <w:shd w:val="clear"/>
        </w:rPr>
        <w:t>作为本项目成交人。</w:t>
      </w:r>
    </w:p>
    <w:p w14:paraId="485EB661">
      <w:pPr>
        <w:widowControl/>
        <w:shd w:val="clear"/>
        <w:snapToGrid/>
        <w:spacing w:before="0" w:line="520" w:lineRule="exact"/>
        <w:ind w:left="0" w:firstLine="480" w:firstLineChars="200"/>
        <w:rPr>
          <w:rFonts w:hint="eastAsia" w:ascii="新宋体" w:hAnsi="新宋体" w:eastAsia="新宋体" w:cs="新宋体"/>
          <w:color w:val="auto"/>
          <w:sz w:val="24"/>
          <w:szCs w:val="24"/>
          <w:highlight w:val="none"/>
        </w:rPr>
      </w:pPr>
      <w:r>
        <w:rPr>
          <w:rFonts w:hint="eastAsia" w:ascii="新宋体" w:hAnsi="新宋体" w:eastAsia="新宋体" w:cs="新宋体"/>
          <w:color w:val="auto"/>
          <w:kern w:val="2"/>
          <w:sz w:val="24"/>
          <w:szCs w:val="24"/>
          <w:highlight w:val="none"/>
          <w:shd w:val="clear"/>
          <w:lang w:val="en-US" w:eastAsia="zh-CN"/>
        </w:rPr>
        <w:t>5</w:t>
      </w:r>
      <w:r>
        <w:rPr>
          <w:rFonts w:hint="eastAsia" w:ascii="新宋体" w:hAnsi="新宋体" w:eastAsia="新宋体" w:cs="新宋体"/>
          <w:color w:val="auto"/>
          <w:kern w:val="2"/>
          <w:sz w:val="24"/>
          <w:szCs w:val="24"/>
          <w:highlight w:val="none"/>
          <w:shd w:val="clear"/>
        </w:rPr>
        <w:t>.特别提示：</w:t>
      </w:r>
      <w:r>
        <w:rPr>
          <w:rFonts w:hint="eastAsia" w:ascii="新宋体" w:hAnsi="新宋体" w:eastAsia="新宋体" w:cs="新宋体"/>
          <w:color w:val="auto"/>
          <w:kern w:val="2"/>
          <w:sz w:val="24"/>
          <w:szCs w:val="24"/>
          <w:highlight w:val="none"/>
          <w:shd w:val="clear"/>
          <w:lang w:val="en-US" w:eastAsia="zh-CN"/>
        </w:rPr>
        <w:t>标的的合格竞价人,应</w:t>
      </w:r>
      <w:r>
        <w:rPr>
          <w:rFonts w:hint="eastAsia" w:asciiTheme="minorEastAsia" w:hAnsiTheme="minorEastAsia" w:eastAsiaTheme="minorEastAsia" w:cstheme="minorEastAsia"/>
          <w:b/>
          <w:bCs/>
          <w:color w:val="auto"/>
          <w:kern w:val="2"/>
          <w:sz w:val="24"/>
          <w:szCs w:val="24"/>
          <w:highlight w:val="none"/>
          <w:shd w:val="clear"/>
          <w:lang w:val="en-US" w:eastAsia="zh-CN"/>
        </w:rPr>
        <w:t>在规定的报价区间</w:t>
      </w:r>
      <w:r>
        <w:rPr>
          <w:rFonts w:hint="eastAsia" w:ascii="新宋体" w:hAnsi="新宋体" w:eastAsia="新宋体" w:cs="新宋体"/>
          <w:color w:val="auto"/>
          <w:kern w:val="2"/>
          <w:sz w:val="24"/>
          <w:szCs w:val="24"/>
          <w:highlight w:val="none"/>
          <w:shd w:val="clear"/>
          <w:lang w:val="en-US" w:eastAsia="zh-CN"/>
        </w:rPr>
        <w:t>进行报价，同时成交人应签署《竞价结果通知书》等相关文件，否则视同为违约。</w:t>
      </w:r>
    </w:p>
    <w:p w14:paraId="789D0F97">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lang w:val="en-US" w:eastAsia="zh-CN"/>
        </w:rPr>
        <w:t>6</w:t>
      </w:r>
      <w:r>
        <w:rPr>
          <w:rFonts w:hint="eastAsia" w:asciiTheme="minorEastAsia" w:hAnsiTheme="minorEastAsia" w:eastAsiaTheme="minorEastAsia" w:cstheme="minorEastAsia"/>
          <w:color w:val="auto"/>
          <w:kern w:val="2"/>
          <w:sz w:val="24"/>
          <w:szCs w:val="24"/>
          <w:highlight w:val="none"/>
          <w:shd w:val="clear"/>
        </w:rPr>
        <w:t>.本公司有权就竞价时间做出调整，如有调整将在本公司网站进行公告。</w:t>
      </w:r>
    </w:p>
    <w:p w14:paraId="79B82CD0">
      <w:pPr>
        <w:snapToGrid/>
        <w:spacing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shd w:val="clear"/>
        </w:rPr>
        <w:t>七、交易服务费</w:t>
      </w:r>
    </w:p>
    <w:p w14:paraId="35928814">
      <w:pPr>
        <w:widowControl/>
        <w:shd w:val="clear"/>
        <w:snapToGrid/>
        <w:spacing w:before="0" w:line="360" w:lineRule="auto"/>
        <w:ind w:left="0" w:firstLine="480" w:firstLineChars="20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rPr>
        <w:t>竞价成交后，本项目按</w:t>
      </w:r>
      <w:r>
        <w:rPr>
          <w:rFonts w:hint="eastAsia" w:asciiTheme="minorEastAsia" w:hAnsiTheme="minorEastAsia" w:eastAsiaTheme="minorEastAsia" w:cstheme="minorEastAsia"/>
          <w:b w:val="0"/>
          <w:bCs w:val="0"/>
          <w:color w:val="auto"/>
          <w:sz w:val="24"/>
          <w:szCs w:val="24"/>
          <w:highlight w:val="none"/>
          <w:lang w:val="en-US" w:eastAsia="zh-CN"/>
        </w:rPr>
        <w:t>成交价为基数</w:t>
      </w:r>
      <w:r>
        <w:rPr>
          <w:rFonts w:hint="default" w:ascii="Arial" w:hAnsi="Arial" w:cs="Arial" w:eastAsiaTheme="minorEastAsia"/>
          <w:b w:val="0"/>
          <w:bCs w:val="0"/>
          <w:color w:val="auto"/>
          <w:sz w:val="24"/>
          <w:szCs w:val="24"/>
          <w:highlight w:val="none"/>
          <w:lang w:val="en-US" w:eastAsia="zh-CN"/>
        </w:rPr>
        <w:t>×</w:t>
      </w:r>
      <w:r>
        <w:rPr>
          <w:rFonts w:hint="eastAsia" w:asciiTheme="minorEastAsia" w:hAnsiTheme="minorEastAsia" w:eastAsiaTheme="minorEastAsia" w:cstheme="minorEastAsia"/>
          <w:b w:val="0"/>
          <w:bCs w:val="0"/>
          <w:color w:val="auto"/>
          <w:sz w:val="24"/>
          <w:szCs w:val="24"/>
          <w:highlight w:val="none"/>
          <w:lang w:val="en-US" w:eastAsia="zh-CN"/>
        </w:rPr>
        <w:t>1.5%</w:t>
      </w:r>
      <w:r>
        <w:rPr>
          <w:rFonts w:hint="eastAsia" w:asciiTheme="minorEastAsia" w:hAnsiTheme="minorEastAsia" w:eastAsiaTheme="minorEastAsia" w:cstheme="minorEastAsia"/>
          <w:b w:val="0"/>
          <w:bCs w:val="0"/>
          <w:color w:val="auto"/>
          <w:sz w:val="24"/>
          <w:szCs w:val="24"/>
          <w:highlight w:val="none"/>
        </w:rPr>
        <w:t>向成交</w:t>
      </w:r>
      <w:r>
        <w:rPr>
          <w:rFonts w:hint="eastAsia" w:asciiTheme="minorEastAsia" w:hAnsiTheme="minorEastAsia" w:eastAsiaTheme="minorEastAsia" w:cstheme="minorEastAsia"/>
          <w:b w:val="0"/>
          <w:bCs w:val="0"/>
          <w:color w:val="auto"/>
          <w:sz w:val="24"/>
          <w:szCs w:val="24"/>
          <w:highlight w:val="none"/>
          <w:lang w:val="en-US" w:eastAsia="zh-CN"/>
        </w:rPr>
        <w:t>人</w:t>
      </w:r>
      <w:r>
        <w:rPr>
          <w:rFonts w:hint="eastAsia" w:asciiTheme="minorEastAsia" w:hAnsiTheme="minorEastAsia" w:eastAsiaTheme="minorEastAsia" w:cstheme="minorEastAsia"/>
          <w:b w:val="0"/>
          <w:bCs w:val="0"/>
          <w:color w:val="auto"/>
          <w:sz w:val="24"/>
          <w:szCs w:val="24"/>
          <w:highlight w:val="none"/>
        </w:rPr>
        <w:t>收取</w:t>
      </w:r>
      <w:r>
        <w:rPr>
          <w:rFonts w:hint="eastAsia" w:asciiTheme="minorEastAsia" w:hAnsiTheme="minorEastAsia" w:eastAsiaTheme="minorEastAsia" w:cstheme="minorEastAsia"/>
          <w:b w:val="0"/>
          <w:bCs w:val="0"/>
          <w:color w:val="auto"/>
          <w:sz w:val="24"/>
          <w:szCs w:val="24"/>
          <w:highlight w:val="none"/>
          <w:lang w:val="en-US" w:eastAsia="zh-CN"/>
        </w:rPr>
        <w:t>交易</w:t>
      </w:r>
      <w:r>
        <w:rPr>
          <w:rFonts w:hint="eastAsia" w:asciiTheme="minorEastAsia" w:hAnsiTheme="minorEastAsia" w:eastAsiaTheme="minorEastAsia" w:cstheme="minorEastAsia"/>
          <w:b w:val="0"/>
          <w:bCs w:val="0"/>
          <w:color w:val="auto"/>
          <w:sz w:val="24"/>
          <w:szCs w:val="24"/>
          <w:highlight w:val="none"/>
        </w:rPr>
        <w:t>服务费</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lang w:val="en-US" w:eastAsia="zh-CN"/>
        </w:rPr>
        <w:t>当成交（或中标）金额低于3万元时，代理费按实际金额计收；成交（或中标）金额大于等于3万元且代理费不足3000元时，按3000元收取。招标代理服务费直接由本公司从成交人缴纳的竞价保证金中扣收，不足的，成交人必须在成交之日起2个工作日内补齐。招标代理服务费未按期付清的，视成交人根本违约，竞价保证金不予退回。</w:t>
      </w:r>
    </w:p>
    <w:p w14:paraId="0812B5B2">
      <w:pPr>
        <w:widowControl/>
        <w:shd w:val="clear"/>
        <w:snapToGrid/>
        <w:spacing w:before="0" w:line="360" w:lineRule="auto"/>
        <w:ind w:left="0" w:firstLine="482" w:firstLineChars="200"/>
        <w:rPr>
          <w:rFonts w:hint="eastAsia" w:asciiTheme="minorEastAsia" w:hAnsiTheme="minorEastAsia" w:eastAsiaTheme="minorEastAsia" w:cstheme="minorEastAsia"/>
          <w:b/>
          <w:bCs/>
          <w:color w:val="auto"/>
          <w:kern w:val="2"/>
          <w:sz w:val="24"/>
          <w:szCs w:val="24"/>
          <w:highlight w:val="none"/>
          <w:shd w:val="clear"/>
        </w:rPr>
      </w:pPr>
      <w:r>
        <w:rPr>
          <w:rFonts w:hint="eastAsia" w:asciiTheme="minorEastAsia" w:hAnsiTheme="minorEastAsia" w:eastAsiaTheme="minorEastAsia" w:cstheme="minorEastAsia"/>
          <w:b/>
          <w:bCs/>
          <w:color w:val="auto"/>
          <w:kern w:val="2"/>
          <w:sz w:val="24"/>
          <w:szCs w:val="24"/>
          <w:highlight w:val="none"/>
          <w:shd w:val="clear"/>
        </w:rPr>
        <w:t>八、</w:t>
      </w:r>
      <w:r>
        <w:rPr>
          <w:rFonts w:hint="eastAsia" w:asciiTheme="minorEastAsia" w:hAnsiTheme="minorEastAsia" w:eastAsiaTheme="minorEastAsia" w:cstheme="minorEastAsia"/>
          <w:b/>
          <w:bCs/>
          <w:color w:val="auto"/>
          <w:kern w:val="2"/>
          <w:sz w:val="24"/>
          <w:szCs w:val="24"/>
          <w:highlight w:val="none"/>
          <w:shd w:val="clear"/>
          <w:lang w:eastAsia="zh-CN"/>
        </w:rPr>
        <w:t>结算</w:t>
      </w:r>
      <w:r>
        <w:rPr>
          <w:rFonts w:hint="eastAsia" w:asciiTheme="minorEastAsia" w:hAnsiTheme="minorEastAsia" w:eastAsiaTheme="minorEastAsia" w:cstheme="minorEastAsia"/>
          <w:b/>
          <w:bCs/>
          <w:color w:val="auto"/>
          <w:kern w:val="2"/>
          <w:sz w:val="24"/>
          <w:szCs w:val="24"/>
          <w:highlight w:val="none"/>
          <w:shd w:val="clear"/>
        </w:rPr>
        <w:t>方式</w:t>
      </w:r>
    </w:p>
    <w:p w14:paraId="61FA7310">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以竞价公告为准。</w:t>
      </w:r>
    </w:p>
    <w:p w14:paraId="3644786F">
      <w:pPr>
        <w:widowControl/>
        <w:shd w:val="clear"/>
        <w:snapToGrid/>
        <w:spacing w:before="0" w:line="360" w:lineRule="auto"/>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九、税费承担</w:t>
      </w:r>
    </w:p>
    <w:p w14:paraId="02C66077">
      <w:pPr>
        <w:widowControl/>
        <w:shd w:val="clear"/>
        <w:snapToGrid/>
        <w:spacing w:before="0"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自行承担参加竞价会有关的全部费用（包括但不限于差旅费、邮寄费、资料费等）。</w:t>
      </w:r>
    </w:p>
    <w:p w14:paraId="3C9BD0E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bidi w:val="0"/>
        <w:snapToGrid/>
        <w:spacing w:before="0" w:beforeAutospacing="0" w:after="0" w:afterAutospacing="0" w:line="360" w:lineRule="auto"/>
        <w:ind w:left="0" w:right="0"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十、违约责任</w:t>
      </w:r>
    </w:p>
    <w:p w14:paraId="3AF6FAB9">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lang w:eastAsia="zh-CN"/>
        </w:rPr>
      </w:pPr>
      <w:r>
        <w:rPr>
          <w:rFonts w:hint="eastAsia" w:asciiTheme="minorEastAsia" w:hAnsiTheme="minorEastAsia" w:eastAsiaTheme="minorEastAsia" w:cstheme="minorEastAsia"/>
          <w:color w:val="auto"/>
          <w:kern w:val="2"/>
          <w:sz w:val="24"/>
          <w:szCs w:val="24"/>
          <w:highlight w:val="none"/>
          <w:shd w:val="clear"/>
        </w:rPr>
        <w:t>成交人应价后反悔的，或不即时签订《竞价结果通知书》，或逾期未缴纳交易服务费，本公司按违约处理，其竞价保证金由本公司扣除项目交易服务费用后转入委托方账户，同时《竞价结果通知书》自动失效，并视情对竞价标的再次竞价或处理，对于再次竞价金额后若低于第一次竞价金额的，就差价部分委托方有权向该成交人提起赔偿诉讼</w:t>
      </w:r>
      <w:r>
        <w:rPr>
          <w:rFonts w:hint="eastAsia" w:asciiTheme="minorEastAsia" w:hAnsiTheme="minorEastAsia" w:eastAsiaTheme="minorEastAsia" w:cstheme="minorEastAsia"/>
          <w:color w:val="auto"/>
          <w:kern w:val="2"/>
          <w:sz w:val="24"/>
          <w:szCs w:val="24"/>
          <w:highlight w:val="none"/>
          <w:shd w:val="clear"/>
          <w:lang w:eastAsia="zh-CN"/>
        </w:rPr>
        <w:t>。</w:t>
      </w:r>
    </w:p>
    <w:p w14:paraId="36313E28">
      <w:pPr>
        <w:widowControl/>
        <w:shd w:val="clear"/>
        <w:snapToGrid/>
        <w:spacing w:before="0" w:line="360" w:lineRule="auto"/>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十</w:t>
      </w:r>
      <w:r>
        <w:rPr>
          <w:rFonts w:hint="eastAsia" w:asciiTheme="minorEastAsia" w:hAnsiTheme="minorEastAsia" w:eastAsiaTheme="minorEastAsia" w:cstheme="minorEastAsia"/>
          <w:b/>
          <w:bCs/>
          <w:color w:val="auto"/>
          <w:kern w:val="2"/>
          <w:sz w:val="24"/>
          <w:szCs w:val="24"/>
          <w:highlight w:val="none"/>
          <w:shd w:val="clear"/>
          <w:lang w:val="en-US" w:eastAsia="zh-CN"/>
        </w:rPr>
        <w:t>一</w:t>
      </w:r>
      <w:r>
        <w:rPr>
          <w:rFonts w:hint="eastAsia" w:asciiTheme="minorEastAsia" w:hAnsiTheme="minorEastAsia" w:eastAsiaTheme="minorEastAsia" w:cstheme="minorEastAsia"/>
          <w:b/>
          <w:bCs/>
          <w:color w:val="auto"/>
          <w:kern w:val="2"/>
          <w:sz w:val="24"/>
          <w:szCs w:val="24"/>
          <w:highlight w:val="none"/>
          <w:shd w:val="clear"/>
        </w:rPr>
        <w:t>、注意事项</w:t>
      </w:r>
    </w:p>
    <w:p w14:paraId="7739BCD8">
      <w:pPr>
        <w:widowControl/>
        <w:shd w:val="clear"/>
        <w:snapToGrid/>
        <w:spacing w:before="0"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1.因不可预见的原因导致上述竞价交易方式不能正常进行的，本公司有权中止交易或临时决定采用其它竞价方式和竞价交易规则，</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对此不得有异议。</w:t>
      </w:r>
    </w:p>
    <w:p w14:paraId="782EEB41">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2.</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应妥善保管好用户名及密码，用户名为</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参加网络竞价的唯一合法身份，所有用户登录后的报价均视为</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本人真实意愿的表示。如用户名丢失或被他人盗用所造成的一切后果均由</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负责。</w:t>
      </w:r>
    </w:p>
    <w:p w14:paraId="2B348D6B">
      <w:pPr>
        <w:snapToGrid/>
        <w:spacing w:line="360" w:lineRule="auto"/>
        <w:ind w:firstLine="480" w:firstLineChars="200"/>
        <w:rPr>
          <w:rFonts w:hint="eastAsia" w:asciiTheme="minorEastAsia" w:hAnsiTheme="minorEastAsia" w:eastAsiaTheme="minorEastAsia" w:cstheme="minorEastAsia"/>
          <w:color w:val="auto"/>
          <w:kern w:val="2"/>
          <w:sz w:val="24"/>
          <w:szCs w:val="24"/>
          <w:highlight w:val="none"/>
          <w:shd w:val="clear"/>
          <w:lang w:val="en-US" w:eastAsia="zh-CN"/>
        </w:rPr>
      </w:pPr>
      <w:r>
        <w:rPr>
          <w:rFonts w:hint="eastAsia" w:asciiTheme="minorEastAsia" w:hAnsiTheme="minorEastAsia" w:eastAsiaTheme="minorEastAsia" w:cstheme="minorEastAsia"/>
          <w:color w:val="auto"/>
          <w:kern w:val="2"/>
          <w:sz w:val="24"/>
          <w:szCs w:val="24"/>
          <w:highlight w:val="none"/>
          <w:shd w:val="clear"/>
          <w:lang w:val="en-US" w:eastAsia="zh-CN"/>
        </w:rPr>
        <w:t>3.成交后，成交人应当与委托人签订《</w:t>
      </w:r>
      <w:r>
        <w:rPr>
          <w:rFonts w:hint="eastAsia" w:asciiTheme="minorEastAsia" w:hAnsiTheme="minorEastAsia" w:eastAsiaTheme="minorEastAsia" w:cstheme="minorEastAsia"/>
          <w:b/>
          <w:bCs/>
          <w:color w:val="auto"/>
          <w:kern w:val="2"/>
          <w:sz w:val="24"/>
          <w:szCs w:val="24"/>
          <w:highlight w:val="none"/>
          <w:shd w:val="clear"/>
          <w:lang w:val="en-US" w:eastAsia="zh-CN"/>
        </w:rPr>
        <w:t>技术咨询</w:t>
      </w:r>
      <w:r>
        <w:rPr>
          <w:rFonts w:hint="eastAsia" w:asciiTheme="minorEastAsia" w:hAnsiTheme="minorEastAsia" w:eastAsiaTheme="minorEastAsia" w:cstheme="minorEastAsia"/>
          <w:b/>
          <w:bCs/>
          <w:color w:val="auto"/>
          <w:kern w:val="28"/>
          <w:sz w:val="24"/>
          <w:szCs w:val="24"/>
          <w:highlight w:val="none"/>
          <w:lang w:val="en-US" w:eastAsia="zh-CN" w:bidi="ar-SA"/>
        </w:rPr>
        <w:t>合同</w:t>
      </w:r>
      <w:r>
        <w:rPr>
          <w:rFonts w:hint="eastAsia" w:asciiTheme="minorEastAsia" w:hAnsiTheme="minorEastAsia" w:eastAsiaTheme="minorEastAsia" w:cstheme="minorEastAsia"/>
          <w:color w:val="auto"/>
          <w:kern w:val="2"/>
          <w:sz w:val="24"/>
          <w:szCs w:val="24"/>
          <w:highlight w:val="none"/>
          <w:shd w:val="clear"/>
          <w:lang w:val="en-US" w:eastAsia="zh-CN"/>
        </w:rPr>
        <w:t>》，并严格履行，双方的权利、义务以《</w:t>
      </w:r>
      <w:r>
        <w:rPr>
          <w:rFonts w:hint="eastAsia" w:asciiTheme="minorEastAsia" w:hAnsiTheme="minorEastAsia" w:eastAsiaTheme="minorEastAsia" w:cstheme="minorEastAsia"/>
          <w:b/>
          <w:bCs/>
          <w:color w:val="auto"/>
          <w:kern w:val="2"/>
          <w:sz w:val="24"/>
          <w:szCs w:val="24"/>
          <w:highlight w:val="none"/>
          <w:shd w:val="clear"/>
          <w:lang w:val="en-US" w:eastAsia="zh-CN"/>
        </w:rPr>
        <w:t>技术咨询</w:t>
      </w:r>
      <w:r>
        <w:rPr>
          <w:rFonts w:hint="eastAsia" w:asciiTheme="minorEastAsia" w:hAnsiTheme="minorEastAsia" w:eastAsiaTheme="minorEastAsia" w:cstheme="minorEastAsia"/>
          <w:b/>
          <w:bCs/>
          <w:color w:val="auto"/>
          <w:kern w:val="28"/>
          <w:sz w:val="24"/>
          <w:szCs w:val="24"/>
          <w:highlight w:val="none"/>
          <w:lang w:val="en-US" w:eastAsia="zh-CN" w:bidi="ar-SA"/>
        </w:rPr>
        <w:t>合同</w:t>
      </w:r>
      <w:r>
        <w:rPr>
          <w:rFonts w:hint="eastAsia" w:asciiTheme="minorEastAsia" w:hAnsiTheme="minorEastAsia" w:eastAsiaTheme="minorEastAsia" w:cstheme="minorEastAsia"/>
          <w:color w:val="auto"/>
          <w:kern w:val="2"/>
          <w:sz w:val="24"/>
          <w:szCs w:val="24"/>
          <w:highlight w:val="none"/>
          <w:shd w:val="clear"/>
          <w:lang w:val="en-US" w:eastAsia="zh-CN"/>
        </w:rPr>
        <w:t>》约定为准。</w:t>
      </w:r>
    </w:p>
    <w:p w14:paraId="1D83AD50">
      <w:pPr>
        <w:snapToGrid/>
        <w:spacing w:line="360" w:lineRule="auto"/>
        <w:ind w:firstLine="480" w:firstLineChars="200"/>
        <w:rPr>
          <w:rFonts w:hint="eastAsia" w:asciiTheme="minorEastAsia" w:hAnsiTheme="minorEastAsia" w:eastAsiaTheme="minorEastAsia" w:cstheme="minorEastAsia"/>
          <w:color w:val="auto"/>
          <w:kern w:val="2"/>
          <w:sz w:val="24"/>
          <w:szCs w:val="24"/>
          <w:highlight w:val="none"/>
          <w:shd w:val="clear"/>
          <w:lang w:val="en-US" w:eastAsia="zh-CN"/>
        </w:rPr>
      </w:pPr>
      <w:r>
        <w:rPr>
          <w:rFonts w:hint="eastAsia" w:asciiTheme="minorEastAsia" w:hAnsiTheme="minorEastAsia" w:eastAsiaTheme="minorEastAsia" w:cstheme="minorEastAsia"/>
          <w:color w:val="auto"/>
          <w:kern w:val="2"/>
          <w:sz w:val="24"/>
          <w:szCs w:val="24"/>
          <w:highlight w:val="none"/>
          <w:shd w:val="clear"/>
          <w:lang w:val="en-US" w:eastAsia="zh-CN"/>
        </w:rPr>
        <w:t>4.因委托人、成交人的原因造成不能签订相应的合同或解除合同、合同无效的，我司不承担任何责任。签订《竞价结果通知书》视为我司对成交人的合同义务履行完毕。</w:t>
      </w:r>
    </w:p>
    <w:p w14:paraId="0C77D81D">
      <w:pPr>
        <w:widowControl/>
        <w:shd w:val="clear"/>
        <w:snapToGrid/>
        <w:spacing w:before="0" w:line="360" w:lineRule="auto"/>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十</w:t>
      </w:r>
      <w:r>
        <w:rPr>
          <w:rFonts w:hint="eastAsia" w:asciiTheme="minorEastAsia" w:hAnsiTheme="minorEastAsia" w:eastAsiaTheme="minorEastAsia" w:cstheme="minorEastAsia"/>
          <w:b/>
          <w:bCs/>
          <w:color w:val="auto"/>
          <w:kern w:val="2"/>
          <w:sz w:val="24"/>
          <w:szCs w:val="24"/>
          <w:highlight w:val="none"/>
          <w:shd w:val="clear"/>
          <w:lang w:val="en-US" w:eastAsia="zh-CN"/>
        </w:rPr>
        <w:t>二</w:t>
      </w:r>
      <w:r>
        <w:rPr>
          <w:rFonts w:hint="eastAsia" w:asciiTheme="minorEastAsia" w:hAnsiTheme="minorEastAsia" w:eastAsiaTheme="minorEastAsia" w:cstheme="minorEastAsia"/>
          <w:b/>
          <w:bCs/>
          <w:color w:val="auto"/>
          <w:kern w:val="2"/>
          <w:sz w:val="24"/>
          <w:szCs w:val="24"/>
          <w:highlight w:val="none"/>
          <w:shd w:val="clear"/>
        </w:rPr>
        <w:t>、特别提示</w:t>
      </w:r>
    </w:p>
    <w:tbl>
      <w:tblPr>
        <w:tblStyle w:val="5"/>
        <w:tblW w:w="9071" w:type="dxa"/>
        <w:jc w:val="center"/>
        <w:shd w:val="clear" w:color="auto" w:fill="FFFFFF"/>
        <w:tblLayout w:type="fixed"/>
        <w:tblCellMar>
          <w:top w:w="0" w:type="dxa"/>
          <w:left w:w="0" w:type="dxa"/>
          <w:bottom w:w="0" w:type="dxa"/>
          <w:right w:w="0" w:type="dxa"/>
        </w:tblCellMar>
      </w:tblPr>
      <w:tblGrid>
        <w:gridCol w:w="9071"/>
      </w:tblGrid>
      <w:tr w14:paraId="4A09F6D2">
        <w:tblPrEx>
          <w:shd w:val="clear" w:color="auto" w:fill="FFFFFF"/>
          <w:tblCellMar>
            <w:top w:w="0" w:type="dxa"/>
            <w:left w:w="0" w:type="dxa"/>
            <w:bottom w:w="0" w:type="dxa"/>
            <w:right w:w="0" w:type="dxa"/>
          </w:tblCellMar>
        </w:tblPrEx>
        <w:trPr>
          <w:jc w:val="center"/>
        </w:trPr>
        <w:tc>
          <w:tcPr>
            <w:tcW w:w="907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20711DA4">
            <w:pPr>
              <w:widowControl/>
              <w:snapToGrid/>
              <w:spacing w:before="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rPr>
              <w:t>1.申请人必须对本项目情况及竞价流程进行充分的咨询和了解，一旦参与竞价，视为无异议，并对项目存在或可能存在的瑕疵表示认可，自行承担由此造成的风险。</w:t>
            </w:r>
          </w:p>
          <w:p w14:paraId="1268CA66">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rPr>
              <w:t>2.竞价文件如有更正修改，公告将在</w:t>
            </w:r>
            <w:r>
              <w:rPr>
                <w:rFonts w:hint="eastAsia" w:asciiTheme="minorEastAsia" w:hAnsiTheme="minorEastAsia" w:eastAsiaTheme="minorEastAsia" w:cstheme="minorEastAsia"/>
                <w:b w:val="0"/>
                <w:bCs w:val="0"/>
                <w:color w:val="auto"/>
                <w:sz w:val="24"/>
                <w:szCs w:val="24"/>
                <w:highlight w:val="none"/>
              </w:rPr>
              <w:t>连城产权交易网（网址：</w:t>
            </w:r>
            <w:r>
              <w:rPr>
                <w:rFonts w:hint="eastAsia" w:asciiTheme="minorEastAsia" w:hAnsiTheme="minorEastAsia" w:eastAsiaTheme="minorEastAsia" w:cstheme="minorEastAsia"/>
                <w:b/>
                <w:bCs/>
                <w:color w:val="auto"/>
                <w:sz w:val="24"/>
                <w:szCs w:val="24"/>
                <w:highlight w:val="none"/>
              </w:rPr>
              <w:t>http://www.lcxcqjy.com/</w:t>
            </w:r>
            <w:r>
              <w:rPr>
                <w:rFonts w:hint="eastAsia" w:asciiTheme="minorEastAsia" w:hAnsiTheme="minorEastAsia" w:eastAsiaTheme="minorEastAsia" w:cstheme="minorEastAsia"/>
                <w:b w:val="0"/>
                <w:bCs w:val="0"/>
                <w:color w:val="auto"/>
                <w:sz w:val="24"/>
                <w:szCs w:val="24"/>
                <w:highlight w:val="none"/>
              </w:rPr>
              <w:t>）</w:t>
            </w:r>
            <w:r>
              <w:rPr>
                <w:rFonts w:hint="eastAsia" w:asciiTheme="minorEastAsia" w:hAnsiTheme="minorEastAsia" w:eastAsiaTheme="minorEastAsia" w:cstheme="minorEastAsia"/>
                <w:color w:val="auto"/>
                <w:kern w:val="2"/>
                <w:sz w:val="24"/>
                <w:szCs w:val="24"/>
                <w:highlight w:val="none"/>
              </w:rPr>
              <w:t>上</w:t>
            </w:r>
            <w:r>
              <w:rPr>
                <w:rFonts w:hint="eastAsia" w:asciiTheme="minorEastAsia" w:hAnsiTheme="minorEastAsia" w:eastAsiaTheme="minorEastAsia" w:cstheme="minorEastAsia"/>
                <w:color w:val="auto"/>
                <w:kern w:val="2"/>
                <w:sz w:val="24"/>
                <w:szCs w:val="24"/>
                <w:highlight w:val="none"/>
                <w:shd w:val="clear"/>
              </w:rPr>
              <w:t>发布，请潜在</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随时密切关注上述网站并下载相关信息，本公司不再另行通知（相同内容如有多次修改，以最后一次修改为准）。潜在</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未查看、下载修改内容的，后果自行承担。</w:t>
            </w:r>
          </w:p>
          <w:p w14:paraId="2502651A">
            <w:pPr>
              <w:widowControl/>
              <w:shd w:val="clear"/>
              <w:snapToGrid/>
              <w:spacing w:before="0"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3.有需要通知事项时，本公司以</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报名时载明的联系电话、联系地址（未另外注明的以身份证为准）作为联系依据，通过邮件或语音、短信的方式通知</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，即使</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不签收或未收到通知，均视为</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已收到通知，由此造成的后果由</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自行负责。</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成为成交人参照此条款执行。</w:t>
            </w:r>
          </w:p>
        </w:tc>
      </w:tr>
    </w:tbl>
    <w:p w14:paraId="70E5DE9F">
      <w:pPr>
        <w:widowControl/>
        <w:shd w:val="clear"/>
        <w:snapToGrid/>
        <w:spacing w:before="0" w:line="360" w:lineRule="auto"/>
        <w:ind w:firstLine="0" w:firstLineChars="0"/>
        <w:jc w:val="righ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shd w:val="clear"/>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p>
    <w:p w14:paraId="059A9CB0">
      <w:pPr>
        <w:widowControl/>
        <w:shd w:val="clear"/>
        <w:snapToGrid/>
        <w:spacing w:before="0" w:line="360" w:lineRule="auto"/>
        <w:ind w:firstLine="0" w:firstLineChars="0"/>
        <w:jc w:val="righ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连城县国有资产产权交易服务有限公司</w:t>
      </w:r>
    </w:p>
    <w:p w14:paraId="30F0FE37">
      <w:pPr>
        <w:widowControl/>
        <w:shd w:val="clear"/>
        <w:wordWrap/>
        <w:snapToGrid/>
        <w:spacing w:before="0" w:line="360" w:lineRule="auto"/>
        <w:ind w:firstLine="480" w:firstLineChars="200"/>
        <w:jc w:val="right"/>
        <w:rPr>
          <w:rFonts w:hint="eastAsia" w:asciiTheme="minorEastAsia" w:hAnsiTheme="minorEastAsia" w:eastAsiaTheme="minorEastAsia" w:cstheme="minorEastAsia"/>
          <w:color w:val="auto"/>
          <w:kern w:val="2"/>
          <w:sz w:val="24"/>
          <w:szCs w:val="24"/>
          <w:highlight w:val="none"/>
          <w:shd w:val="clear"/>
          <w:lang w:val="en-US" w:eastAsia="zh-CN"/>
        </w:rPr>
      </w:pPr>
      <w:r>
        <w:rPr>
          <w:rFonts w:hint="eastAsia" w:asciiTheme="minorEastAsia" w:hAnsiTheme="minorEastAsia" w:eastAsiaTheme="minorEastAsia" w:cstheme="minorEastAsia"/>
          <w:color w:val="auto"/>
          <w:kern w:val="2"/>
          <w:sz w:val="24"/>
          <w:szCs w:val="24"/>
          <w:highlight w:val="none"/>
          <w:shd w:val="clear"/>
          <w:lang w:val="en-US" w:eastAsia="zh-CN"/>
        </w:rPr>
        <w:t>2026年4月23日</w:t>
      </w:r>
    </w:p>
    <w:p w14:paraId="5323D7B5">
      <w:pPr>
        <w:spacing w:line="360" w:lineRule="auto"/>
        <w:jc w:val="righ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br w:type="page"/>
      </w:r>
    </w:p>
    <w:p w14:paraId="5F6E9A96">
      <w:pPr>
        <w:spacing w:line="360" w:lineRule="auto"/>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承 诺 书</w:t>
      </w:r>
    </w:p>
    <w:p w14:paraId="39959FD3">
      <w:pPr>
        <w:spacing w:line="360" w:lineRule="auto"/>
        <w:ind w:firstLine="5040" w:firstLineChars="2100"/>
        <w:jc w:val="left"/>
        <w:rPr>
          <w:rFonts w:hint="eastAsia" w:asciiTheme="minorEastAsia" w:hAnsiTheme="minorEastAsia" w:eastAsiaTheme="minorEastAsia" w:cstheme="minorEastAsia"/>
          <w:color w:val="auto"/>
          <w:sz w:val="24"/>
          <w:szCs w:val="24"/>
          <w:highlight w:val="none"/>
        </w:rPr>
      </w:pPr>
    </w:p>
    <w:p w14:paraId="7B1C8190">
      <w:pPr>
        <w:spacing w:beforeLines="50" w:line="360" w:lineRule="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b/>
          <w:bCs/>
          <w:color w:val="auto"/>
          <w:sz w:val="24"/>
          <w:szCs w:val="24"/>
          <w:highlight w:val="none"/>
        </w:rPr>
        <w:t>连城县国有资产产权交易服务有限公司</w:t>
      </w:r>
      <w:r>
        <w:rPr>
          <w:rFonts w:hint="eastAsia" w:asciiTheme="minorEastAsia" w:hAnsiTheme="minorEastAsia" w:eastAsiaTheme="minorEastAsia" w:cstheme="minorEastAsia"/>
          <w:color w:val="auto"/>
          <w:sz w:val="24"/>
          <w:szCs w:val="24"/>
          <w:highlight w:val="none"/>
        </w:rPr>
        <w:t>：</w:t>
      </w:r>
    </w:p>
    <w:p w14:paraId="0A12CE97">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本人（公司）承诺提供的报名材料真实、合法、有效，自愿报名参加贵司于</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2026年4月29日</w:t>
      </w:r>
      <w:r>
        <w:rPr>
          <w:rFonts w:hint="eastAsia" w:asciiTheme="minorEastAsia" w:hAnsiTheme="minorEastAsia" w:eastAsiaTheme="minorEastAsia" w:cstheme="minorEastAsia"/>
          <w:color w:val="auto"/>
          <w:sz w:val="24"/>
          <w:szCs w:val="24"/>
          <w:highlight w:val="none"/>
        </w:rPr>
        <w:t>上午举行的 “连城县招标投标交易平台</w:t>
      </w:r>
      <w:r>
        <w:rPr>
          <w:rFonts w:hint="eastAsia" w:asciiTheme="minorEastAsia" w:hAnsiTheme="minorEastAsia" w:eastAsiaTheme="minorEastAsia" w:cstheme="minorEastAsia"/>
          <w:color w:val="auto"/>
          <w:sz w:val="24"/>
          <w:szCs w:val="24"/>
          <w:highlight w:val="none"/>
          <w:lang w:val="en-US" w:eastAsia="zh-CN"/>
        </w:rPr>
        <w:t>反</w:t>
      </w:r>
      <w:r>
        <w:rPr>
          <w:rFonts w:hint="eastAsia" w:asciiTheme="minorEastAsia" w:hAnsiTheme="minorEastAsia" w:eastAsiaTheme="minorEastAsia" w:cstheme="minorEastAsia"/>
          <w:color w:val="auto"/>
          <w:sz w:val="24"/>
          <w:szCs w:val="24"/>
          <w:highlight w:val="none"/>
        </w:rPr>
        <w:t>向一次报价”</w:t>
      </w:r>
      <w:r>
        <w:rPr>
          <w:rFonts w:hint="eastAsia" w:asciiTheme="minorEastAsia" w:hAnsiTheme="minorEastAsia" w:eastAsiaTheme="minorEastAsia" w:cstheme="minorEastAsia"/>
          <w:color w:val="auto"/>
          <w:sz w:val="24"/>
          <w:szCs w:val="24"/>
          <w:highlight w:val="none"/>
          <w:u w:val="single"/>
          <w:lang w:val="en-US" w:eastAsia="zh-CN"/>
        </w:rPr>
        <w:t>连城县闽江九龙江（连城段）水环境综合治理工程（一期）可研及初设编制服务</w:t>
      </w:r>
      <w:r>
        <w:rPr>
          <w:rFonts w:hint="eastAsia" w:asciiTheme="minorEastAsia" w:hAnsiTheme="minorEastAsia" w:eastAsiaTheme="minorEastAsia" w:cstheme="minorEastAsia"/>
          <w:color w:val="auto"/>
          <w:sz w:val="24"/>
          <w:szCs w:val="24"/>
          <w:highlight w:val="none"/>
        </w:rPr>
        <w:t>竞价。收悉项目编号为</w:t>
      </w:r>
      <w:r>
        <w:rPr>
          <w:rFonts w:hint="eastAsia" w:asciiTheme="minorEastAsia" w:hAnsiTheme="minorEastAsia" w:eastAsiaTheme="minorEastAsia" w:cstheme="minorEastAsia"/>
          <w:color w:val="auto"/>
          <w:sz w:val="24"/>
          <w:szCs w:val="24"/>
          <w:highlight w:val="none"/>
          <w:u w:val="single"/>
          <w:lang w:eastAsia="zh-CN"/>
        </w:rPr>
        <w:t>LCCQJJ2026</w:t>
      </w:r>
      <w:r>
        <w:rPr>
          <w:rFonts w:hint="eastAsia" w:asciiTheme="minorEastAsia" w:hAnsiTheme="minorEastAsia" w:eastAsiaTheme="minorEastAsia" w:cstheme="minorEastAsia"/>
          <w:color w:val="auto"/>
          <w:sz w:val="24"/>
          <w:szCs w:val="24"/>
          <w:highlight w:val="none"/>
          <w:u w:val="single"/>
          <w:lang w:val="en-US" w:eastAsia="zh-CN"/>
        </w:rPr>
        <w:t>0429</w:t>
      </w:r>
      <w:r>
        <w:rPr>
          <w:rFonts w:hint="eastAsia" w:asciiTheme="minorEastAsia" w:hAnsiTheme="minorEastAsia" w:eastAsiaTheme="minorEastAsia" w:cstheme="minorEastAsia"/>
          <w:color w:val="auto"/>
          <w:sz w:val="24"/>
          <w:szCs w:val="24"/>
          <w:highlight w:val="none"/>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14:paraId="1BC3F6F7">
      <w:pPr>
        <w:spacing w:line="440" w:lineRule="exact"/>
        <w:rPr>
          <w:rFonts w:hint="eastAsia" w:asciiTheme="minorEastAsia" w:hAnsiTheme="minorEastAsia" w:eastAsiaTheme="minorEastAsia" w:cstheme="minorEastAsia"/>
          <w:color w:val="auto"/>
          <w:sz w:val="24"/>
          <w:szCs w:val="24"/>
          <w:highlight w:val="none"/>
        </w:rPr>
      </w:pPr>
    </w:p>
    <w:p w14:paraId="2D83083B">
      <w:pPr>
        <w:spacing w:line="440" w:lineRule="exact"/>
        <w:rPr>
          <w:rFonts w:hint="eastAsia" w:asciiTheme="minorEastAsia" w:hAnsiTheme="minorEastAsia" w:eastAsiaTheme="minorEastAsia" w:cstheme="minorEastAsia"/>
          <w:color w:val="auto"/>
          <w:sz w:val="24"/>
          <w:szCs w:val="24"/>
          <w:highlight w:val="none"/>
        </w:rPr>
      </w:pPr>
    </w:p>
    <w:p w14:paraId="2E429D72">
      <w:pPr>
        <w:spacing w:line="44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 </w:t>
      </w:r>
    </w:p>
    <w:p w14:paraId="1168EA08">
      <w:pPr>
        <w:spacing w:line="440" w:lineRule="exact"/>
        <w:rPr>
          <w:rFonts w:hint="eastAsia" w:asciiTheme="minorEastAsia" w:hAnsiTheme="minorEastAsia" w:eastAsiaTheme="minorEastAsia" w:cstheme="minorEastAsia"/>
          <w:color w:val="auto"/>
          <w:sz w:val="24"/>
          <w:szCs w:val="24"/>
          <w:highlight w:val="none"/>
        </w:rPr>
      </w:pPr>
    </w:p>
    <w:p w14:paraId="78831084">
      <w:pPr>
        <w:spacing w:line="440" w:lineRule="exact"/>
        <w:ind w:firstLine="3840" w:firstLineChars="16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承诺人（申请人签章）：</w:t>
      </w:r>
    </w:p>
    <w:p w14:paraId="134F97B2">
      <w:pPr>
        <w:spacing w:line="440" w:lineRule="exact"/>
        <w:rPr>
          <w:rFonts w:hint="eastAsia" w:asciiTheme="minorEastAsia" w:hAnsiTheme="minorEastAsia" w:eastAsiaTheme="minorEastAsia" w:cstheme="minorEastAsia"/>
          <w:color w:val="auto"/>
          <w:sz w:val="24"/>
          <w:szCs w:val="24"/>
          <w:highlight w:val="none"/>
        </w:rPr>
      </w:pPr>
    </w:p>
    <w:p w14:paraId="608D94B3">
      <w:pPr>
        <w:spacing w:line="440" w:lineRule="exact"/>
        <w:ind w:firstLine="3840" w:firstLineChars="16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法定代表人或授权代理人（签章）： </w:t>
      </w:r>
    </w:p>
    <w:p w14:paraId="28743D77">
      <w:pPr>
        <w:spacing w:line="440" w:lineRule="exact"/>
        <w:rPr>
          <w:rFonts w:hint="eastAsia" w:asciiTheme="minorEastAsia" w:hAnsiTheme="minorEastAsia" w:eastAsiaTheme="minorEastAsia" w:cstheme="minorEastAsia"/>
          <w:color w:val="auto"/>
          <w:sz w:val="24"/>
          <w:szCs w:val="24"/>
          <w:highlight w:val="none"/>
        </w:rPr>
      </w:pPr>
    </w:p>
    <w:p w14:paraId="7529CD34">
      <w:pPr>
        <w:spacing w:line="440" w:lineRule="exact"/>
        <w:ind w:firstLine="3840" w:firstLineChars="16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联系电话：</w:t>
      </w:r>
    </w:p>
    <w:p w14:paraId="3ACBF8E0">
      <w:pPr>
        <w:spacing w:line="440" w:lineRule="exact"/>
        <w:rPr>
          <w:rFonts w:hint="eastAsia" w:asciiTheme="minorEastAsia" w:hAnsiTheme="minorEastAsia" w:eastAsiaTheme="minorEastAsia" w:cstheme="minorEastAsia"/>
          <w:color w:val="auto"/>
          <w:sz w:val="24"/>
          <w:szCs w:val="24"/>
          <w:highlight w:val="none"/>
        </w:rPr>
      </w:pPr>
    </w:p>
    <w:p w14:paraId="7DC13F1F">
      <w:pPr>
        <w:spacing w:line="440" w:lineRule="exact"/>
        <w:ind w:firstLine="0" w:firstLineChars="0"/>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年    月    日</w:t>
      </w:r>
    </w:p>
    <w:p w14:paraId="46792B69">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p>
    <w:p w14:paraId="37F83721">
      <w:pPr>
        <w:spacing w:line="440" w:lineRule="exact"/>
        <w:ind w:firstLine="0" w:firstLineChars="0"/>
        <w:jc w:val="right"/>
        <w:rPr>
          <w:rFonts w:hint="eastAsia" w:asciiTheme="minorEastAsia" w:hAnsiTheme="minorEastAsia" w:eastAsiaTheme="minorEastAsia" w:cstheme="minorEastAsia"/>
          <w:color w:val="auto"/>
          <w:sz w:val="24"/>
          <w:szCs w:val="24"/>
          <w:highlight w:val="none"/>
        </w:rPr>
      </w:pPr>
    </w:p>
    <w:p w14:paraId="3C4041EA">
      <w:pPr>
        <w:snapToGrid w:val="0"/>
        <w:spacing w:line="460" w:lineRule="atLeast"/>
        <w:ind w:firstLine="140" w:firstLineChars="50"/>
        <w:rPr>
          <w:rFonts w:ascii="宋体" w:hAnsi="宋体" w:eastAsia="宋体" w:cs="Times New Roman"/>
          <w:color w:val="auto"/>
          <w:sz w:val="28"/>
          <w:szCs w:val="24"/>
          <w:highlight w:val="none"/>
        </w:rPr>
      </w:pPr>
      <w:r>
        <w:rPr>
          <w:rFonts w:hint="eastAsia" w:ascii="宋体" w:hAnsi="宋体" w:eastAsia="宋体" w:cs="Times New Roman"/>
          <w:color w:val="auto"/>
          <w:sz w:val="28"/>
          <w:szCs w:val="24"/>
          <w:highlight w:val="none"/>
        </w:rPr>
        <w:t>合同登记编号：</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
        <w:gridCol w:w="432"/>
        <w:gridCol w:w="432"/>
        <w:gridCol w:w="432"/>
        <w:gridCol w:w="432"/>
        <w:gridCol w:w="432"/>
        <w:gridCol w:w="432"/>
        <w:gridCol w:w="432"/>
        <w:gridCol w:w="432"/>
        <w:gridCol w:w="432"/>
        <w:gridCol w:w="432"/>
        <w:gridCol w:w="432"/>
        <w:gridCol w:w="432"/>
        <w:gridCol w:w="432"/>
      </w:tblGrid>
      <w:tr w14:paraId="3F49C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432" w:type="dxa"/>
            <w:noWrap w:val="0"/>
            <w:vAlign w:val="top"/>
          </w:tcPr>
          <w:p w14:paraId="3C4C8040">
            <w:pPr>
              <w:snapToGrid w:val="0"/>
              <w:spacing w:line="460" w:lineRule="atLeast"/>
              <w:rPr>
                <w:rFonts w:ascii="Times New Roman" w:hAnsi="Times New Roman" w:eastAsia="楷体_GB2312" w:cs="Times New Roman"/>
                <w:color w:val="auto"/>
                <w:sz w:val="28"/>
                <w:szCs w:val="24"/>
                <w:highlight w:val="none"/>
              </w:rPr>
            </w:pPr>
          </w:p>
        </w:tc>
        <w:tc>
          <w:tcPr>
            <w:tcW w:w="432" w:type="dxa"/>
            <w:noWrap w:val="0"/>
            <w:vAlign w:val="top"/>
          </w:tcPr>
          <w:p w14:paraId="0314719D">
            <w:pPr>
              <w:snapToGrid w:val="0"/>
              <w:spacing w:line="460" w:lineRule="atLeast"/>
              <w:rPr>
                <w:rFonts w:ascii="Times New Roman" w:hAnsi="Times New Roman" w:eastAsia="楷体_GB2312" w:cs="Times New Roman"/>
                <w:color w:val="auto"/>
                <w:sz w:val="28"/>
                <w:szCs w:val="24"/>
                <w:highlight w:val="none"/>
              </w:rPr>
            </w:pPr>
          </w:p>
        </w:tc>
        <w:tc>
          <w:tcPr>
            <w:tcW w:w="432" w:type="dxa"/>
            <w:noWrap w:val="0"/>
            <w:vAlign w:val="top"/>
          </w:tcPr>
          <w:p w14:paraId="672CD16D">
            <w:pPr>
              <w:snapToGrid w:val="0"/>
              <w:spacing w:line="460" w:lineRule="atLeast"/>
              <w:rPr>
                <w:rFonts w:ascii="Times New Roman" w:hAnsi="Times New Roman" w:eastAsia="楷体_GB2312" w:cs="Times New Roman"/>
                <w:color w:val="auto"/>
                <w:sz w:val="28"/>
                <w:szCs w:val="24"/>
                <w:highlight w:val="none"/>
              </w:rPr>
            </w:pPr>
          </w:p>
        </w:tc>
        <w:tc>
          <w:tcPr>
            <w:tcW w:w="432" w:type="dxa"/>
            <w:noWrap w:val="0"/>
            <w:vAlign w:val="top"/>
          </w:tcPr>
          <w:p w14:paraId="241F8CA6">
            <w:pPr>
              <w:snapToGrid w:val="0"/>
              <w:spacing w:line="460" w:lineRule="atLeast"/>
              <w:rPr>
                <w:rFonts w:ascii="Times New Roman" w:hAnsi="Times New Roman" w:eastAsia="楷体_GB2312" w:cs="Times New Roman"/>
                <w:color w:val="auto"/>
                <w:sz w:val="28"/>
                <w:szCs w:val="24"/>
                <w:highlight w:val="none"/>
              </w:rPr>
            </w:pPr>
          </w:p>
        </w:tc>
        <w:tc>
          <w:tcPr>
            <w:tcW w:w="432" w:type="dxa"/>
            <w:noWrap w:val="0"/>
            <w:vAlign w:val="top"/>
          </w:tcPr>
          <w:p w14:paraId="1CFAE68D">
            <w:pPr>
              <w:snapToGrid w:val="0"/>
              <w:spacing w:line="460" w:lineRule="atLeast"/>
              <w:rPr>
                <w:rFonts w:ascii="Times New Roman" w:hAnsi="Times New Roman" w:eastAsia="楷体_GB2312" w:cs="Times New Roman"/>
                <w:color w:val="auto"/>
                <w:sz w:val="28"/>
                <w:szCs w:val="24"/>
                <w:highlight w:val="none"/>
              </w:rPr>
            </w:pPr>
          </w:p>
        </w:tc>
        <w:tc>
          <w:tcPr>
            <w:tcW w:w="432" w:type="dxa"/>
            <w:noWrap w:val="0"/>
            <w:vAlign w:val="top"/>
          </w:tcPr>
          <w:p w14:paraId="0672F62B">
            <w:pPr>
              <w:snapToGrid w:val="0"/>
              <w:spacing w:line="460" w:lineRule="atLeast"/>
              <w:rPr>
                <w:rFonts w:ascii="Times New Roman" w:hAnsi="Times New Roman" w:eastAsia="楷体_GB2312" w:cs="Times New Roman"/>
                <w:color w:val="auto"/>
                <w:sz w:val="28"/>
                <w:szCs w:val="24"/>
                <w:highlight w:val="none"/>
              </w:rPr>
            </w:pPr>
          </w:p>
        </w:tc>
        <w:tc>
          <w:tcPr>
            <w:tcW w:w="432" w:type="dxa"/>
            <w:noWrap w:val="0"/>
            <w:vAlign w:val="top"/>
          </w:tcPr>
          <w:p w14:paraId="05058099">
            <w:pPr>
              <w:snapToGrid w:val="0"/>
              <w:spacing w:line="460" w:lineRule="atLeast"/>
              <w:rPr>
                <w:rFonts w:ascii="Times New Roman" w:hAnsi="Times New Roman" w:eastAsia="楷体_GB2312" w:cs="Times New Roman"/>
                <w:color w:val="auto"/>
                <w:sz w:val="28"/>
                <w:szCs w:val="24"/>
                <w:highlight w:val="none"/>
              </w:rPr>
            </w:pPr>
          </w:p>
        </w:tc>
        <w:tc>
          <w:tcPr>
            <w:tcW w:w="432" w:type="dxa"/>
            <w:noWrap w:val="0"/>
            <w:vAlign w:val="top"/>
          </w:tcPr>
          <w:p w14:paraId="25F169EE">
            <w:pPr>
              <w:snapToGrid w:val="0"/>
              <w:spacing w:line="460" w:lineRule="atLeast"/>
              <w:rPr>
                <w:rFonts w:ascii="Times New Roman" w:hAnsi="Times New Roman" w:eastAsia="楷体_GB2312" w:cs="Times New Roman"/>
                <w:color w:val="auto"/>
                <w:sz w:val="28"/>
                <w:szCs w:val="24"/>
                <w:highlight w:val="none"/>
              </w:rPr>
            </w:pPr>
          </w:p>
        </w:tc>
        <w:tc>
          <w:tcPr>
            <w:tcW w:w="432" w:type="dxa"/>
            <w:noWrap w:val="0"/>
            <w:vAlign w:val="top"/>
          </w:tcPr>
          <w:p w14:paraId="477AD4CF">
            <w:pPr>
              <w:snapToGrid w:val="0"/>
              <w:spacing w:line="460" w:lineRule="atLeast"/>
              <w:rPr>
                <w:rFonts w:ascii="Times New Roman" w:hAnsi="Times New Roman" w:eastAsia="楷体_GB2312" w:cs="Times New Roman"/>
                <w:color w:val="auto"/>
                <w:sz w:val="28"/>
                <w:szCs w:val="24"/>
                <w:highlight w:val="none"/>
              </w:rPr>
            </w:pPr>
          </w:p>
        </w:tc>
        <w:tc>
          <w:tcPr>
            <w:tcW w:w="432" w:type="dxa"/>
            <w:noWrap w:val="0"/>
            <w:vAlign w:val="top"/>
          </w:tcPr>
          <w:p w14:paraId="5E97BC22">
            <w:pPr>
              <w:snapToGrid w:val="0"/>
              <w:spacing w:line="460" w:lineRule="atLeast"/>
              <w:rPr>
                <w:rFonts w:ascii="Times New Roman" w:hAnsi="Times New Roman" w:eastAsia="楷体_GB2312" w:cs="Times New Roman"/>
                <w:color w:val="auto"/>
                <w:sz w:val="28"/>
                <w:szCs w:val="24"/>
                <w:highlight w:val="none"/>
              </w:rPr>
            </w:pPr>
          </w:p>
        </w:tc>
        <w:tc>
          <w:tcPr>
            <w:tcW w:w="432" w:type="dxa"/>
            <w:noWrap w:val="0"/>
            <w:vAlign w:val="top"/>
          </w:tcPr>
          <w:p w14:paraId="1683380E">
            <w:pPr>
              <w:snapToGrid w:val="0"/>
              <w:spacing w:line="460" w:lineRule="atLeast"/>
              <w:rPr>
                <w:rFonts w:ascii="Times New Roman" w:hAnsi="Times New Roman" w:eastAsia="楷体_GB2312" w:cs="Times New Roman"/>
                <w:color w:val="auto"/>
                <w:sz w:val="28"/>
                <w:szCs w:val="24"/>
                <w:highlight w:val="none"/>
              </w:rPr>
            </w:pPr>
          </w:p>
        </w:tc>
        <w:tc>
          <w:tcPr>
            <w:tcW w:w="432" w:type="dxa"/>
            <w:noWrap w:val="0"/>
            <w:vAlign w:val="top"/>
          </w:tcPr>
          <w:p w14:paraId="3707FEA4">
            <w:pPr>
              <w:snapToGrid w:val="0"/>
              <w:spacing w:line="460" w:lineRule="atLeast"/>
              <w:rPr>
                <w:rFonts w:ascii="Times New Roman" w:hAnsi="Times New Roman" w:eastAsia="楷体_GB2312" w:cs="Times New Roman"/>
                <w:color w:val="auto"/>
                <w:sz w:val="28"/>
                <w:szCs w:val="24"/>
                <w:highlight w:val="none"/>
              </w:rPr>
            </w:pPr>
          </w:p>
        </w:tc>
        <w:tc>
          <w:tcPr>
            <w:tcW w:w="432" w:type="dxa"/>
            <w:noWrap w:val="0"/>
            <w:vAlign w:val="top"/>
          </w:tcPr>
          <w:p w14:paraId="07B26A53">
            <w:pPr>
              <w:snapToGrid w:val="0"/>
              <w:spacing w:line="460" w:lineRule="atLeast"/>
              <w:rPr>
                <w:rFonts w:ascii="Times New Roman" w:hAnsi="Times New Roman" w:eastAsia="楷体_GB2312" w:cs="Times New Roman"/>
                <w:color w:val="auto"/>
                <w:sz w:val="28"/>
                <w:szCs w:val="24"/>
                <w:highlight w:val="none"/>
              </w:rPr>
            </w:pPr>
          </w:p>
        </w:tc>
        <w:tc>
          <w:tcPr>
            <w:tcW w:w="432" w:type="dxa"/>
            <w:noWrap w:val="0"/>
            <w:vAlign w:val="top"/>
          </w:tcPr>
          <w:p w14:paraId="0343C16E">
            <w:pPr>
              <w:snapToGrid w:val="0"/>
              <w:spacing w:line="460" w:lineRule="atLeast"/>
              <w:rPr>
                <w:rFonts w:ascii="Times New Roman" w:hAnsi="Times New Roman" w:eastAsia="楷体_GB2312" w:cs="Times New Roman"/>
                <w:color w:val="auto"/>
                <w:sz w:val="28"/>
                <w:szCs w:val="24"/>
                <w:highlight w:val="none"/>
              </w:rPr>
            </w:pPr>
          </w:p>
        </w:tc>
      </w:tr>
    </w:tbl>
    <w:p w14:paraId="66DF769C">
      <w:pPr>
        <w:snapToGrid w:val="0"/>
        <w:spacing w:line="460" w:lineRule="atLeast"/>
        <w:rPr>
          <w:rFonts w:hint="eastAsia" w:ascii="Times New Roman" w:hAnsi="Times New Roman" w:eastAsia="楷体_GB2312" w:cs="Times New Roman"/>
          <w:color w:val="auto"/>
          <w:sz w:val="28"/>
          <w:szCs w:val="24"/>
          <w:highlight w:val="none"/>
        </w:rPr>
      </w:pPr>
    </w:p>
    <w:p w14:paraId="7D54C309">
      <w:pPr>
        <w:jc w:val="center"/>
        <w:rPr>
          <w:rFonts w:hint="eastAsia" w:ascii="Times New Roman" w:hAnsi="Times New Roman" w:eastAsia="黑体" w:cs="Times New Roman"/>
          <w:color w:val="auto"/>
          <w:spacing w:val="40"/>
          <w:sz w:val="44"/>
          <w:szCs w:val="24"/>
          <w:highlight w:val="none"/>
        </w:rPr>
      </w:pPr>
    </w:p>
    <w:p w14:paraId="2C55C31F">
      <w:pPr>
        <w:jc w:val="center"/>
        <w:rPr>
          <w:rFonts w:hint="eastAsia" w:ascii="Times New Roman" w:hAnsi="Times New Roman" w:eastAsia="黑体" w:cs="Times New Roman"/>
          <w:color w:val="auto"/>
          <w:spacing w:val="70"/>
          <w:sz w:val="72"/>
          <w:szCs w:val="24"/>
          <w:highlight w:val="none"/>
        </w:rPr>
      </w:pPr>
      <w:r>
        <w:rPr>
          <w:rFonts w:hint="eastAsia" w:ascii="Times New Roman" w:hAnsi="Times New Roman" w:eastAsia="黑体" w:cs="Times New Roman"/>
          <w:color w:val="auto"/>
          <w:spacing w:val="70"/>
          <w:sz w:val="72"/>
          <w:szCs w:val="24"/>
          <w:highlight w:val="none"/>
        </w:rPr>
        <w:t>技术咨询合同书</w:t>
      </w:r>
    </w:p>
    <w:p w14:paraId="2D8E3A28">
      <w:pPr>
        <w:rPr>
          <w:rFonts w:hint="eastAsia" w:ascii="Times New Roman" w:hAnsi="Times New Roman" w:eastAsia="宋体" w:cs="Times New Roman"/>
          <w:color w:val="auto"/>
          <w:sz w:val="24"/>
          <w:szCs w:val="24"/>
          <w:highlight w:val="none"/>
        </w:rPr>
      </w:pPr>
    </w:p>
    <w:p w14:paraId="40FE01E6">
      <w:pPr>
        <w:jc w:val="center"/>
        <w:rPr>
          <w:rFonts w:hint="eastAsia" w:ascii="Times New Roman" w:hAnsi="Times New Roman" w:eastAsia="宋体" w:cs="Times New Roman"/>
          <w:color w:val="auto"/>
          <w:spacing w:val="60"/>
          <w:sz w:val="44"/>
          <w:szCs w:val="24"/>
          <w:highlight w:val="none"/>
        </w:rPr>
      </w:pPr>
    </w:p>
    <w:p w14:paraId="36AA77B6">
      <w:pPr>
        <w:jc w:val="center"/>
        <w:rPr>
          <w:rFonts w:hint="eastAsia" w:ascii="Times New Roman" w:hAnsi="Times New Roman" w:eastAsia="宋体" w:cs="Times New Roman"/>
          <w:color w:val="auto"/>
          <w:spacing w:val="60"/>
          <w:sz w:val="44"/>
          <w:szCs w:val="24"/>
          <w:highlight w:val="none"/>
        </w:rPr>
      </w:pPr>
    </w:p>
    <w:tbl>
      <w:tblPr>
        <w:tblStyle w:val="5"/>
        <w:tblW w:w="0" w:type="auto"/>
        <w:tblInd w:w="528" w:type="dxa"/>
        <w:tblLayout w:type="fixed"/>
        <w:tblCellMar>
          <w:top w:w="0" w:type="dxa"/>
          <w:left w:w="108" w:type="dxa"/>
          <w:bottom w:w="0" w:type="dxa"/>
          <w:right w:w="108" w:type="dxa"/>
        </w:tblCellMar>
      </w:tblPr>
      <w:tblGrid>
        <w:gridCol w:w="1995"/>
        <w:gridCol w:w="236"/>
        <w:gridCol w:w="6109"/>
      </w:tblGrid>
      <w:tr w14:paraId="0240970E">
        <w:tblPrEx>
          <w:tblCellMar>
            <w:top w:w="0" w:type="dxa"/>
            <w:left w:w="108" w:type="dxa"/>
            <w:bottom w:w="0" w:type="dxa"/>
            <w:right w:w="108" w:type="dxa"/>
          </w:tblCellMar>
        </w:tblPrEx>
        <w:trPr>
          <w:trHeight w:val="886" w:hRule="atLeast"/>
        </w:trPr>
        <w:tc>
          <w:tcPr>
            <w:tcW w:w="1995" w:type="dxa"/>
            <w:noWrap w:val="0"/>
            <w:vAlign w:val="center"/>
          </w:tcPr>
          <w:p w14:paraId="659628A5">
            <w:pPr>
              <w:ind w:left="-80" w:right="-76" w:rightChars="-36" w:firstLine="80"/>
              <w:jc w:val="distribute"/>
              <w:rPr>
                <w:rFonts w:hint="eastAsia" w:ascii="宋体" w:hAnsi="宋体" w:eastAsia="宋体" w:cs="Times New Roman"/>
                <w:color w:val="auto"/>
                <w:spacing w:val="60"/>
                <w:sz w:val="44"/>
                <w:szCs w:val="24"/>
                <w:highlight w:val="none"/>
              </w:rPr>
            </w:pPr>
            <w:r>
              <w:rPr>
                <w:rFonts w:hint="eastAsia" w:ascii="宋体" w:hAnsi="宋体" w:eastAsia="宋体" w:cs="Times New Roman"/>
                <w:color w:val="auto"/>
                <w:spacing w:val="60"/>
                <w:sz w:val="32"/>
                <w:szCs w:val="24"/>
                <w:highlight w:val="none"/>
              </w:rPr>
              <w:t>项目名称</w:t>
            </w:r>
          </w:p>
        </w:tc>
        <w:tc>
          <w:tcPr>
            <w:tcW w:w="236" w:type="dxa"/>
            <w:noWrap w:val="0"/>
            <w:vAlign w:val="center"/>
          </w:tcPr>
          <w:p w14:paraId="44C86C0D">
            <w:pPr>
              <w:ind w:left="-108" w:right="-82" w:rightChars="-39"/>
              <w:jc w:val="center"/>
              <w:rPr>
                <w:rFonts w:hint="eastAsia" w:ascii="宋体" w:hAnsi="宋体" w:eastAsia="宋体" w:cs="Times New Roman"/>
                <w:color w:val="auto"/>
                <w:spacing w:val="60"/>
                <w:sz w:val="44"/>
                <w:szCs w:val="24"/>
                <w:highlight w:val="none"/>
              </w:rPr>
            </w:pPr>
            <w:r>
              <w:rPr>
                <w:rFonts w:hint="eastAsia" w:ascii="宋体" w:hAnsi="宋体" w:eastAsia="宋体" w:cs="Times New Roman"/>
                <w:color w:val="auto"/>
                <w:spacing w:val="60"/>
                <w:sz w:val="32"/>
                <w:szCs w:val="24"/>
                <w:highlight w:val="none"/>
              </w:rPr>
              <w:t>：</w:t>
            </w:r>
          </w:p>
        </w:tc>
        <w:tc>
          <w:tcPr>
            <w:tcW w:w="6109" w:type="dxa"/>
            <w:tcBorders>
              <w:bottom w:val="single" w:color="auto" w:sz="4" w:space="0"/>
            </w:tcBorders>
            <w:noWrap w:val="0"/>
            <w:vAlign w:val="center"/>
          </w:tcPr>
          <w:p w14:paraId="18B686FE">
            <w:pPr>
              <w:jc w:val="center"/>
              <w:rPr>
                <w:rFonts w:hint="eastAsia" w:ascii="Calibri" w:hAnsi="Calibri" w:eastAsia="楷体_GB2312" w:cs="Times New Roman"/>
                <w:b/>
                <w:color w:val="auto"/>
                <w:spacing w:val="10"/>
                <w:sz w:val="28"/>
                <w:szCs w:val="24"/>
                <w:highlight w:val="none"/>
              </w:rPr>
            </w:pPr>
            <w:r>
              <w:rPr>
                <w:rFonts w:hint="eastAsia" w:ascii="Calibri" w:hAnsi="Calibri" w:eastAsia="楷体_GB2312" w:cs="Times New Roman"/>
                <w:b/>
                <w:color w:val="auto"/>
                <w:spacing w:val="10"/>
                <w:sz w:val="28"/>
                <w:szCs w:val="24"/>
                <w:highlight w:val="none"/>
                <w:lang w:eastAsia="zh-CN"/>
              </w:rPr>
              <w:t>连城县闽江九龙江（连城段）水环境综合治理工程（一期）可研及初设编制服务</w:t>
            </w:r>
          </w:p>
        </w:tc>
      </w:tr>
      <w:tr w14:paraId="6C9CD6A3">
        <w:tblPrEx>
          <w:tblCellMar>
            <w:top w:w="0" w:type="dxa"/>
            <w:left w:w="108" w:type="dxa"/>
            <w:bottom w:w="0" w:type="dxa"/>
            <w:right w:w="108" w:type="dxa"/>
          </w:tblCellMar>
        </w:tblPrEx>
        <w:trPr>
          <w:trHeight w:val="151" w:hRule="atLeast"/>
        </w:trPr>
        <w:tc>
          <w:tcPr>
            <w:tcW w:w="1995" w:type="dxa"/>
            <w:noWrap w:val="0"/>
            <w:vAlign w:val="top"/>
          </w:tcPr>
          <w:p w14:paraId="10F1E853">
            <w:pPr>
              <w:ind w:left="-80" w:right="-76" w:rightChars="-36" w:firstLine="80"/>
              <w:jc w:val="distribute"/>
              <w:rPr>
                <w:rFonts w:hint="eastAsia" w:ascii="宋体" w:hAnsi="宋体" w:eastAsia="宋体" w:cs="Times New Roman"/>
                <w:color w:val="auto"/>
                <w:spacing w:val="160"/>
                <w:sz w:val="32"/>
                <w:szCs w:val="24"/>
                <w:highlight w:val="none"/>
              </w:rPr>
            </w:pPr>
          </w:p>
        </w:tc>
        <w:tc>
          <w:tcPr>
            <w:tcW w:w="236" w:type="dxa"/>
            <w:noWrap w:val="0"/>
            <w:vAlign w:val="center"/>
          </w:tcPr>
          <w:p w14:paraId="10720521">
            <w:pPr>
              <w:ind w:left="-108" w:right="-82" w:rightChars="-39"/>
              <w:jc w:val="center"/>
              <w:rPr>
                <w:rFonts w:hint="eastAsia" w:ascii="宋体" w:hAnsi="宋体" w:eastAsia="宋体" w:cs="Times New Roman"/>
                <w:color w:val="auto"/>
                <w:spacing w:val="60"/>
                <w:sz w:val="32"/>
                <w:szCs w:val="24"/>
                <w:highlight w:val="none"/>
              </w:rPr>
            </w:pPr>
          </w:p>
        </w:tc>
        <w:tc>
          <w:tcPr>
            <w:tcW w:w="6109" w:type="dxa"/>
            <w:tcBorders>
              <w:top w:val="single" w:color="auto" w:sz="4" w:space="0"/>
            </w:tcBorders>
            <w:noWrap w:val="0"/>
            <w:vAlign w:val="center"/>
          </w:tcPr>
          <w:p w14:paraId="7CBA2D89">
            <w:pPr>
              <w:ind w:firstLine="272"/>
              <w:jc w:val="center"/>
              <w:rPr>
                <w:rFonts w:hint="eastAsia" w:ascii="楷体_GB2312" w:hAnsi="宋体" w:eastAsia="楷体_GB2312" w:cs="Times New Roman"/>
                <w:color w:val="auto"/>
                <w:sz w:val="28"/>
                <w:szCs w:val="28"/>
                <w:highlight w:val="none"/>
              </w:rPr>
            </w:pPr>
          </w:p>
        </w:tc>
      </w:tr>
      <w:tr w14:paraId="4B3E699D">
        <w:tblPrEx>
          <w:tblCellMar>
            <w:top w:w="0" w:type="dxa"/>
            <w:left w:w="108" w:type="dxa"/>
            <w:bottom w:w="0" w:type="dxa"/>
            <w:right w:w="108" w:type="dxa"/>
          </w:tblCellMar>
        </w:tblPrEx>
        <w:trPr>
          <w:trHeight w:val="660" w:hRule="atLeast"/>
        </w:trPr>
        <w:tc>
          <w:tcPr>
            <w:tcW w:w="1995" w:type="dxa"/>
            <w:noWrap w:val="0"/>
            <w:vAlign w:val="top"/>
          </w:tcPr>
          <w:p w14:paraId="488501E0">
            <w:pPr>
              <w:ind w:left="-80" w:right="-76" w:rightChars="-36" w:firstLine="80"/>
              <w:jc w:val="distribute"/>
              <w:rPr>
                <w:rFonts w:hint="eastAsia" w:ascii="宋体" w:hAnsi="宋体" w:eastAsia="宋体" w:cs="Times New Roman"/>
                <w:color w:val="auto"/>
                <w:spacing w:val="60"/>
                <w:sz w:val="44"/>
                <w:szCs w:val="24"/>
                <w:highlight w:val="none"/>
              </w:rPr>
            </w:pPr>
            <w:r>
              <w:rPr>
                <w:rFonts w:hint="eastAsia" w:ascii="宋体" w:hAnsi="宋体" w:eastAsia="宋体" w:cs="Times New Roman"/>
                <w:color w:val="auto"/>
                <w:spacing w:val="160"/>
                <w:sz w:val="32"/>
                <w:szCs w:val="24"/>
                <w:highlight w:val="none"/>
              </w:rPr>
              <w:t>委托</w:t>
            </w:r>
            <w:r>
              <w:rPr>
                <w:rFonts w:hint="eastAsia" w:ascii="宋体" w:hAnsi="宋体" w:eastAsia="宋体" w:cs="Times New Roman"/>
                <w:color w:val="auto"/>
                <w:spacing w:val="60"/>
                <w:sz w:val="32"/>
                <w:szCs w:val="24"/>
                <w:highlight w:val="none"/>
              </w:rPr>
              <w:t>方</w:t>
            </w:r>
            <w:r>
              <w:rPr>
                <w:rFonts w:hint="eastAsia" w:ascii="宋体" w:hAnsi="宋体" w:eastAsia="宋体" w:cs="Times New Roman"/>
                <w:color w:val="auto"/>
                <w:sz w:val="32"/>
                <w:szCs w:val="24"/>
                <w:highlight w:val="none"/>
              </w:rPr>
              <w:t>（甲 方）</w:t>
            </w:r>
          </w:p>
        </w:tc>
        <w:tc>
          <w:tcPr>
            <w:tcW w:w="236" w:type="dxa"/>
            <w:noWrap w:val="0"/>
            <w:vAlign w:val="center"/>
          </w:tcPr>
          <w:p w14:paraId="5E4CA267">
            <w:pPr>
              <w:ind w:left="-108" w:right="-82" w:rightChars="-39"/>
              <w:jc w:val="center"/>
              <w:rPr>
                <w:rFonts w:hint="eastAsia" w:ascii="宋体" w:hAnsi="宋体" w:eastAsia="宋体" w:cs="Times New Roman"/>
                <w:color w:val="auto"/>
                <w:spacing w:val="60"/>
                <w:sz w:val="44"/>
                <w:szCs w:val="24"/>
                <w:highlight w:val="none"/>
              </w:rPr>
            </w:pPr>
            <w:r>
              <w:rPr>
                <w:rFonts w:hint="eastAsia" w:ascii="宋体" w:hAnsi="宋体" w:eastAsia="宋体" w:cs="Times New Roman"/>
                <w:color w:val="auto"/>
                <w:spacing w:val="60"/>
                <w:sz w:val="32"/>
                <w:szCs w:val="24"/>
                <w:highlight w:val="none"/>
              </w:rPr>
              <w:t>：</w:t>
            </w:r>
          </w:p>
        </w:tc>
        <w:tc>
          <w:tcPr>
            <w:tcW w:w="6109" w:type="dxa"/>
            <w:tcBorders>
              <w:bottom w:val="single" w:color="auto" w:sz="4" w:space="0"/>
            </w:tcBorders>
            <w:noWrap w:val="0"/>
            <w:vAlign w:val="center"/>
          </w:tcPr>
          <w:p w14:paraId="4AF274A0">
            <w:pPr>
              <w:jc w:val="center"/>
              <w:rPr>
                <w:rFonts w:hint="eastAsia" w:ascii="楷体_GB2312" w:hAnsi="宋体" w:eastAsia="楷体_GB2312" w:cs="Times New Roman"/>
                <w:color w:val="auto"/>
                <w:sz w:val="28"/>
                <w:szCs w:val="28"/>
                <w:highlight w:val="none"/>
              </w:rPr>
            </w:pPr>
            <w:r>
              <w:rPr>
                <w:rFonts w:hint="eastAsia" w:ascii="Calibri" w:hAnsi="Calibri" w:eastAsia="楷体_GB2312" w:cs="Times New Roman"/>
                <w:b/>
                <w:color w:val="auto"/>
                <w:spacing w:val="10"/>
                <w:sz w:val="28"/>
                <w:szCs w:val="24"/>
                <w:highlight w:val="none"/>
              </w:rPr>
              <w:t>连城县莲达水务投资有限公司</w:t>
            </w:r>
            <w:r>
              <w:rPr>
                <w:rFonts w:hint="eastAsia" w:ascii="楷体_GB2312" w:hAnsi="Times New Roman" w:eastAsia="楷体_GB2312" w:cs="Times New Roman"/>
                <w:b/>
                <w:color w:val="auto"/>
                <w:spacing w:val="10"/>
                <w:sz w:val="28"/>
                <w:szCs w:val="24"/>
                <w:highlight w:val="none"/>
              </w:rPr>
              <w:t xml:space="preserve">  </w:t>
            </w:r>
            <w:r>
              <w:rPr>
                <w:rFonts w:hint="eastAsia" w:ascii="Times New Roman" w:hAnsi="Times New Roman" w:eastAsia="楷体_GB2312" w:cs="Times New Roman"/>
                <w:b/>
                <w:color w:val="auto"/>
                <w:sz w:val="28"/>
                <w:szCs w:val="28"/>
                <w:highlight w:val="none"/>
              </w:rPr>
              <w:t xml:space="preserve"> </w:t>
            </w:r>
          </w:p>
        </w:tc>
      </w:tr>
      <w:tr w14:paraId="6A07658C">
        <w:tblPrEx>
          <w:tblCellMar>
            <w:top w:w="0" w:type="dxa"/>
            <w:left w:w="108" w:type="dxa"/>
            <w:bottom w:w="0" w:type="dxa"/>
            <w:right w:w="108" w:type="dxa"/>
          </w:tblCellMar>
        </w:tblPrEx>
        <w:trPr>
          <w:trHeight w:val="153" w:hRule="atLeast"/>
        </w:trPr>
        <w:tc>
          <w:tcPr>
            <w:tcW w:w="1995" w:type="dxa"/>
            <w:noWrap w:val="0"/>
            <w:vAlign w:val="top"/>
          </w:tcPr>
          <w:p w14:paraId="038D0DB8">
            <w:pPr>
              <w:ind w:left="-80" w:right="-76" w:rightChars="-36" w:firstLine="80"/>
              <w:rPr>
                <w:rFonts w:hint="eastAsia" w:ascii="宋体" w:hAnsi="宋体" w:eastAsia="宋体" w:cs="Times New Roman"/>
                <w:color w:val="auto"/>
                <w:spacing w:val="60"/>
                <w:sz w:val="32"/>
                <w:szCs w:val="24"/>
                <w:highlight w:val="none"/>
              </w:rPr>
            </w:pPr>
          </w:p>
        </w:tc>
        <w:tc>
          <w:tcPr>
            <w:tcW w:w="236" w:type="dxa"/>
            <w:noWrap w:val="0"/>
            <w:vAlign w:val="center"/>
          </w:tcPr>
          <w:p w14:paraId="72361DB8">
            <w:pPr>
              <w:ind w:left="-108" w:right="-82" w:rightChars="-39"/>
              <w:jc w:val="center"/>
              <w:rPr>
                <w:rFonts w:hint="eastAsia" w:ascii="华文仿宋" w:hAnsi="华文仿宋" w:eastAsia="华文仿宋" w:cs="Times New Roman"/>
                <w:color w:val="auto"/>
                <w:sz w:val="32"/>
                <w:szCs w:val="32"/>
                <w:highlight w:val="none"/>
              </w:rPr>
            </w:pPr>
          </w:p>
        </w:tc>
        <w:tc>
          <w:tcPr>
            <w:tcW w:w="6109" w:type="dxa"/>
            <w:tcBorders>
              <w:top w:val="single" w:color="auto" w:sz="4" w:space="0"/>
            </w:tcBorders>
            <w:noWrap w:val="0"/>
            <w:vAlign w:val="center"/>
          </w:tcPr>
          <w:p w14:paraId="1914525F">
            <w:pPr>
              <w:jc w:val="center"/>
              <w:rPr>
                <w:rFonts w:hint="eastAsia" w:ascii="华文楷体" w:hAnsi="华文楷体" w:eastAsia="华文楷体" w:cs="Times New Roman"/>
                <w:b/>
                <w:bCs/>
                <w:color w:val="auto"/>
                <w:sz w:val="32"/>
                <w:szCs w:val="32"/>
                <w:highlight w:val="none"/>
              </w:rPr>
            </w:pPr>
          </w:p>
        </w:tc>
      </w:tr>
      <w:tr w14:paraId="558381BD">
        <w:tblPrEx>
          <w:tblCellMar>
            <w:top w:w="0" w:type="dxa"/>
            <w:left w:w="108" w:type="dxa"/>
            <w:bottom w:w="0" w:type="dxa"/>
            <w:right w:w="108" w:type="dxa"/>
          </w:tblCellMar>
        </w:tblPrEx>
        <w:trPr>
          <w:trHeight w:val="660" w:hRule="atLeast"/>
        </w:trPr>
        <w:tc>
          <w:tcPr>
            <w:tcW w:w="1995" w:type="dxa"/>
            <w:noWrap w:val="0"/>
            <w:vAlign w:val="top"/>
          </w:tcPr>
          <w:p w14:paraId="425ADE68">
            <w:pPr>
              <w:ind w:left="-80" w:right="-76" w:rightChars="-36" w:firstLine="80"/>
              <w:jc w:val="distribute"/>
              <w:rPr>
                <w:rFonts w:hint="eastAsia" w:ascii="宋体" w:hAnsi="宋体" w:eastAsia="宋体" w:cs="Times New Roman"/>
                <w:color w:val="auto"/>
                <w:spacing w:val="160"/>
                <w:sz w:val="32"/>
                <w:szCs w:val="24"/>
                <w:highlight w:val="none"/>
              </w:rPr>
            </w:pPr>
            <w:r>
              <w:rPr>
                <w:rFonts w:hint="eastAsia" w:ascii="宋体" w:hAnsi="宋体" w:eastAsia="宋体" w:cs="Times New Roman"/>
                <w:color w:val="auto"/>
                <w:spacing w:val="160"/>
                <w:sz w:val="32"/>
                <w:szCs w:val="24"/>
                <w:highlight w:val="none"/>
              </w:rPr>
              <w:t>承接</w:t>
            </w:r>
            <w:r>
              <w:rPr>
                <w:rFonts w:hint="eastAsia" w:ascii="宋体" w:hAnsi="宋体" w:eastAsia="宋体" w:cs="Times New Roman"/>
                <w:color w:val="auto"/>
                <w:spacing w:val="60"/>
                <w:sz w:val="32"/>
                <w:szCs w:val="24"/>
                <w:highlight w:val="none"/>
              </w:rPr>
              <w:t>方</w:t>
            </w:r>
            <w:r>
              <w:rPr>
                <w:rFonts w:hint="eastAsia" w:ascii="宋体" w:hAnsi="宋体" w:eastAsia="宋体" w:cs="Times New Roman"/>
                <w:color w:val="auto"/>
                <w:sz w:val="32"/>
                <w:szCs w:val="24"/>
                <w:highlight w:val="none"/>
              </w:rPr>
              <w:t>（乙 方）</w:t>
            </w:r>
          </w:p>
        </w:tc>
        <w:tc>
          <w:tcPr>
            <w:tcW w:w="236" w:type="dxa"/>
            <w:noWrap w:val="0"/>
            <w:vAlign w:val="center"/>
          </w:tcPr>
          <w:p w14:paraId="72F0C48B">
            <w:pPr>
              <w:ind w:left="-108" w:right="-82" w:rightChars="-39"/>
              <w:jc w:val="center"/>
              <w:rPr>
                <w:rFonts w:hint="eastAsia" w:ascii="宋体" w:hAnsi="宋体" w:eastAsia="宋体" w:cs="Times New Roman"/>
                <w:color w:val="auto"/>
                <w:spacing w:val="60"/>
                <w:sz w:val="32"/>
                <w:szCs w:val="24"/>
                <w:highlight w:val="none"/>
              </w:rPr>
            </w:pPr>
            <w:r>
              <w:rPr>
                <w:rFonts w:hint="eastAsia" w:ascii="华文仿宋" w:hAnsi="华文仿宋" w:eastAsia="华文仿宋" w:cs="Times New Roman"/>
                <w:color w:val="auto"/>
                <w:sz w:val="32"/>
                <w:szCs w:val="32"/>
                <w:highlight w:val="none"/>
              </w:rPr>
              <w:t>：</w:t>
            </w:r>
          </w:p>
        </w:tc>
        <w:tc>
          <w:tcPr>
            <w:tcW w:w="6109" w:type="dxa"/>
            <w:tcBorders>
              <w:bottom w:val="single" w:color="auto" w:sz="4" w:space="0"/>
            </w:tcBorders>
            <w:noWrap w:val="0"/>
            <w:vAlign w:val="center"/>
          </w:tcPr>
          <w:p w14:paraId="1944DC17">
            <w:pPr>
              <w:jc w:val="center"/>
              <w:rPr>
                <w:rFonts w:hint="eastAsia" w:ascii="楷体_GB2312" w:hAnsi="宋体" w:eastAsia="楷体_GB2312" w:cs="Times New Roman"/>
                <w:b/>
                <w:color w:val="auto"/>
                <w:sz w:val="28"/>
                <w:szCs w:val="28"/>
                <w:highlight w:val="none"/>
              </w:rPr>
            </w:pPr>
          </w:p>
        </w:tc>
      </w:tr>
      <w:tr w14:paraId="63AE4C30">
        <w:tblPrEx>
          <w:tblCellMar>
            <w:top w:w="0" w:type="dxa"/>
            <w:left w:w="108" w:type="dxa"/>
            <w:bottom w:w="0" w:type="dxa"/>
            <w:right w:w="108" w:type="dxa"/>
          </w:tblCellMar>
        </w:tblPrEx>
        <w:trPr>
          <w:trHeight w:val="70" w:hRule="atLeast"/>
        </w:trPr>
        <w:tc>
          <w:tcPr>
            <w:tcW w:w="1995" w:type="dxa"/>
            <w:noWrap w:val="0"/>
            <w:vAlign w:val="center"/>
          </w:tcPr>
          <w:p w14:paraId="5C7A47C4">
            <w:pPr>
              <w:ind w:left="-80" w:right="-76" w:rightChars="-36" w:firstLine="80"/>
              <w:jc w:val="center"/>
              <w:rPr>
                <w:rFonts w:hint="eastAsia" w:ascii="宋体" w:hAnsi="宋体" w:eastAsia="宋体" w:cs="Times New Roman"/>
                <w:color w:val="auto"/>
                <w:spacing w:val="60"/>
                <w:sz w:val="32"/>
                <w:szCs w:val="24"/>
                <w:highlight w:val="none"/>
              </w:rPr>
            </w:pPr>
          </w:p>
        </w:tc>
        <w:tc>
          <w:tcPr>
            <w:tcW w:w="236" w:type="dxa"/>
            <w:noWrap w:val="0"/>
            <w:vAlign w:val="center"/>
          </w:tcPr>
          <w:p w14:paraId="3E881AA1">
            <w:pPr>
              <w:ind w:left="-108" w:right="-82" w:rightChars="-39"/>
              <w:jc w:val="center"/>
              <w:rPr>
                <w:rFonts w:hint="eastAsia" w:ascii="华文仿宋" w:hAnsi="华文仿宋" w:eastAsia="华文仿宋" w:cs="Times New Roman"/>
                <w:color w:val="auto"/>
                <w:sz w:val="32"/>
                <w:szCs w:val="32"/>
                <w:highlight w:val="none"/>
              </w:rPr>
            </w:pPr>
          </w:p>
        </w:tc>
        <w:tc>
          <w:tcPr>
            <w:tcW w:w="6109" w:type="dxa"/>
            <w:tcBorders>
              <w:top w:val="single" w:color="auto" w:sz="4" w:space="0"/>
            </w:tcBorders>
            <w:noWrap w:val="0"/>
            <w:vAlign w:val="center"/>
          </w:tcPr>
          <w:p w14:paraId="0FA4D1B9">
            <w:pPr>
              <w:jc w:val="center"/>
              <w:rPr>
                <w:rFonts w:hint="eastAsia" w:ascii="华文仿宋" w:hAnsi="华文仿宋" w:eastAsia="华文仿宋" w:cs="Times New Roman"/>
                <w:b/>
                <w:bCs/>
                <w:color w:val="auto"/>
                <w:szCs w:val="30"/>
                <w:highlight w:val="none"/>
              </w:rPr>
            </w:pPr>
          </w:p>
        </w:tc>
      </w:tr>
      <w:tr w14:paraId="72B06263">
        <w:tblPrEx>
          <w:tblCellMar>
            <w:top w:w="0" w:type="dxa"/>
            <w:left w:w="108" w:type="dxa"/>
            <w:bottom w:w="0" w:type="dxa"/>
            <w:right w:w="108" w:type="dxa"/>
          </w:tblCellMar>
        </w:tblPrEx>
        <w:trPr>
          <w:trHeight w:val="70" w:hRule="atLeast"/>
        </w:trPr>
        <w:tc>
          <w:tcPr>
            <w:tcW w:w="1995" w:type="dxa"/>
            <w:noWrap w:val="0"/>
            <w:vAlign w:val="center"/>
          </w:tcPr>
          <w:p w14:paraId="61AA165E">
            <w:pPr>
              <w:ind w:left="-80" w:right="-76" w:rightChars="-36" w:firstLine="80"/>
              <w:jc w:val="center"/>
              <w:rPr>
                <w:rFonts w:hint="eastAsia" w:ascii="宋体" w:hAnsi="宋体" w:eastAsia="宋体" w:cs="Times New Roman"/>
                <w:color w:val="auto"/>
                <w:spacing w:val="60"/>
                <w:sz w:val="32"/>
                <w:szCs w:val="24"/>
                <w:highlight w:val="none"/>
              </w:rPr>
            </w:pPr>
          </w:p>
        </w:tc>
        <w:tc>
          <w:tcPr>
            <w:tcW w:w="236" w:type="dxa"/>
            <w:noWrap w:val="0"/>
            <w:vAlign w:val="center"/>
          </w:tcPr>
          <w:p w14:paraId="5C537B0B">
            <w:pPr>
              <w:ind w:left="-108" w:right="-82" w:rightChars="-39"/>
              <w:jc w:val="center"/>
              <w:rPr>
                <w:rFonts w:hint="eastAsia" w:ascii="华文仿宋" w:hAnsi="华文仿宋" w:eastAsia="华文仿宋" w:cs="Times New Roman"/>
                <w:color w:val="auto"/>
                <w:sz w:val="32"/>
                <w:szCs w:val="32"/>
                <w:highlight w:val="none"/>
              </w:rPr>
            </w:pPr>
          </w:p>
        </w:tc>
        <w:tc>
          <w:tcPr>
            <w:tcW w:w="6109" w:type="dxa"/>
            <w:noWrap w:val="0"/>
            <w:vAlign w:val="center"/>
          </w:tcPr>
          <w:p w14:paraId="2E077C1B">
            <w:pPr>
              <w:jc w:val="center"/>
              <w:rPr>
                <w:rFonts w:hint="eastAsia" w:ascii="华文仿宋" w:hAnsi="华文仿宋" w:eastAsia="华文仿宋" w:cs="Times New Roman"/>
                <w:b/>
                <w:bCs/>
                <w:color w:val="auto"/>
                <w:szCs w:val="30"/>
                <w:highlight w:val="none"/>
              </w:rPr>
            </w:pPr>
          </w:p>
        </w:tc>
      </w:tr>
      <w:tr w14:paraId="03825CAA">
        <w:tblPrEx>
          <w:tblCellMar>
            <w:top w:w="0" w:type="dxa"/>
            <w:left w:w="108" w:type="dxa"/>
            <w:bottom w:w="0" w:type="dxa"/>
            <w:right w:w="108" w:type="dxa"/>
          </w:tblCellMar>
        </w:tblPrEx>
        <w:trPr>
          <w:trHeight w:val="528" w:hRule="atLeast"/>
        </w:trPr>
        <w:tc>
          <w:tcPr>
            <w:tcW w:w="1995" w:type="dxa"/>
            <w:noWrap w:val="0"/>
            <w:vAlign w:val="center"/>
          </w:tcPr>
          <w:p w14:paraId="120A3BB3">
            <w:pPr>
              <w:ind w:left="-80" w:right="-76" w:rightChars="-36" w:firstLine="80"/>
              <w:jc w:val="center"/>
              <w:rPr>
                <w:rFonts w:hint="eastAsia" w:ascii="宋体" w:hAnsi="宋体" w:eastAsia="宋体" w:cs="Times New Roman"/>
                <w:color w:val="auto"/>
                <w:sz w:val="28"/>
                <w:szCs w:val="24"/>
                <w:highlight w:val="none"/>
              </w:rPr>
            </w:pPr>
            <w:r>
              <w:rPr>
                <w:rFonts w:hint="eastAsia" w:ascii="宋体" w:hAnsi="宋体" w:eastAsia="宋体" w:cs="Times New Roman"/>
                <w:color w:val="auto"/>
                <w:spacing w:val="60"/>
                <w:sz w:val="32"/>
                <w:szCs w:val="24"/>
                <w:highlight w:val="none"/>
              </w:rPr>
              <w:t>签订地点</w:t>
            </w:r>
          </w:p>
        </w:tc>
        <w:tc>
          <w:tcPr>
            <w:tcW w:w="236" w:type="dxa"/>
            <w:noWrap w:val="0"/>
            <w:vAlign w:val="center"/>
          </w:tcPr>
          <w:p w14:paraId="728538EC">
            <w:pPr>
              <w:ind w:left="-108" w:right="-82" w:rightChars="-39"/>
              <w:jc w:val="center"/>
              <w:rPr>
                <w:rFonts w:hint="eastAsia" w:ascii="宋体" w:hAnsi="宋体" w:eastAsia="宋体" w:cs="Times New Roman"/>
                <w:color w:val="auto"/>
                <w:spacing w:val="60"/>
                <w:sz w:val="32"/>
                <w:szCs w:val="24"/>
                <w:highlight w:val="none"/>
              </w:rPr>
            </w:pPr>
            <w:r>
              <w:rPr>
                <w:rFonts w:hint="eastAsia" w:ascii="华文仿宋" w:hAnsi="华文仿宋" w:eastAsia="华文仿宋" w:cs="Times New Roman"/>
                <w:color w:val="auto"/>
                <w:sz w:val="32"/>
                <w:szCs w:val="32"/>
                <w:highlight w:val="none"/>
              </w:rPr>
              <w:t>：</w:t>
            </w:r>
          </w:p>
        </w:tc>
        <w:tc>
          <w:tcPr>
            <w:tcW w:w="6109" w:type="dxa"/>
            <w:noWrap w:val="0"/>
            <w:vAlign w:val="center"/>
          </w:tcPr>
          <w:p w14:paraId="72E23FED">
            <w:pPr>
              <w:jc w:val="center"/>
              <w:rPr>
                <w:rFonts w:hint="eastAsia" w:ascii="楷体_GB2312" w:hAnsi="Times New Roman" w:eastAsia="楷体_GB2312" w:cs="Times New Roman"/>
                <w:b/>
                <w:color w:val="auto"/>
                <w:spacing w:val="10"/>
                <w:sz w:val="28"/>
                <w:szCs w:val="24"/>
                <w:highlight w:val="none"/>
              </w:rPr>
            </w:pPr>
            <w:r>
              <w:rPr>
                <w:rFonts w:hint="eastAsia" w:ascii="楷体_GB2312" w:hAnsi="Times New Roman" w:eastAsia="楷体_GB2312" w:cs="Times New Roman"/>
                <w:b/>
                <w:color w:val="auto"/>
                <w:spacing w:val="10"/>
                <w:sz w:val="28"/>
                <w:szCs w:val="24"/>
                <w:highlight w:val="none"/>
              </w:rPr>
              <w:t>连城县</w:t>
            </w:r>
          </w:p>
        </w:tc>
      </w:tr>
      <w:tr w14:paraId="122D9056">
        <w:tblPrEx>
          <w:tblCellMar>
            <w:top w:w="0" w:type="dxa"/>
            <w:left w:w="108" w:type="dxa"/>
            <w:bottom w:w="0" w:type="dxa"/>
            <w:right w:w="108" w:type="dxa"/>
          </w:tblCellMar>
        </w:tblPrEx>
        <w:trPr>
          <w:trHeight w:val="528" w:hRule="atLeast"/>
        </w:trPr>
        <w:tc>
          <w:tcPr>
            <w:tcW w:w="1995" w:type="dxa"/>
            <w:noWrap w:val="0"/>
            <w:vAlign w:val="center"/>
          </w:tcPr>
          <w:p w14:paraId="355E3F7F">
            <w:pPr>
              <w:ind w:left="-80" w:right="-76" w:rightChars="-36" w:firstLine="80"/>
              <w:jc w:val="center"/>
              <w:rPr>
                <w:rFonts w:hint="eastAsia" w:ascii="宋体" w:hAnsi="宋体" w:eastAsia="宋体" w:cs="Times New Roman"/>
                <w:color w:val="auto"/>
                <w:spacing w:val="60"/>
                <w:sz w:val="32"/>
                <w:szCs w:val="24"/>
                <w:highlight w:val="none"/>
              </w:rPr>
            </w:pPr>
          </w:p>
        </w:tc>
        <w:tc>
          <w:tcPr>
            <w:tcW w:w="236" w:type="dxa"/>
            <w:noWrap w:val="0"/>
            <w:vAlign w:val="center"/>
          </w:tcPr>
          <w:p w14:paraId="0E919A1B">
            <w:pPr>
              <w:ind w:left="-108" w:right="-82" w:rightChars="-39"/>
              <w:jc w:val="center"/>
              <w:rPr>
                <w:rFonts w:hint="eastAsia" w:ascii="华文仿宋" w:hAnsi="华文仿宋" w:eastAsia="华文仿宋" w:cs="Times New Roman"/>
                <w:color w:val="auto"/>
                <w:sz w:val="32"/>
                <w:szCs w:val="32"/>
                <w:highlight w:val="none"/>
              </w:rPr>
            </w:pPr>
          </w:p>
        </w:tc>
        <w:tc>
          <w:tcPr>
            <w:tcW w:w="6109" w:type="dxa"/>
            <w:tcBorders>
              <w:top w:val="single" w:color="auto" w:sz="4" w:space="0"/>
            </w:tcBorders>
            <w:noWrap w:val="0"/>
            <w:vAlign w:val="center"/>
          </w:tcPr>
          <w:p w14:paraId="7D5D5CBB">
            <w:pPr>
              <w:jc w:val="center"/>
              <w:rPr>
                <w:rFonts w:hint="eastAsia" w:ascii="楷体_GB2312" w:hAnsi="宋体" w:eastAsia="楷体_GB2312" w:cs="Times New Roman"/>
                <w:b/>
                <w:color w:val="auto"/>
                <w:sz w:val="28"/>
                <w:szCs w:val="28"/>
                <w:highlight w:val="none"/>
              </w:rPr>
            </w:pPr>
          </w:p>
        </w:tc>
      </w:tr>
      <w:tr w14:paraId="5F4DC6EC">
        <w:tblPrEx>
          <w:tblCellMar>
            <w:top w:w="0" w:type="dxa"/>
            <w:left w:w="108" w:type="dxa"/>
            <w:bottom w:w="0" w:type="dxa"/>
            <w:right w:w="108" w:type="dxa"/>
          </w:tblCellMar>
        </w:tblPrEx>
        <w:trPr>
          <w:trHeight w:val="555" w:hRule="atLeast"/>
        </w:trPr>
        <w:tc>
          <w:tcPr>
            <w:tcW w:w="1995" w:type="dxa"/>
            <w:noWrap w:val="0"/>
            <w:vAlign w:val="center"/>
          </w:tcPr>
          <w:p w14:paraId="0A6805DB">
            <w:pPr>
              <w:ind w:left="-80" w:right="-76" w:rightChars="-36" w:firstLine="80"/>
              <w:jc w:val="center"/>
              <w:rPr>
                <w:rFonts w:hint="eastAsia" w:ascii="宋体" w:hAnsi="宋体" w:eastAsia="宋体" w:cs="Times New Roman"/>
                <w:color w:val="auto"/>
                <w:spacing w:val="60"/>
                <w:sz w:val="32"/>
                <w:szCs w:val="24"/>
                <w:highlight w:val="none"/>
              </w:rPr>
            </w:pPr>
            <w:r>
              <w:rPr>
                <w:rFonts w:hint="eastAsia" w:ascii="宋体" w:hAnsi="宋体" w:eastAsia="宋体" w:cs="Times New Roman"/>
                <w:color w:val="auto"/>
                <w:spacing w:val="60"/>
                <w:sz w:val="32"/>
                <w:szCs w:val="24"/>
                <w:highlight w:val="none"/>
              </w:rPr>
              <w:t>签订日期</w:t>
            </w:r>
          </w:p>
        </w:tc>
        <w:tc>
          <w:tcPr>
            <w:tcW w:w="236" w:type="dxa"/>
            <w:noWrap w:val="0"/>
            <w:vAlign w:val="center"/>
          </w:tcPr>
          <w:p w14:paraId="17CA2643">
            <w:pPr>
              <w:ind w:left="-108" w:right="-82" w:rightChars="-39"/>
              <w:jc w:val="center"/>
              <w:rPr>
                <w:rFonts w:hint="eastAsia" w:ascii="宋体" w:hAnsi="宋体" w:eastAsia="宋体" w:cs="Times New Roman"/>
                <w:color w:val="auto"/>
                <w:spacing w:val="60"/>
                <w:sz w:val="32"/>
                <w:szCs w:val="24"/>
                <w:highlight w:val="none"/>
              </w:rPr>
            </w:pPr>
            <w:r>
              <w:rPr>
                <w:rFonts w:hint="eastAsia" w:ascii="华文仿宋" w:hAnsi="华文仿宋" w:eastAsia="华文仿宋" w:cs="Times New Roman"/>
                <w:color w:val="auto"/>
                <w:sz w:val="32"/>
                <w:szCs w:val="32"/>
                <w:highlight w:val="none"/>
              </w:rPr>
              <w:t>：</w:t>
            </w:r>
          </w:p>
        </w:tc>
        <w:tc>
          <w:tcPr>
            <w:tcW w:w="6109" w:type="dxa"/>
            <w:tcBorders>
              <w:bottom w:val="single" w:color="auto" w:sz="4" w:space="0"/>
            </w:tcBorders>
            <w:noWrap w:val="0"/>
            <w:vAlign w:val="center"/>
          </w:tcPr>
          <w:p w14:paraId="7C54EBC5">
            <w:pPr>
              <w:jc w:val="center"/>
              <w:rPr>
                <w:rFonts w:hint="eastAsia" w:ascii="楷体_GB2312" w:hAnsi="宋体" w:eastAsia="楷体_GB2312" w:cs="Times New Roman"/>
                <w:b/>
                <w:color w:val="auto"/>
                <w:sz w:val="28"/>
                <w:szCs w:val="28"/>
                <w:highlight w:val="none"/>
              </w:rPr>
            </w:pPr>
          </w:p>
        </w:tc>
      </w:tr>
      <w:tr w14:paraId="65B4787F">
        <w:tblPrEx>
          <w:tblCellMar>
            <w:top w:w="0" w:type="dxa"/>
            <w:left w:w="108" w:type="dxa"/>
            <w:bottom w:w="0" w:type="dxa"/>
            <w:right w:w="108" w:type="dxa"/>
          </w:tblCellMar>
        </w:tblPrEx>
        <w:trPr>
          <w:trHeight w:val="397" w:hRule="atLeast"/>
        </w:trPr>
        <w:tc>
          <w:tcPr>
            <w:tcW w:w="1995" w:type="dxa"/>
            <w:noWrap w:val="0"/>
            <w:vAlign w:val="center"/>
          </w:tcPr>
          <w:p w14:paraId="79FA4F71">
            <w:pPr>
              <w:ind w:left="-80" w:right="-76" w:rightChars="-36" w:firstLine="80"/>
              <w:jc w:val="center"/>
              <w:rPr>
                <w:rFonts w:hint="eastAsia" w:ascii="宋体" w:hAnsi="宋体" w:eastAsia="宋体" w:cs="Times New Roman"/>
                <w:color w:val="auto"/>
                <w:spacing w:val="60"/>
                <w:sz w:val="32"/>
                <w:szCs w:val="24"/>
                <w:highlight w:val="none"/>
              </w:rPr>
            </w:pPr>
          </w:p>
        </w:tc>
        <w:tc>
          <w:tcPr>
            <w:tcW w:w="236" w:type="dxa"/>
            <w:noWrap w:val="0"/>
            <w:vAlign w:val="center"/>
          </w:tcPr>
          <w:p w14:paraId="762BBB88">
            <w:pPr>
              <w:ind w:left="-108" w:right="-82" w:rightChars="-39"/>
              <w:jc w:val="center"/>
              <w:rPr>
                <w:rFonts w:hint="eastAsia" w:ascii="华文仿宋" w:hAnsi="华文仿宋" w:eastAsia="华文仿宋" w:cs="Times New Roman"/>
                <w:color w:val="auto"/>
                <w:sz w:val="32"/>
                <w:szCs w:val="32"/>
                <w:highlight w:val="none"/>
              </w:rPr>
            </w:pPr>
          </w:p>
        </w:tc>
        <w:tc>
          <w:tcPr>
            <w:tcW w:w="6109" w:type="dxa"/>
            <w:tcBorders>
              <w:top w:val="single" w:color="auto" w:sz="4" w:space="0"/>
            </w:tcBorders>
            <w:noWrap w:val="0"/>
            <w:vAlign w:val="center"/>
          </w:tcPr>
          <w:p w14:paraId="2D5ABCC0">
            <w:pPr>
              <w:jc w:val="center"/>
              <w:rPr>
                <w:rFonts w:hint="eastAsia" w:ascii="楷体_GB2312" w:hAnsi="宋体" w:eastAsia="楷体_GB2312" w:cs="Times New Roman"/>
                <w:b/>
                <w:color w:val="auto"/>
                <w:sz w:val="28"/>
                <w:szCs w:val="28"/>
                <w:highlight w:val="none"/>
              </w:rPr>
            </w:pPr>
          </w:p>
        </w:tc>
      </w:tr>
      <w:tr w14:paraId="25D4E9E8">
        <w:tblPrEx>
          <w:tblCellMar>
            <w:top w:w="0" w:type="dxa"/>
            <w:left w:w="108" w:type="dxa"/>
            <w:bottom w:w="0" w:type="dxa"/>
            <w:right w:w="108" w:type="dxa"/>
          </w:tblCellMar>
        </w:tblPrEx>
        <w:trPr>
          <w:trHeight w:val="544" w:hRule="atLeast"/>
        </w:trPr>
        <w:tc>
          <w:tcPr>
            <w:tcW w:w="1995" w:type="dxa"/>
            <w:noWrap w:val="0"/>
            <w:vAlign w:val="center"/>
          </w:tcPr>
          <w:p w14:paraId="4427302F">
            <w:pPr>
              <w:ind w:left="-80" w:right="-76" w:rightChars="-36" w:firstLine="80"/>
              <w:jc w:val="center"/>
              <w:rPr>
                <w:rFonts w:hint="eastAsia" w:ascii="宋体" w:hAnsi="宋体" w:eastAsia="宋体" w:cs="Times New Roman"/>
                <w:color w:val="auto"/>
                <w:spacing w:val="60"/>
                <w:sz w:val="32"/>
                <w:szCs w:val="24"/>
                <w:highlight w:val="none"/>
              </w:rPr>
            </w:pPr>
            <w:r>
              <w:rPr>
                <w:rFonts w:hint="eastAsia" w:ascii="宋体" w:hAnsi="宋体" w:eastAsia="宋体" w:cs="Times New Roman"/>
                <w:color w:val="auto"/>
                <w:spacing w:val="60"/>
                <w:sz w:val="32"/>
                <w:szCs w:val="24"/>
                <w:highlight w:val="none"/>
              </w:rPr>
              <w:t>有效期限</w:t>
            </w:r>
          </w:p>
        </w:tc>
        <w:tc>
          <w:tcPr>
            <w:tcW w:w="236" w:type="dxa"/>
            <w:noWrap w:val="0"/>
            <w:vAlign w:val="center"/>
          </w:tcPr>
          <w:p w14:paraId="07C00865">
            <w:pPr>
              <w:ind w:left="-108" w:right="-82" w:rightChars="-39"/>
              <w:jc w:val="center"/>
              <w:rPr>
                <w:rFonts w:hint="eastAsia" w:ascii="华文仿宋" w:hAnsi="华文仿宋" w:eastAsia="华文仿宋" w:cs="Times New Roman"/>
                <w:color w:val="auto"/>
                <w:sz w:val="32"/>
                <w:szCs w:val="32"/>
                <w:highlight w:val="none"/>
              </w:rPr>
            </w:pPr>
            <w:r>
              <w:rPr>
                <w:rFonts w:hint="eastAsia" w:ascii="华文仿宋" w:hAnsi="华文仿宋" w:eastAsia="华文仿宋" w:cs="Times New Roman"/>
                <w:color w:val="auto"/>
                <w:sz w:val="32"/>
                <w:szCs w:val="32"/>
                <w:highlight w:val="none"/>
              </w:rPr>
              <w:t>：</w:t>
            </w:r>
          </w:p>
        </w:tc>
        <w:tc>
          <w:tcPr>
            <w:tcW w:w="6109" w:type="dxa"/>
            <w:tcBorders>
              <w:bottom w:val="single" w:color="auto" w:sz="4" w:space="0"/>
            </w:tcBorders>
            <w:noWrap w:val="0"/>
            <w:vAlign w:val="center"/>
          </w:tcPr>
          <w:p w14:paraId="4807313C">
            <w:pPr>
              <w:jc w:val="center"/>
              <w:rPr>
                <w:rFonts w:hint="eastAsia" w:ascii="楷体_GB2312" w:hAnsi="宋体" w:eastAsia="楷体_GB2312" w:cs="Times New Roman"/>
                <w:b/>
                <w:color w:val="auto"/>
                <w:sz w:val="28"/>
                <w:szCs w:val="28"/>
                <w:highlight w:val="none"/>
              </w:rPr>
            </w:pPr>
            <w:r>
              <w:rPr>
                <w:rFonts w:hint="eastAsia" w:ascii="楷体_GB2312" w:hAnsi="宋体" w:eastAsia="楷体_GB2312" w:cs="Times New Roman"/>
                <w:b/>
                <w:color w:val="auto"/>
                <w:sz w:val="28"/>
                <w:szCs w:val="28"/>
                <w:highlight w:val="none"/>
              </w:rPr>
              <w:t>自合同签订起至本项目服务任务结束止</w:t>
            </w:r>
          </w:p>
        </w:tc>
      </w:tr>
    </w:tbl>
    <w:p w14:paraId="31F1572C">
      <w:pPr>
        <w:jc w:val="center"/>
        <w:rPr>
          <w:rFonts w:hint="eastAsia" w:ascii="Times New Roman" w:hAnsi="Times New Roman" w:eastAsia="宋体" w:cs="Times New Roman"/>
          <w:color w:val="auto"/>
          <w:spacing w:val="20"/>
          <w:sz w:val="28"/>
          <w:szCs w:val="24"/>
          <w:highlight w:val="none"/>
        </w:rPr>
      </w:pPr>
    </w:p>
    <w:p w14:paraId="451C9573">
      <w:pPr>
        <w:jc w:val="center"/>
        <w:rPr>
          <w:rFonts w:hint="eastAsia" w:ascii="Times New Roman" w:hAnsi="Times New Roman" w:eastAsia="宋体" w:cs="Times New Roman"/>
          <w:color w:val="auto"/>
          <w:spacing w:val="20"/>
          <w:sz w:val="28"/>
          <w:szCs w:val="24"/>
          <w:highlight w:val="none"/>
        </w:rPr>
      </w:pPr>
    </w:p>
    <w:p w14:paraId="4920177E">
      <w:pPr>
        <w:jc w:val="center"/>
        <w:rPr>
          <w:rFonts w:hint="eastAsia" w:ascii="Times New Roman" w:hAnsi="Times New Roman" w:eastAsia="宋体" w:cs="Times New Roman"/>
          <w:color w:val="auto"/>
          <w:spacing w:val="20"/>
          <w:sz w:val="28"/>
          <w:szCs w:val="24"/>
          <w:highlight w:val="none"/>
        </w:rPr>
      </w:pPr>
    </w:p>
    <w:p w14:paraId="2FFD3948">
      <w:pPr>
        <w:jc w:val="center"/>
        <w:rPr>
          <w:rFonts w:hint="eastAsia" w:ascii="Times New Roman" w:hAnsi="Times New Roman" w:eastAsia="宋体" w:cs="Times New Roman"/>
          <w:color w:val="auto"/>
          <w:spacing w:val="20"/>
          <w:sz w:val="28"/>
          <w:szCs w:val="24"/>
          <w:highlight w:val="none"/>
        </w:rPr>
      </w:pPr>
    </w:p>
    <w:p w14:paraId="25594D54">
      <w:pPr>
        <w:jc w:val="center"/>
        <w:rPr>
          <w:rFonts w:hint="eastAsia" w:ascii="Times New Roman" w:hAnsi="Times New Roman" w:eastAsia="宋体" w:cs="Times New Roman"/>
          <w:color w:val="auto"/>
          <w:spacing w:val="20"/>
          <w:sz w:val="28"/>
          <w:szCs w:val="24"/>
          <w:highlight w:val="none"/>
        </w:rPr>
      </w:pPr>
    </w:p>
    <w:p w14:paraId="6A3B992A">
      <w:pPr>
        <w:jc w:val="center"/>
        <w:rPr>
          <w:rFonts w:hint="eastAsia" w:ascii="Times New Roman" w:hAnsi="Times New Roman" w:eastAsia="宋体" w:cs="Times New Roman"/>
          <w:color w:val="auto"/>
          <w:spacing w:val="20"/>
          <w:sz w:val="28"/>
          <w:szCs w:val="24"/>
          <w:highlight w:val="none"/>
        </w:rPr>
      </w:pPr>
    </w:p>
    <w:p w14:paraId="285CF62E">
      <w:pPr>
        <w:jc w:val="center"/>
        <w:rPr>
          <w:rFonts w:hint="eastAsia" w:ascii="Times New Roman" w:hAnsi="Times New Roman" w:eastAsia="宋体" w:cs="Times New Roman"/>
          <w:color w:val="auto"/>
          <w:spacing w:val="20"/>
          <w:sz w:val="28"/>
          <w:szCs w:val="24"/>
          <w:highlight w:val="none"/>
        </w:rPr>
      </w:pPr>
      <w:r>
        <w:rPr>
          <w:rFonts w:hint="eastAsia" w:ascii="Times New Roman" w:hAnsi="Times New Roman" w:eastAsia="宋体" w:cs="Times New Roman"/>
          <w:color w:val="auto"/>
          <w:spacing w:val="20"/>
          <w:sz w:val="28"/>
          <w:szCs w:val="24"/>
          <w:highlight w:val="none"/>
        </w:rPr>
        <w:t>国家科学技术委员会监制</w:t>
      </w:r>
    </w:p>
    <w:p w14:paraId="2070A3C7">
      <w:pPr>
        <w:jc w:val="center"/>
        <w:rPr>
          <w:rFonts w:hint="eastAsia" w:ascii="Times New Roman" w:hAnsi="Times New Roman" w:eastAsia="宋体" w:cs="Times New Roman"/>
          <w:color w:val="auto"/>
          <w:spacing w:val="20"/>
          <w:sz w:val="28"/>
          <w:szCs w:val="24"/>
          <w:highlight w:val="none"/>
        </w:rPr>
      </w:pPr>
    </w:p>
    <w:p w14:paraId="2EB6166D">
      <w:pPr>
        <w:jc w:val="center"/>
        <w:rPr>
          <w:color w:val="auto"/>
          <w:spacing w:val="20"/>
          <w:sz w:val="28"/>
          <w:highlight w:val="none"/>
        </w:rPr>
        <w:sectPr>
          <w:pgSz w:w="11906" w:h="16838"/>
          <w:pgMar w:top="1191" w:right="1531" w:bottom="1191" w:left="1531" w:header="851" w:footer="992" w:gutter="0"/>
          <w:cols w:space="720" w:num="1"/>
          <w:docGrid w:linePitch="312" w:charSpace="0"/>
        </w:sectPr>
      </w:pPr>
    </w:p>
    <w:p w14:paraId="6CCD915C">
      <w:pPr>
        <w:spacing w:line="520" w:lineRule="exact"/>
        <w:ind w:firstLine="480" w:firstLineChars="200"/>
        <w:rPr>
          <w:rFonts w:ascii="宋体" w:hAnsi="宋体" w:eastAsia="宋体" w:cs="Times New Roman"/>
          <w:b/>
          <w:color w:val="auto"/>
          <w:sz w:val="24"/>
          <w:szCs w:val="24"/>
          <w:highlight w:val="none"/>
        </w:rPr>
      </w:pPr>
      <w:r>
        <w:rPr>
          <w:rFonts w:ascii="宋体" w:hAnsi="宋体" w:eastAsia="宋体" w:cs="Times New Roman"/>
          <w:color w:val="auto"/>
          <w:sz w:val="24"/>
          <w:szCs w:val="24"/>
          <w:highlight w:val="none"/>
        </w:rPr>
        <w:t>委托方(甲方)：</w:t>
      </w:r>
      <w:r>
        <w:rPr>
          <w:rFonts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rPr>
        <w:t>连城县莲达水务投资有限公司</w:t>
      </w:r>
      <w:r>
        <w:rPr>
          <w:rFonts w:ascii="宋体" w:hAnsi="宋体" w:eastAsia="宋体" w:cs="Times New Roman"/>
          <w:bCs/>
          <w:color w:val="auto"/>
          <w:sz w:val="24"/>
          <w:szCs w:val="24"/>
          <w:highlight w:val="none"/>
          <w:u w:val="single"/>
        </w:rPr>
        <w:t xml:space="preserve"> </w:t>
      </w:r>
    </w:p>
    <w:p w14:paraId="6D2EC4F0">
      <w:pPr>
        <w:spacing w:line="520" w:lineRule="exact"/>
        <w:ind w:firstLine="480" w:firstLineChars="200"/>
        <w:rPr>
          <w:rFonts w:hint="default" w:ascii="宋体" w:hAnsi="宋体" w:eastAsia="宋体" w:cs="Times New Roman"/>
          <w:b/>
          <w:color w:val="auto"/>
          <w:sz w:val="24"/>
          <w:szCs w:val="24"/>
          <w:highlight w:val="none"/>
          <w:lang w:val="en-US" w:eastAsia="zh-CN"/>
        </w:rPr>
      </w:pPr>
      <w:r>
        <w:rPr>
          <w:rFonts w:ascii="宋体" w:hAnsi="宋体" w:eastAsia="宋体" w:cs="Times New Roman"/>
          <w:color w:val="auto"/>
          <w:sz w:val="24"/>
          <w:szCs w:val="24"/>
          <w:highlight w:val="none"/>
        </w:rPr>
        <w:t>受托方(乙方)：</w:t>
      </w:r>
      <w:r>
        <w:rPr>
          <w:rFonts w:hint="eastAsia" w:ascii="宋体" w:hAnsi="宋体" w:eastAsia="宋体" w:cs="Times New Roman"/>
          <w:color w:val="auto"/>
          <w:sz w:val="24"/>
          <w:szCs w:val="24"/>
          <w:highlight w:val="none"/>
          <w:u w:val="single"/>
          <w:lang w:val="en-US" w:eastAsia="zh-CN"/>
        </w:rPr>
        <w:t xml:space="preserve">                             </w:t>
      </w:r>
    </w:p>
    <w:p w14:paraId="16FFF5DC">
      <w:pPr>
        <w:spacing w:line="520" w:lineRule="exact"/>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本合同甲方委托乙方就</w:t>
      </w:r>
      <w:r>
        <w:rPr>
          <w:rFonts w:hint="eastAsia" w:ascii="宋体" w:hAnsi="宋体" w:eastAsia="宋体" w:cs="Times New Roman"/>
          <w:color w:val="auto"/>
          <w:sz w:val="24"/>
          <w:szCs w:val="24"/>
          <w:highlight w:val="none"/>
          <w:u w:val="single"/>
        </w:rPr>
        <w:t>连城县闽江九龙江（连城段）水环境综合治理工程（一期）可研及初设编制服务</w:t>
      </w:r>
      <w:r>
        <w:rPr>
          <w:rFonts w:hint="eastAsia" w:ascii="宋体" w:hAnsi="宋体" w:eastAsia="宋体" w:cs="Times New Roman"/>
          <w:bCs/>
          <w:color w:val="auto"/>
          <w:sz w:val="24"/>
          <w:szCs w:val="24"/>
          <w:highlight w:val="none"/>
          <w:u w:val="single"/>
        </w:rPr>
        <w:t>（项目名称）</w:t>
      </w:r>
      <w:r>
        <w:rPr>
          <w:rFonts w:ascii="宋体" w:hAnsi="宋体" w:eastAsia="宋体" w:cs="Times New Roman"/>
          <w:color w:val="auto"/>
          <w:sz w:val="24"/>
          <w:szCs w:val="24"/>
          <w:highlight w:val="none"/>
        </w:rPr>
        <w:t>进行</w:t>
      </w:r>
      <w:r>
        <w:rPr>
          <w:rFonts w:hint="eastAsia" w:ascii="宋体" w:hAnsi="宋体" w:eastAsia="宋体" w:cs="Times New Roman"/>
          <w:color w:val="auto"/>
          <w:sz w:val="24"/>
          <w:szCs w:val="24"/>
          <w:highlight w:val="none"/>
        </w:rPr>
        <w:t>工可（含初步设计）</w:t>
      </w:r>
      <w:r>
        <w:rPr>
          <w:rFonts w:ascii="宋体" w:hAnsi="宋体" w:eastAsia="宋体" w:cs="Times New Roman"/>
          <w:color w:val="auto"/>
          <w:sz w:val="24"/>
          <w:szCs w:val="24"/>
          <w:highlight w:val="none"/>
        </w:rPr>
        <w:t>编制，根据《中华人民共和国</w:t>
      </w:r>
      <w:r>
        <w:rPr>
          <w:rFonts w:hint="eastAsia" w:ascii="宋体" w:hAnsi="宋体" w:eastAsia="宋体" w:cs="Times New Roman"/>
          <w:color w:val="auto"/>
          <w:sz w:val="24"/>
          <w:szCs w:val="24"/>
          <w:highlight w:val="none"/>
        </w:rPr>
        <w:t>民法典</w:t>
      </w:r>
      <w:r>
        <w:rPr>
          <w:rFonts w:ascii="宋体" w:hAnsi="宋体" w:eastAsia="宋体" w:cs="Times New Roman"/>
          <w:color w:val="auto"/>
          <w:sz w:val="24"/>
          <w:szCs w:val="24"/>
          <w:highlight w:val="none"/>
        </w:rPr>
        <w:t>》的规定，达成如下协议，并由双方共同恪守。</w:t>
      </w:r>
    </w:p>
    <w:p w14:paraId="28D4B8F9">
      <w:pPr>
        <w:spacing w:line="520" w:lineRule="exact"/>
        <w:ind w:firstLine="482" w:firstLineChars="200"/>
        <w:rPr>
          <w:rFonts w:ascii="宋体" w:hAnsi="宋体" w:eastAsia="宋体" w:cs="Times New Roman"/>
          <w:b/>
          <w:color w:val="auto"/>
          <w:sz w:val="24"/>
          <w:szCs w:val="24"/>
          <w:highlight w:val="none"/>
        </w:rPr>
      </w:pPr>
      <w:r>
        <w:rPr>
          <w:rFonts w:ascii="宋体" w:hAnsi="宋体" w:eastAsia="宋体" w:cs="Times New Roman"/>
          <w:b/>
          <w:color w:val="auto"/>
          <w:sz w:val="24"/>
          <w:szCs w:val="24"/>
          <w:highlight w:val="none"/>
        </w:rPr>
        <w:t xml:space="preserve">第一条 </w:t>
      </w:r>
      <w:r>
        <w:rPr>
          <w:rFonts w:ascii="宋体" w:hAnsi="宋体" w:eastAsia="宋体" w:cs="Times New Roman"/>
          <w:color w:val="auto"/>
          <w:sz w:val="24"/>
          <w:szCs w:val="24"/>
          <w:highlight w:val="none"/>
        </w:rPr>
        <w:t xml:space="preserve"> 乙方进行技术服务的内容：</w:t>
      </w:r>
    </w:p>
    <w:p w14:paraId="7944D0AD">
      <w:pPr>
        <w:spacing w:line="520" w:lineRule="exact"/>
        <w:ind w:firstLine="480" w:firstLineChars="200"/>
        <w:rPr>
          <w:rFonts w:ascii="宋体" w:hAnsi="宋体" w:eastAsia="宋体" w:cs="宋体"/>
          <w:color w:val="auto"/>
          <w:sz w:val="24"/>
          <w:szCs w:val="24"/>
          <w:highlight w:val="none"/>
        </w:rPr>
      </w:pPr>
      <w:r>
        <w:rPr>
          <w:rFonts w:ascii="宋体" w:hAnsi="宋体" w:eastAsia="宋体" w:cs="Times New Roman"/>
          <w:color w:val="auto"/>
          <w:sz w:val="24"/>
          <w:szCs w:val="24"/>
          <w:highlight w:val="none"/>
        </w:rPr>
        <w:t>1、服务内容：</w:t>
      </w:r>
      <w:r>
        <w:rPr>
          <w:rFonts w:hint="eastAsia" w:ascii="宋体" w:hAnsi="宋体" w:eastAsia="宋体" w:cs="宋体"/>
          <w:color w:val="auto"/>
          <w:sz w:val="24"/>
          <w:szCs w:val="24"/>
          <w:highlight w:val="none"/>
        </w:rPr>
        <w:t>可研及初设编制服务；</w:t>
      </w:r>
      <w:r>
        <w:rPr>
          <w:rFonts w:ascii="宋体" w:hAnsi="宋体" w:eastAsia="宋体" w:cs="Times New Roman"/>
          <w:color w:val="auto"/>
          <w:sz w:val="24"/>
          <w:szCs w:val="24"/>
          <w:highlight w:val="none"/>
        </w:rPr>
        <w:t xml:space="preserve">                                          </w:t>
      </w:r>
    </w:p>
    <w:p w14:paraId="68C426F6">
      <w:pPr>
        <w:spacing w:line="520" w:lineRule="exact"/>
        <w:ind w:firstLine="482" w:firstLineChars="200"/>
        <w:rPr>
          <w:rFonts w:hint="eastAsia" w:ascii="宋体" w:hAnsi="宋体" w:eastAsia="宋体" w:cs="Times New Roman"/>
          <w:color w:val="auto"/>
          <w:sz w:val="24"/>
          <w:szCs w:val="24"/>
          <w:highlight w:val="none"/>
        </w:rPr>
      </w:pPr>
      <w:r>
        <w:rPr>
          <w:rFonts w:ascii="宋体" w:hAnsi="宋体" w:eastAsia="宋体" w:cs="Times New Roman"/>
          <w:b/>
          <w:color w:val="auto"/>
          <w:sz w:val="24"/>
          <w:szCs w:val="24"/>
          <w:highlight w:val="none"/>
        </w:rPr>
        <w:t>第二条</w:t>
      </w:r>
      <w:r>
        <w:rPr>
          <w:rFonts w:ascii="宋体" w:hAnsi="宋体" w:eastAsia="宋体" w:cs="Times New Roman"/>
          <w:color w:val="auto"/>
          <w:sz w:val="24"/>
          <w:szCs w:val="24"/>
          <w:highlight w:val="none"/>
        </w:rPr>
        <w:t xml:space="preserve">  乙方应当按照下列</w:t>
      </w:r>
      <w:r>
        <w:rPr>
          <w:rFonts w:hint="eastAsia" w:ascii="宋体" w:hAnsi="宋体" w:eastAsia="宋体" w:cs="Times New Roman"/>
          <w:color w:val="auto"/>
          <w:sz w:val="24"/>
          <w:szCs w:val="24"/>
          <w:highlight w:val="none"/>
        </w:rPr>
        <w:t>约定：</w:t>
      </w:r>
    </w:p>
    <w:p w14:paraId="12396D8D">
      <w:pPr>
        <w:spacing w:line="520" w:lineRule="exact"/>
        <w:ind w:firstLine="480" w:firstLineChars="200"/>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u w:val="single"/>
        </w:rPr>
        <w:t>自资料完整移交之日起30日历天内完成可研及初设编制</w:t>
      </w:r>
    </w:p>
    <w:p w14:paraId="191588B7">
      <w:pPr>
        <w:tabs>
          <w:tab w:val="left" w:pos="1274"/>
        </w:tabs>
        <w:spacing w:line="520" w:lineRule="exact"/>
        <w:ind w:firstLine="482" w:firstLineChars="200"/>
        <w:rPr>
          <w:rFonts w:ascii="宋体" w:hAnsi="宋体" w:eastAsia="宋体" w:cs="Times New Roman"/>
          <w:color w:val="auto"/>
          <w:sz w:val="24"/>
          <w:szCs w:val="24"/>
          <w:highlight w:val="none"/>
        </w:rPr>
      </w:pPr>
      <w:r>
        <w:rPr>
          <w:rFonts w:ascii="宋体" w:hAnsi="宋体" w:eastAsia="宋体" w:cs="Times New Roman"/>
          <w:b/>
          <w:color w:val="auto"/>
          <w:sz w:val="24"/>
          <w:szCs w:val="24"/>
          <w:highlight w:val="none"/>
        </w:rPr>
        <w:t>第三条</w:t>
      </w:r>
      <w:r>
        <w:rPr>
          <w:rFonts w:ascii="宋体" w:hAnsi="宋体" w:eastAsia="宋体" w:cs="Times New Roman"/>
          <w:color w:val="auto"/>
          <w:sz w:val="24"/>
          <w:szCs w:val="24"/>
          <w:highlight w:val="none"/>
        </w:rPr>
        <w:t xml:space="preserve">  为保证乙方有效进行技术服务工作，甲方应当向乙方提供下列协作事项：</w:t>
      </w:r>
    </w:p>
    <w:p w14:paraId="6894890A">
      <w:pPr>
        <w:spacing w:line="520" w:lineRule="exact"/>
        <w:ind w:firstLine="480" w:firstLineChars="200"/>
        <w:rPr>
          <w:rFonts w:hint="eastAsia" w:ascii="宋体" w:hAnsi="宋体" w:eastAsia="宋体" w:cs="Times New Roman"/>
          <w:color w:val="auto"/>
          <w:sz w:val="24"/>
          <w:szCs w:val="24"/>
          <w:highlight w:val="none"/>
          <w:u w:val="single"/>
        </w:rPr>
      </w:pPr>
      <w:r>
        <w:rPr>
          <w:rFonts w:ascii="宋体" w:hAnsi="宋体" w:eastAsia="宋体" w:cs="Times New Roman"/>
          <w:color w:val="auto"/>
          <w:sz w:val="24"/>
          <w:szCs w:val="24"/>
          <w:highlight w:val="none"/>
        </w:rPr>
        <w:t>1、提供技术资料：</w:t>
      </w:r>
      <w:r>
        <w:rPr>
          <w:rFonts w:hint="eastAsia" w:ascii="宋体" w:hAnsi="宋体" w:eastAsia="宋体" w:cs="Times New Roman"/>
          <w:color w:val="auto"/>
          <w:sz w:val="24"/>
          <w:szCs w:val="24"/>
          <w:highlight w:val="none"/>
          <w:u w:val="single"/>
        </w:rPr>
        <w:t xml:space="preserve">与本项目有关的基础资料  </w:t>
      </w:r>
    </w:p>
    <w:p w14:paraId="23D056C4">
      <w:pPr>
        <w:spacing w:line="520" w:lineRule="exact"/>
        <w:ind w:firstLine="482" w:firstLineChars="200"/>
        <w:rPr>
          <w:rFonts w:ascii="宋体" w:hAnsi="宋体" w:eastAsia="宋体" w:cs="Times New Roman"/>
          <w:b/>
          <w:color w:val="auto"/>
          <w:sz w:val="24"/>
          <w:szCs w:val="24"/>
          <w:highlight w:val="none"/>
        </w:rPr>
      </w:pPr>
      <w:r>
        <w:rPr>
          <w:rFonts w:ascii="宋体" w:hAnsi="宋体" w:eastAsia="宋体" w:cs="Times New Roman"/>
          <w:b/>
          <w:color w:val="auto"/>
          <w:sz w:val="24"/>
          <w:szCs w:val="24"/>
          <w:highlight w:val="none"/>
        </w:rPr>
        <w:t>第四条</w:t>
      </w:r>
      <w:r>
        <w:rPr>
          <w:rFonts w:ascii="宋体" w:hAnsi="宋体" w:eastAsia="宋体" w:cs="Times New Roman"/>
          <w:color w:val="auto"/>
          <w:sz w:val="24"/>
          <w:szCs w:val="24"/>
          <w:highlight w:val="none"/>
        </w:rPr>
        <w:t xml:space="preserve">  甲方向乙方支付技术服务报酬及支付方式为：</w:t>
      </w:r>
    </w:p>
    <w:p w14:paraId="17A49AC3">
      <w:pPr>
        <w:spacing w:line="520" w:lineRule="exact"/>
        <w:rPr>
          <w:rFonts w:hint="eastAsia" w:ascii="宋体" w:hAnsi="宋体" w:eastAsia="宋体" w:cs="Times New Roman"/>
          <w:bCs/>
          <w:color w:val="auto"/>
          <w:sz w:val="24"/>
          <w:szCs w:val="24"/>
          <w:highlight w:val="none"/>
          <w:u w:val="single"/>
        </w:rPr>
      </w:pPr>
      <w:r>
        <w:rPr>
          <w:rFonts w:ascii="宋体" w:hAnsi="宋体" w:eastAsia="宋体" w:cs="Times New Roman"/>
          <w:color w:val="auto"/>
          <w:sz w:val="24"/>
          <w:szCs w:val="24"/>
          <w:highlight w:val="none"/>
        </w:rPr>
        <w:t xml:space="preserve">    1、</w:t>
      </w:r>
      <w:r>
        <w:rPr>
          <w:rFonts w:ascii="宋体" w:hAnsi="宋体" w:eastAsia="宋体" w:cs="Times New Roman"/>
          <w:color w:val="auto"/>
          <w:spacing w:val="28"/>
          <w:sz w:val="24"/>
          <w:szCs w:val="24"/>
          <w:highlight w:val="none"/>
        </w:rPr>
        <w:t>技术服务报酬总额</w:t>
      </w:r>
      <w:r>
        <w:rPr>
          <w:rFonts w:ascii="宋体" w:hAnsi="宋体" w:eastAsia="宋体" w:cs="Times New Roman"/>
          <w:bCs/>
          <w:color w:val="auto"/>
          <w:spacing w:val="28"/>
          <w:sz w:val="24"/>
          <w:szCs w:val="24"/>
          <w:highlight w:val="none"/>
        </w:rPr>
        <w:t>计：</w:t>
      </w:r>
      <w:r>
        <w:rPr>
          <w:rFonts w:hint="eastAsia" w:ascii="宋体" w:hAnsi="宋体" w:eastAsia="宋体" w:cs="Times New Roman"/>
          <w:bCs/>
          <w:color w:val="auto"/>
          <w:spacing w:val="28"/>
          <w:sz w:val="24"/>
          <w:szCs w:val="24"/>
          <w:highlight w:val="none"/>
          <w:u w:val="single"/>
        </w:rPr>
        <w:t>人民币</w:t>
      </w:r>
      <w:r>
        <w:rPr>
          <w:rFonts w:hint="eastAsia" w:ascii="宋体" w:hAnsi="宋体" w:eastAsia="宋体" w:cs="Times New Roman"/>
          <w:bCs/>
          <w:color w:val="auto"/>
          <w:spacing w:val="28"/>
          <w:sz w:val="24"/>
          <w:szCs w:val="24"/>
          <w:highlight w:val="none"/>
          <w:u w:val="single"/>
          <w:lang w:val="en-US" w:eastAsia="zh-CN"/>
        </w:rPr>
        <w:t xml:space="preserve">     </w:t>
      </w:r>
      <w:r>
        <w:rPr>
          <w:rFonts w:hint="eastAsia" w:ascii="宋体" w:hAnsi="宋体" w:eastAsia="宋体" w:cs="Times New Roman"/>
          <w:bCs/>
          <w:color w:val="auto"/>
          <w:spacing w:val="28"/>
          <w:sz w:val="24"/>
          <w:szCs w:val="24"/>
          <w:highlight w:val="none"/>
          <w:u w:val="single"/>
        </w:rPr>
        <w:t>整包干。</w:t>
      </w:r>
    </w:p>
    <w:p w14:paraId="275AAA37">
      <w:pPr>
        <w:spacing w:line="520" w:lineRule="exact"/>
        <w:ind w:right="-1518" w:rightChars="-723"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2、技术服务报酬具体支付方式和时间如下：</w:t>
      </w:r>
    </w:p>
    <w:p w14:paraId="72FB4C8E">
      <w:pPr>
        <w:spacing w:line="520" w:lineRule="exact"/>
        <w:rPr>
          <w:rFonts w:hint="eastAsia" w:ascii="宋体" w:hAnsi="宋体" w:eastAsia="宋体" w:cs="Times New Roman"/>
          <w:color w:val="auto"/>
          <w:sz w:val="24"/>
          <w:szCs w:val="24"/>
          <w:highlight w:val="none"/>
          <w:u w:val="single"/>
        </w:rPr>
      </w:pPr>
      <w:r>
        <w:rPr>
          <w:rFonts w:ascii="宋体" w:hAnsi="宋体" w:eastAsia="宋体" w:cs="Times New Roman"/>
          <w:color w:val="auto"/>
          <w:sz w:val="24"/>
          <w:szCs w:val="24"/>
          <w:highlight w:val="none"/>
        </w:rPr>
        <w:t xml:space="preserve">    </w:t>
      </w:r>
      <w:r>
        <w:rPr>
          <w:rFonts w:hint="eastAsia" w:ascii="宋体" w:hAnsi="宋体" w:eastAsia="宋体" w:cs="Times New Roman"/>
          <w:color w:val="auto"/>
          <w:sz w:val="24"/>
          <w:szCs w:val="24"/>
          <w:highlight w:val="none"/>
          <w:u w:val="single"/>
        </w:rPr>
        <w:t>（1）由</w:t>
      </w:r>
      <w:r>
        <w:rPr>
          <w:rFonts w:hint="eastAsia" w:ascii="宋体" w:hAnsi="宋体" w:eastAsia="宋体" w:cs="Times New Roman"/>
          <w:color w:val="auto"/>
          <w:sz w:val="24"/>
          <w:szCs w:val="24"/>
          <w:highlight w:val="none"/>
          <w:u w:val="single"/>
          <w:lang w:val="en-US" w:eastAsia="zh-CN"/>
        </w:rPr>
        <w:t>乙方</w:t>
      </w:r>
      <w:r>
        <w:rPr>
          <w:rFonts w:hint="eastAsia" w:ascii="宋体" w:hAnsi="宋体" w:eastAsia="宋体" w:cs="Times New Roman"/>
          <w:color w:val="auto"/>
          <w:sz w:val="24"/>
          <w:szCs w:val="24"/>
          <w:highlight w:val="none"/>
          <w:u w:val="single"/>
        </w:rPr>
        <w:t>提供正式可研及初设编制文件和正规增值税发票给</w:t>
      </w:r>
      <w:r>
        <w:rPr>
          <w:rFonts w:hint="eastAsia" w:ascii="宋体" w:hAnsi="宋体" w:eastAsia="宋体" w:cs="Times New Roman"/>
          <w:color w:val="auto"/>
          <w:sz w:val="24"/>
          <w:szCs w:val="24"/>
          <w:highlight w:val="none"/>
          <w:u w:val="single"/>
          <w:lang w:val="en-US" w:eastAsia="zh-CN"/>
        </w:rPr>
        <w:t>甲方</w:t>
      </w:r>
      <w:r>
        <w:rPr>
          <w:rFonts w:hint="eastAsia" w:ascii="宋体" w:hAnsi="宋体" w:eastAsia="宋体" w:cs="Times New Roman"/>
          <w:color w:val="auto"/>
          <w:sz w:val="24"/>
          <w:szCs w:val="24"/>
          <w:highlight w:val="none"/>
          <w:u w:val="single"/>
        </w:rPr>
        <w:t>审核无误后，</w:t>
      </w:r>
      <w:r>
        <w:rPr>
          <w:rFonts w:hint="eastAsia" w:ascii="宋体" w:hAnsi="宋体" w:eastAsia="宋体" w:cs="Times New Roman"/>
          <w:color w:val="auto"/>
          <w:sz w:val="24"/>
          <w:szCs w:val="24"/>
          <w:highlight w:val="none"/>
          <w:u w:val="single"/>
          <w:lang w:val="en-US" w:eastAsia="zh-CN"/>
        </w:rPr>
        <w:t>甲方</w:t>
      </w:r>
      <w:r>
        <w:rPr>
          <w:rFonts w:hint="eastAsia" w:ascii="宋体" w:hAnsi="宋体" w:eastAsia="宋体" w:cs="Times New Roman"/>
          <w:color w:val="auto"/>
          <w:sz w:val="24"/>
          <w:szCs w:val="24"/>
          <w:highlight w:val="none"/>
          <w:u w:val="single"/>
        </w:rPr>
        <w:t>将在15个工作日内一次性支付。</w:t>
      </w:r>
    </w:p>
    <w:p w14:paraId="402953CD">
      <w:pPr>
        <w:spacing w:line="520" w:lineRule="exact"/>
        <w:ind w:firstLine="480" w:firstLineChars="200"/>
        <w:rPr>
          <w:rFonts w:hint="eastAsia" w:ascii="宋体" w:hAnsi="宋体" w:eastAsia="宋体" w:cs="Times New Roman"/>
          <w:color w:val="auto"/>
          <w:sz w:val="24"/>
          <w:szCs w:val="24"/>
          <w:highlight w:val="none"/>
          <w:u w:val="single"/>
        </w:rPr>
      </w:pPr>
      <w:r>
        <w:rPr>
          <w:rFonts w:ascii="宋体" w:hAnsi="宋体" w:eastAsia="宋体" w:cs="Times New Roman"/>
          <w:color w:val="auto"/>
          <w:sz w:val="24"/>
          <w:szCs w:val="24"/>
          <w:highlight w:val="none"/>
          <w:u w:val="single"/>
        </w:rPr>
        <w:t>（</w:t>
      </w:r>
      <w:r>
        <w:rPr>
          <w:rFonts w:hint="eastAsia" w:ascii="宋体" w:hAnsi="宋体" w:eastAsia="宋体" w:cs="Times New Roman"/>
          <w:color w:val="auto"/>
          <w:sz w:val="24"/>
          <w:szCs w:val="24"/>
          <w:highlight w:val="none"/>
          <w:u w:val="single"/>
        </w:rPr>
        <w:t>2</w:t>
      </w:r>
      <w:r>
        <w:rPr>
          <w:rFonts w:ascii="宋体" w:hAnsi="宋体" w:eastAsia="宋体" w:cs="Times New Roman"/>
          <w:color w:val="auto"/>
          <w:sz w:val="24"/>
          <w:szCs w:val="24"/>
          <w:highlight w:val="none"/>
          <w:u w:val="single"/>
        </w:rPr>
        <w:t>）支付方式：</w:t>
      </w:r>
      <w:r>
        <w:rPr>
          <w:rFonts w:hint="eastAsia" w:ascii="宋体" w:hAnsi="宋体" w:eastAsia="宋体" w:cs="Times New Roman"/>
          <w:color w:val="auto"/>
          <w:sz w:val="24"/>
          <w:szCs w:val="24"/>
          <w:highlight w:val="none"/>
          <w:u w:val="single"/>
        </w:rPr>
        <w:t>转账</w:t>
      </w:r>
      <w:r>
        <w:rPr>
          <w:rFonts w:ascii="宋体" w:hAnsi="宋体" w:eastAsia="宋体" w:cs="Times New Roman"/>
          <w:color w:val="auto"/>
          <w:sz w:val="24"/>
          <w:szCs w:val="24"/>
          <w:highlight w:val="none"/>
          <w:u w:val="single"/>
        </w:rPr>
        <w:t>。</w:t>
      </w:r>
    </w:p>
    <w:p w14:paraId="7A6DBE35">
      <w:pPr>
        <w:spacing w:line="480" w:lineRule="exact"/>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乙方开户银行名称</w:t>
      </w:r>
      <w:r>
        <w:rPr>
          <w:rFonts w:hint="eastAsia" w:ascii="宋体" w:hAnsi="宋体" w:eastAsia="宋体" w:cs="Times New Roman"/>
          <w:color w:val="auto"/>
          <w:sz w:val="24"/>
          <w:szCs w:val="24"/>
          <w:highlight w:val="none"/>
        </w:rPr>
        <w:t>及</w:t>
      </w:r>
      <w:r>
        <w:rPr>
          <w:rFonts w:ascii="宋体" w:hAnsi="宋体" w:eastAsia="宋体" w:cs="Times New Roman"/>
          <w:color w:val="auto"/>
          <w:sz w:val="24"/>
          <w:szCs w:val="24"/>
          <w:highlight w:val="none"/>
        </w:rPr>
        <w:t>账号：</w:t>
      </w:r>
    </w:p>
    <w:p w14:paraId="0F0B7D39">
      <w:pPr>
        <w:spacing w:line="480" w:lineRule="exact"/>
        <w:ind w:firstLine="480" w:firstLineChars="200"/>
        <w:rPr>
          <w:rFonts w:hint="default" w:ascii="宋体" w:hAnsi="宋体" w:eastAsia="宋体" w:cs="Times New Roman"/>
          <w:b/>
          <w:color w:val="auto"/>
          <w:sz w:val="24"/>
          <w:szCs w:val="24"/>
          <w:highlight w:val="none"/>
          <w:u w:val="single"/>
          <w:lang w:val="en-US" w:eastAsia="zh-CN"/>
        </w:rPr>
      </w:pPr>
      <w:r>
        <w:rPr>
          <w:rFonts w:ascii="宋体" w:hAnsi="宋体" w:eastAsia="宋体" w:cs="Times New Roman"/>
          <w:color w:val="auto"/>
          <w:sz w:val="24"/>
          <w:szCs w:val="24"/>
          <w:highlight w:val="none"/>
        </w:rPr>
        <w:t>名    称：</w:t>
      </w:r>
      <w:r>
        <w:rPr>
          <w:rFonts w:hint="eastAsia" w:ascii="宋体" w:hAnsi="宋体" w:eastAsia="宋体" w:cs="Times New Roman"/>
          <w:bCs/>
          <w:color w:val="auto"/>
          <w:sz w:val="24"/>
          <w:szCs w:val="24"/>
          <w:highlight w:val="none"/>
          <w:u w:val="single"/>
          <w:lang w:val="en-US" w:eastAsia="zh-CN"/>
        </w:rPr>
        <w:t xml:space="preserve">                          </w:t>
      </w:r>
    </w:p>
    <w:p w14:paraId="6464DB14">
      <w:pPr>
        <w:spacing w:line="480" w:lineRule="exact"/>
        <w:ind w:firstLine="480" w:firstLineChars="200"/>
        <w:rPr>
          <w:rFonts w:hint="default" w:ascii="宋体" w:hAnsi="宋体" w:eastAsia="宋体" w:cs="Times New Roman"/>
          <w:color w:val="auto"/>
          <w:szCs w:val="24"/>
          <w:highlight w:val="none"/>
          <w:u w:val="single"/>
          <w:lang w:val="en-US" w:eastAsia="zh-CN"/>
        </w:rPr>
      </w:pPr>
      <w:r>
        <w:rPr>
          <w:rFonts w:ascii="宋体" w:hAnsi="宋体" w:eastAsia="宋体" w:cs="Times New Roman"/>
          <w:color w:val="auto"/>
          <w:sz w:val="24"/>
          <w:szCs w:val="24"/>
          <w:highlight w:val="none"/>
        </w:rPr>
        <w:t>开户银行：</w:t>
      </w:r>
      <w:r>
        <w:rPr>
          <w:rFonts w:hint="eastAsia" w:ascii="新宋体" w:hAnsi="新宋体" w:eastAsia="新宋体" w:cs="MingLiU_HKSCS"/>
          <w:color w:val="auto"/>
          <w:sz w:val="24"/>
          <w:szCs w:val="24"/>
          <w:highlight w:val="none"/>
          <w:u w:val="single"/>
          <w:lang w:val="en-US" w:eastAsia="zh-CN"/>
        </w:rPr>
        <w:t xml:space="preserve">                          </w:t>
      </w:r>
    </w:p>
    <w:p w14:paraId="141F9689">
      <w:pPr>
        <w:spacing w:line="480" w:lineRule="exact"/>
        <w:ind w:firstLine="480" w:firstLineChars="200"/>
        <w:rPr>
          <w:rFonts w:hint="default" w:ascii="宋体" w:hAnsi="宋体" w:eastAsia="宋体" w:cs="Times New Roman"/>
          <w:color w:val="auto"/>
          <w:szCs w:val="24"/>
          <w:highlight w:val="none"/>
          <w:u w:val="single"/>
          <w:lang w:val="en-US" w:eastAsia="zh-CN"/>
        </w:rPr>
      </w:pPr>
      <w:r>
        <w:rPr>
          <w:rFonts w:ascii="宋体" w:hAnsi="宋体" w:eastAsia="宋体" w:cs="Times New Roman"/>
          <w:color w:val="auto"/>
          <w:sz w:val="24"/>
          <w:szCs w:val="24"/>
          <w:highlight w:val="none"/>
        </w:rPr>
        <w:t>账    号：</w:t>
      </w:r>
      <w:r>
        <w:rPr>
          <w:rFonts w:hint="eastAsia" w:ascii="新宋体" w:hAnsi="新宋体" w:eastAsia="新宋体" w:cs="MingLiU_HKSCS"/>
          <w:color w:val="auto"/>
          <w:sz w:val="24"/>
          <w:szCs w:val="24"/>
          <w:highlight w:val="none"/>
          <w:u w:val="single"/>
          <w:lang w:val="en-US" w:eastAsia="zh-CN"/>
        </w:rPr>
        <w:t xml:space="preserve">                          </w:t>
      </w:r>
    </w:p>
    <w:p w14:paraId="145750B4">
      <w:pPr>
        <w:spacing w:line="480" w:lineRule="exact"/>
        <w:ind w:firstLine="482" w:firstLineChars="200"/>
        <w:rPr>
          <w:rFonts w:ascii="宋体" w:hAnsi="宋体" w:eastAsia="宋体" w:cs="Times New Roman"/>
          <w:color w:val="auto"/>
          <w:sz w:val="24"/>
          <w:szCs w:val="24"/>
          <w:highlight w:val="none"/>
        </w:rPr>
      </w:pPr>
      <w:r>
        <w:rPr>
          <w:rFonts w:ascii="宋体" w:hAnsi="宋体" w:eastAsia="宋体" w:cs="Times New Roman"/>
          <w:b/>
          <w:color w:val="auto"/>
          <w:kern w:val="32"/>
          <w:sz w:val="24"/>
          <w:szCs w:val="24"/>
          <w:highlight w:val="none"/>
        </w:rPr>
        <w:t xml:space="preserve">第五条  </w:t>
      </w:r>
      <w:r>
        <w:rPr>
          <w:rFonts w:ascii="宋体" w:hAnsi="宋体" w:eastAsia="宋体" w:cs="Times New Roman"/>
          <w:color w:val="auto"/>
          <w:sz w:val="24"/>
          <w:szCs w:val="24"/>
          <w:highlight w:val="none"/>
        </w:rPr>
        <w:t>双方确定，按以下标准和方式对乙方提交的技术服务工作成果进行验收：</w:t>
      </w:r>
    </w:p>
    <w:p w14:paraId="68174574">
      <w:pPr>
        <w:tabs>
          <w:tab w:val="left" w:pos="588"/>
        </w:tabs>
        <w:spacing w:line="480" w:lineRule="exact"/>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 乙方提交技术服务工作成果的形式：</w:t>
      </w:r>
      <w:r>
        <w:rPr>
          <w:rFonts w:ascii="宋体" w:hAnsi="宋体" w:eastAsia="宋体" w:cs="Times New Roman"/>
          <w:bCs/>
          <w:color w:val="auto"/>
          <w:sz w:val="24"/>
          <w:szCs w:val="24"/>
          <w:highlight w:val="none"/>
          <w:u w:val="single"/>
        </w:rPr>
        <w:t>以报告书形式完成工作，以书面形式提交</w:t>
      </w:r>
      <w:r>
        <w:rPr>
          <w:rFonts w:hint="eastAsia" w:ascii="宋体" w:hAnsi="宋体" w:eastAsia="宋体" w:cs="Times New Roman"/>
          <w:bCs/>
          <w:color w:val="auto"/>
          <w:sz w:val="24"/>
          <w:szCs w:val="24"/>
          <w:highlight w:val="none"/>
          <w:u w:val="single"/>
        </w:rPr>
        <w:t>4份工作成果</w:t>
      </w:r>
      <w:r>
        <w:rPr>
          <w:rFonts w:ascii="宋体" w:hAnsi="宋体" w:eastAsia="宋体" w:cs="Times New Roman"/>
          <w:bCs/>
          <w:color w:val="auto"/>
          <w:sz w:val="24"/>
          <w:szCs w:val="24"/>
          <w:highlight w:val="none"/>
          <w:u w:val="single"/>
        </w:rPr>
        <w:t>。</w:t>
      </w:r>
      <w:r>
        <w:rPr>
          <w:rFonts w:ascii="宋体" w:hAnsi="宋体" w:eastAsia="宋体" w:cs="Times New Roman"/>
          <w:b/>
          <w:color w:val="auto"/>
          <w:sz w:val="24"/>
          <w:szCs w:val="24"/>
          <w:highlight w:val="none"/>
        </w:rPr>
        <w:t xml:space="preserve">              </w:t>
      </w:r>
      <w:r>
        <w:rPr>
          <w:rFonts w:ascii="宋体" w:hAnsi="宋体" w:eastAsia="宋体" w:cs="Times New Roman"/>
          <w:color w:val="auto"/>
          <w:sz w:val="24"/>
          <w:szCs w:val="24"/>
          <w:highlight w:val="none"/>
        </w:rPr>
        <w:t xml:space="preserve">                                 </w:t>
      </w:r>
    </w:p>
    <w:p w14:paraId="286AD334">
      <w:pPr>
        <w:tabs>
          <w:tab w:val="left" w:pos="588"/>
        </w:tabs>
        <w:spacing w:line="480" w:lineRule="exact"/>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2. </w:t>
      </w:r>
      <w:r>
        <w:rPr>
          <w:rFonts w:ascii="宋体" w:hAnsi="宋体" w:eastAsia="宋体" w:cs="Times New Roman"/>
          <w:bCs/>
          <w:color w:val="auto"/>
          <w:sz w:val="24"/>
          <w:szCs w:val="24"/>
          <w:highlight w:val="none"/>
        </w:rPr>
        <w:t>技术服务工作成果的验收标准</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u w:val="single"/>
        </w:rPr>
        <w:t>符合国家有关的规范规定的编制深度并通过</w:t>
      </w:r>
      <w:r>
        <w:rPr>
          <w:rFonts w:ascii="宋体" w:hAnsi="宋体" w:eastAsia="宋体" w:cs="Times New Roman"/>
          <w:color w:val="auto"/>
          <w:sz w:val="24"/>
          <w:szCs w:val="24"/>
          <w:highlight w:val="none"/>
          <w:u w:val="single"/>
        </w:rPr>
        <w:t>有关部门的审查批复</w:t>
      </w:r>
      <w:r>
        <w:rPr>
          <w:rFonts w:hint="eastAsia" w:ascii="宋体" w:hAnsi="宋体" w:eastAsia="宋体" w:cs="Times New Roman"/>
          <w:color w:val="auto"/>
          <w:sz w:val="24"/>
          <w:szCs w:val="24"/>
          <w:highlight w:val="none"/>
          <w:u w:val="single"/>
        </w:rPr>
        <w:t>。</w:t>
      </w:r>
      <w:r>
        <w:rPr>
          <w:rFonts w:ascii="宋体" w:hAnsi="宋体" w:eastAsia="宋体" w:cs="Times New Roman"/>
          <w:color w:val="auto"/>
          <w:sz w:val="24"/>
          <w:szCs w:val="24"/>
          <w:highlight w:val="none"/>
        </w:rPr>
        <w:t xml:space="preserve">                </w:t>
      </w:r>
    </w:p>
    <w:p w14:paraId="0AEBC3F3">
      <w:pPr>
        <w:spacing w:line="480" w:lineRule="exact"/>
        <w:ind w:firstLine="480" w:firstLineChars="200"/>
        <w:rPr>
          <w:rFonts w:ascii="宋体" w:hAnsi="宋体" w:eastAsia="宋体" w:cs="Times New Roman"/>
          <w:bCs/>
          <w:color w:val="auto"/>
          <w:kern w:val="36"/>
          <w:sz w:val="24"/>
          <w:szCs w:val="24"/>
          <w:highlight w:val="none"/>
          <w:u w:val="single"/>
        </w:rPr>
      </w:pPr>
      <w:r>
        <w:rPr>
          <w:rFonts w:ascii="宋体" w:hAnsi="宋体" w:eastAsia="宋体" w:cs="Times New Roman"/>
          <w:bCs/>
          <w:color w:val="auto"/>
          <w:kern w:val="36"/>
          <w:sz w:val="24"/>
          <w:szCs w:val="24"/>
          <w:highlight w:val="none"/>
        </w:rPr>
        <w:t>3、成果归属：</w:t>
      </w:r>
      <w:r>
        <w:rPr>
          <w:rFonts w:ascii="宋体" w:hAnsi="宋体" w:eastAsia="宋体" w:cs="Times New Roman"/>
          <w:bCs/>
          <w:color w:val="auto"/>
          <w:kern w:val="36"/>
          <w:sz w:val="24"/>
          <w:szCs w:val="24"/>
          <w:highlight w:val="none"/>
          <w:u w:val="single"/>
        </w:rPr>
        <w:t>乙方按要求完成上述成果并通过</w:t>
      </w:r>
      <w:r>
        <w:rPr>
          <w:rFonts w:hint="eastAsia" w:ascii="宋体" w:hAnsi="宋体" w:eastAsia="宋体" w:cs="Times New Roman"/>
          <w:bCs/>
          <w:color w:val="auto"/>
          <w:kern w:val="36"/>
          <w:sz w:val="24"/>
          <w:szCs w:val="24"/>
          <w:highlight w:val="none"/>
          <w:u w:val="single"/>
        </w:rPr>
        <w:t>审批</w:t>
      </w:r>
      <w:r>
        <w:rPr>
          <w:rFonts w:ascii="宋体" w:hAnsi="宋体" w:eastAsia="宋体" w:cs="Times New Roman"/>
          <w:bCs/>
          <w:color w:val="auto"/>
          <w:kern w:val="36"/>
          <w:sz w:val="24"/>
          <w:szCs w:val="24"/>
          <w:highlight w:val="none"/>
          <w:u w:val="single"/>
        </w:rPr>
        <w:t>后，该成果的知识产权归甲方所有。</w:t>
      </w:r>
    </w:p>
    <w:p w14:paraId="55B54E4D">
      <w:pPr>
        <w:spacing w:line="480" w:lineRule="exact"/>
        <w:ind w:firstLine="472" w:firstLineChars="196"/>
        <w:rPr>
          <w:rFonts w:hint="eastAsia" w:ascii="宋体" w:hAnsi="宋体" w:eastAsia="宋体" w:cs="Times New Roman"/>
          <w:b/>
          <w:color w:val="auto"/>
          <w:kern w:val="36"/>
          <w:sz w:val="24"/>
          <w:szCs w:val="24"/>
          <w:highlight w:val="none"/>
        </w:rPr>
      </w:pPr>
      <w:r>
        <w:rPr>
          <w:rFonts w:hint="eastAsia" w:ascii="宋体" w:hAnsi="宋体" w:eastAsia="宋体" w:cs="Times New Roman"/>
          <w:b/>
          <w:color w:val="auto"/>
          <w:kern w:val="36"/>
          <w:sz w:val="24"/>
          <w:szCs w:val="24"/>
          <w:highlight w:val="none"/>
        </w:rPr>
        <w:t xml:space="preserve">第六条 </w:t>
      </w:r>
      <w:r>
        <w:rPr>
          <w:rFonts w:hint="eastAsia" w:ascii="宋体" w:hAnsi="宋体" w:eastAsia="宋体" w:cs="Times New Roman"/>
          <w:color w:val="auto"/>
          <w:sz w:val="24"/>
          <w:szCs w:val="24"/>
          <w:highlight w:val="none"/>
        </w:rPr>
        <w:t>乙方拟派服务团队若在服务期内更换项目负责人，需报经甲方同意。</w:t>
      </w:r>
      <w:r>
        <w:rPr>
          <w:rFonts w:ascii="宋体" w:hAnsi="宋体" w:eastAsia="宋体" w:cs="Times New Roman"/>
          <w:b/>
          <w:color w:val="auto"/>
          <w:kern w:val="36"/>
          <w:sz w:val="24"/>
          <w:szCs w:val="24"/>
          <w:highlight w:val="none"/>
        </w:rPr>
        <w:t xml:space="preserve">    </w:t>
      </w:r>
    </w:p>
    <w:p w14:paraId="03032A66">
      <w:pPr>
        <w:spacing w:line="480" w:lineRule="exact"/>
        <w:ind w:firstLine="472" w:firstLineChars="196"/>
        <w:rPr>
          <w:rFonts w:hint="eastAsia" w:ascii="宋体" w:hAnsi="宋体" w:eastAsia="宋体" w:cs="Times New Roman"/>
          <w:bCs/>
          <w:color w:val="auto"/>
          <w:sz w:val="24"/>
          <w:szCs w:val="24"/>
          <w:highlight w:val="none"/>
          <w:u w:val="single"/>
        </w:rPr>
      </w:pPr>
      <w:r>
        <w:rPr>
          <w:rFonts w:ascii="宋体" w:hAnsi="宋体" w:eastAsia="宋体" w:cs="Times New Roman"/>
          <w:b/>
          <w:color w:val="auto"/>
          <w:kern w:val="36"/>
          <w:sz w:val="24"/>
          <w:szCs w:val="24"/>
          <w:highlight w:val="none"/>
        </w:rPr>
        <w:t>第</w:t>
      </w:r>
      <w:r>
        <w:rPr>
          <w:rFonts w:hint="eastAsia" w:ascii="宋体" w:hAnsi="宋体" w:eastAsia="宋体" w:cs="Times New Roman"/>
          <w:b/>
          <w:color w:val="auto"/>
          <w:kern w:val="36"/>
          <w:sz w:val="24"/>
          <w:szCs w:val="24"/>
          <w:highlight w:val="none"/>
        </w:rPr>
        <w:t>七</w:t>
      </w:r>
      <w:r>
        <w:rPr>
          <w:rFonts w:ascii="宋体" w:hAnsi="宋体" w:eastAsia="宋体" w:cs="Times New Roman"/>
          <w:b/>
          <w:color w:val="auto"/>
          <w:kern w:val="36"/>
          <w:sz w:val="24"/>
          <w:szCs w:val="24"/>
          <w:highlight w:val="none"/>
        </w:rPr>
        <w:t xml:space="preserve">条  </w:t>
      </w:r>
      <w:r>
        <w:rPr>
          <w:rFonts w:ascii="宋体" w:hAnsi="宋体" w:eastAsia="宋体" w:cs="Times New Roman"/>
          <w:bCs/>
          <w:color w:val="auto"/>
          <w:spacing w:val="4"/>
          <w:kern w:val="36"/>
          <w:sz w:val="24"/>
          <w:szCs w:val="24"/>
          <w:highlight w:val="none"/>
        </w:rPr>
        <w:t>双方确定：本合同及相关附件中所涉及的有关名词和技</w:t>
      </w:r>
      <w:r>
        <w:rPr>
          <w:rFonts w:ascii="宋体" w:hAnsi="宋体" w:eastAsia="宋体" w:cs="Times New Roman"/>
          <w:bCs/>
          <w:color w:val="auto"/>
          <w:kern w:val="36"/>
          <w:sz w:val="24"/>
          <w:szCs w:val="24"/>
          <w:highlight w:val="none"/>
        </w:rPr>
        <w:t>术术语，其定义和解释如下：</w:t>
      </w:r>
      <w:r>
        <w:rPr>
          <w:rFonts w:ascii="宋体" w:hAnsi="宋体" w:eastAsia="宋体" w:cs="Times New Roman"/>
          <w:bCs/>
          <w:color w:val="auto"/>
          <w:sz w:val="24"/>
          <w:szCs w:val="24"/>
          <w:highlight w:val="none"/>
          <w:u w:val="single"/>
        </w:rPr>
        <w:t>所有名词与技术术语均以行业规范为准。</w:t>
      </w:r>
    </w:p>
    <w:p w14:paraId="27ACEDA9">
      <w:pPr>
        <w:spacing w:line="480" w:lineRule="exact"/>
        <w:ind w:firstLine="472" w:firstLineChars="196"/>
        <w:rPr>
          <w:rFonts w:hint="eastAsia" w:ascii="宋体" w:hAnsi="宋体" w:eastAsia="宋体" w:cs="Times New Roman"/>
          <w:b/>
          <w:color w:val="auto"/>
          <w:kern w:val="36"/>
          <w:sz w:val="24"/>
          <w:szCs w:val="24"/>
          <w:highlight w:val="none"/>
        </w:rPr>
      </w:pPr>
      <w:r>
        <w:rPr>
          <w:rFonts w:hint="eastAsia" w:ascii="宋体" w:hAnsi="宋体" w:eastAsia="宋体" w:cs="Times New Roman"/>
          <w:b/>
          <w:color w:val="auto"/>
          <w:kern w:val="36"/>
          <w:sz w:val="24"/>
          <w:szCs w:val="24"/>
          <w:highlight w:val="none"/>
        </w:rPr>
        <w:t xml:space="preserve">第八条  </w:t>
      </w:r>
      <w:r>
        <w:rPr>
          <w:rFonts w:ascii="Times New Roman" w:hAnsi="Times New Roman" w:eastAsia="宋体" w:cs="Times New Roman"/>
          <w:color w:val="auto"/>
          <w:sz w:val="24"/>
          <w:szCs w:val="24"/>
          <w:highlight w:val="none"/>
        </w:rPr>
        <w:t>违约责任：</w:t>
      </w:r>
      <w:r>
        <w:rPr>
          <w:rFonts w:hint="eastAsia" w:ascii="Times New Roman" w:hAnsi="Times New Roman" w:eastAsia="宋体" w:cs="Times New Roman"/>
          <w:color w:val="auto"/>
          <w:sz w:val="24"/>
          <w:szCs w:val="24"/>
          <w:highlight w:val="none"/>
        </w:rPr>
        <w:t>乙方在合同协议期内有弄虚作假、服务质量不符合要求等不良行为</w:t>
      </w:r>
      <w:r>
        <w:rPr>
          <w:rFonts w:hint="eastAsia" w:ascii="Times New Roman" w:hAnsi="宋体" w:eastAsia="宋体" w:cs="Times New Roman"/>
          <w:bCs/>
          <w:color w:val="auto"/>
          <w:sz w:val="24"/>
          <w:szCs w:val="24"/>
          <w:highlight w:val="none"/>
        </w:rPr>
        <w:t>、无故</w:t>
      </w:r>
      <w:r>
        <w:rPr>
          <w:rFonts w:hint="eastAsia" w:ascii="Times New Roman" w:hAnsi="Times New Roman" w:eastAsia="宋体" w:cs="Times New Roman"/>
          <w:color w:val="auto"/>
          <w:sz w:val="24"/>
          <w:szCs w:val="24"/>
          <w:highlight w:val="none"/>
        </w:rPr>
        <w:t>不响应甲方要求</w:t>
      </w:r>
      <w:r>
        <w:rPr>
          <w:rFonts w:hint="eastAsia" w:ascii="Times New Roman" w:hAnsi="宋体" w:eastAsia="宋体" w:cs="Times New Roman"/>
          <w:bCs/>
          <w:color w:val="auto"/>
          <w:sz w:val="24"/>
          <w:szCs w:val="24"/>
          <w:highlight w:val="none"/>
        </w:rPr>
        <w:t>、</w:t>
      </w:r>
      <w:r>
        <w:rPr>
          <w:rFonts w:hint="eastAsia" w:ascii="Times New Roman" w:hAnsi="Times New Roman" w:eastAsia="宋体" w:cs="Times New Roman"/>
          <w:color w:val="auto"/>
          <w:sz w:val="24"/>
          <w:szCs w:val="24"/>
          <w:highlight w:val="none"/>
        </w:rPr>
        <w:t>不配合甲方完成具体服务工作的，或将委托项目分包、转包的，甲方有权随时解除合同，并要求赔偿因此造成的损失，赔偿金额不超过本合同总费用。</w:t>
      </w:r>
    </w:p>
    <w:p w14:paraId="2A61D4BB">
      <w:pPr>
        <w:spacing w:line="480" w:lineRule="exact"/>
        <w:ind w:firstLine="472" w:firstLineChars="196"/>
        <w:rPr>
          <w:rFonts w:hint="eastAsia" w:ascii="宋体" w:hAnsi="宋体" w:eastAsia="宋体" w:cs="Times New Roman"/>
          <w:color w:val="auto"/>
          <w:kern w:val="36"/>
          <w:sz w:val="24"/>
          <w:szCs w:val="24"/>
          <w:highlight w:val="none"/>
        </w:rPr>
      </w:pPr>
      <w:r>
        <w:rPr>
          <w:rFonts w:ascii="宋体" w:hAnsi="宋体" w:eastAsia="宋体" w:cs="Times New Roman"/>
          <w:b/>
          <w:color w:val="auto"/>
          <w:kern w:val="36"/>
          <w:sz w:val="24"/>
          <w:szCs w:val="24"/>
          <w:highlight w:val="none"/>
        </w:rPr>
        <w:t>第</w:t>
      </w:r>
      <w:r>
        <w:rPr>
          <w:rFonts w:hint="eastAsia" w:ascii="宋体" w:hAnsi="宋体" w:eastAsia="宋体" w:cs="Times New Roman"/>
          <w:b/>
          <w:color w:val="auto"/>
          <w:kern w:val="36"/>
          <w:sz w:val="24"/>
          <w:szCs w:val="24"/>
          <w:highlight w:val="none"/>
        </w:rPr>
        <w:t>九</w:t>
      </w:r>
      <w:r>
        <w:rPr>
          <w:rFonts w:ascii="宋体" w:hAnsi="宋体" w:eastAsia="宋体" w:cs="Times New Roman"/>
          <w:b/>
          <w:color w:val="auto"/>
          <w:kern w:val="36"/>
          <w:sz w:val="24"/>
          <w:szCs w:val="24"/>
          <w:highlight w:val="none"/>
        </w:rPr>
        <w:t>条</w:t>
      </w:r>
      <w:r>
        <w:rPr>
          <w:rFonts w:hint="eastAsia" w:ascii="宋体" w:hAnsi="宋体" w:eastAsia="宋体" w:cs="Times New Roman"/>
          <w:color w:val="auto"/>
          <w:kern w:val="36"/>
          <w:sz w:val="24"/>
          <w:szCs w:val="24"/>
          <w:highlight w:val="none"/>
        </w:rPr>
        <w:t xml:space="preserve">  争议解决方式：本合同如发生争议，由双方当事人协商解决，协商不成任何一方可向连城县中级人民法院提出诉讼。</w:t>
      </w:r>
    </w:p>
    <w:p w14:paraId="371D8DB8">
      <w:pPr>
        <w:spacing w:line="480" w:lineRule="exact"/>
        <w:ind w:firstLine="472" w:firstLineChars="196"/>
        <w:rPr>
          <w:rFonts w:ascii="宋体" w:hAnsi="宋体" w:eastAsia="宋体" w:cs="Times New Roman"/>
          <w:color w:val="auto"/>
          <w:kern w:val="36"/>
          <w:sz w:val="24"/>
          <w:szCs w:val="24"/>
          <w:highlight w:val="none"/>
        </w:rPr>
      </w:pPr>
      <w:r>
        <w:rPr>
          <w:rFonts w:hint="eastAsia" w:ascii="宋体" w:hAnsi="宋体" w:eastAsia="宋体" w:cs="Times New Roman"/>
          <w:b/>
          <w:color w:val="auto"/>
          <w:kern w:val="36"/>
          <w:sz w:val="24"/>
          <w:szCs w:val="24"/>
          <w:highlight w:val="none"/>
        </w:rPr>
        <w:t>第十条</w:t>
      </w:r>
      <w:r>
        <w:rPr>
          <w:rFonts w:hint="eastAsia" w:ascii="宋体" w:hAnsi="宋体" w:eastAsia="宋体" w:cs="Times New Roman"/>
          <w:color w:val="auto"/>
          <w:kern w:val="36"/>
          <w:sz w:val="24"/>
          <w:szCs w:val="24"/>
          <w:highlight w:val="none"/>
        </w:rPr>
        <w:t xml:space="preserve">  </w:t>
      </w:r>
      <w:r>
        <w:rPr>
          <w:rFonts w:ascii="宋体" w:hAnsi="宋体" w:eastAsia="宋体" w:cs="Times New Roman"/>
          <w:color w:val="auto"/>
          <w:kern w:val="36"/>
          <w:sz w:val="24"/>
          <w:szCs w:val="24"/>
          <w:highlight w:val="none"/>
        </w:rPr>
        <w:t>本合同一式</w:t>
      </w:r>
      <w:r>
        <w:rPr>
          <w:rFonts w:hint="eastAsia" w:ascii="宋体" w:hAnsi="宋体" w:eastAsia="宋体" w:cs="Times New Roman"/>
          <w:color w:val="auto"/>
          <w:kern w:val="36"/>
          <w:sz w:val="24"/>
          <w:szCs w:val="24"/>
          <w:highlight w:val="none"/>
          <w:u w:val="single"/>
        </w:rPr>
        <w:t xml:space="preserve"> 捌</w:t>
      </w:r>
      <w:r>
        <w:rPr>
          <w:rFonts w:hint="eastAsia" w:ascii="宋体" w:hAnsi="宋体" w:eastAsia="宋体" w:cs="Times New Roman"/>
          <w:color w:val="auto"/>
          <w:kern w:val="36"/>
          <w:sz w:val="24"/>
          <w:szCs w:val="24"/>
          <w:highlight w:val="none"/>
        </w:rPr>
        <w:t xml:space="preserve"> </w:t>
      </w:r>
      <w:r>
        <w:rPr>
          <w:rFonts w:ascii="宋体" w:hAnsi="宋体" w:eastAsia="宋体" w:cs="Times New Roman"/>
          <w:color w:val="auto"/>
          <w:kern w:val="36"/>
          <w:sz w:val="24"/>
          <w:szCs w:val="24"/>
          <w:highlight w:val="none"/>
        </w:rPr>
        <w:t>份，</w:t>
      </w:r>
      <w:r>
        <w:rPr>
          <w:rFonts w:hint="eastAsia" w:ascii="宋体" w:hAnsi="宋体" w:eastAsia="宋体" w:cs="Times New Roman"/>
          <w:color w:val="auto"/>
          <w:kern w:val="36"/>
          <w:sz w:val="24"/>
          <w:szCs w:val="24"/>
          <w:highlight w:val="none"/>
        </w:rPr>
        <w:t>甲方</w:t>
      </w:r>
      <w:r>
        <w:rPr>
          <w:rFonts w:hint="eastAsia" w:ascii="宋体" w:hAnsi="宋体" w:eastAsia="宋体" w:cs="Times New Roman"/>
          <w:color w:val="auto"/>
          <w:kern w:val="36"/>
          <w:sz w:val="24"/>
          <w:szCs w:val="24"/>
          <w:highlight w:val="none"/>
          <w:u w:val="single"/>
        </w:rPr>
        <w:t>肆</w:t>
      </w:r>
      <w:r>
        <w:rPr>
          <w:rFonts w:hint="eastAsia" w:ascii="宋体" w:hAnsi="宋体" w:eastAsia="宋体" w:cs="Times New Roman"/>
          <w:color w:val="auto"/>
          <w:kern w:val="36"/>
          <w:sz w:val="24"/>
          <w:szCs w:val="24"/>
          <w:highlight w:val="none"/>
        </w:rPr>
        <w:t>份，乙方</w:t>
      </w:r>
      <w:r>
        <w:rPr>
          <w:rFonts w:hint="eastAsia" w:ascii="宋体" w:hAnsi="宋体" w:eastAsia="宋体" w:cs="Times New Roman"/>
          <w:color w:val="auto"/>
          <w:kern w:val="36"/>
          <w:sz w:val="24"/>
          <w:szCs w:val="24"/>
          <w:highlight w:val="none"/>
          <w:u w:val="single"/>
        </w:rPr>
        <w:t>肆</w:t>
      </w:r>
      <w:r>
        <w:rPr>
          <w:rFonts w:hint="eastAsia" w:ascii="宋体" w:hAnsi="宋体" w:eastAsia="宋体" w:cs="Times New Roman"/>
          <w:color w:val="auto"/>
          <w:kern w:val="36"/>
          <w:sz w:val="24"/>
          <w:szCs w:val="24"/>
          <w:highlight w:val="none"/>
        </w:rPr>
        <w:t>份，</w:t>
      </w:r>
      <w:r>
        <w:rPr>
          <w:rFonts w:ascii="宋体" w:hAnsi="宋体" w:eastAsia="宋体" w:cs="Times New Roman"/>
          <w:color w:val="auto"/>
          <w:kern w:val="36"/>
          <w:sz w:val="24"/>
          <w:szCs w:val="24"/>
          <w:highlight w:val="none"/>
        </w:rPr>
        <w:t>具有同等法律效力。</w:t>
      </w:r>
    </w:p>
    <w:p w14:paraId="6C6A32CB">
      <w:pPr>
        <w:spacing w:line="480" w:lineRule="exact"/>
        <w:ind w:firstLine="472" w:firstLineChars="196"/>
        <w:rPr>
          <w:rFonts w:ascii="宋体" w:hAnsi="宋体" w:eastAsia="宋体" w:cs="Times New Roman"/>
          <w:color w:val="auto"/>
          <w:sz w:val="24"/>
          <w:szCs w:val="24"/>
          <w:highlight w:val="none"/>
        </w:rPr>
      </w:pPr>
      <w:r>
        <w:rPr>
          <w:rFonts w:ascii="宋体" w:hAnsi="宋体" w:eastAsia="宋体" w:cs="Times New Roman"/>
          <w:b/>
          <w:color w:val="auto"/>
          <w:kern w:val="36"/>
          <w:sz w:val="24"/>
          <w:szCs w:val="24"/>
          <w:highlight w:val="none"/>
        </w:rPr>
        <w:t>第</w:t>
      </w:r>
      <w:r>
        <w:rPr>
          <w:rFonts w:hint="eastAsia" w:ascii="宋体" w:hAnsi="宋体" w:eastAsia="宋体" w:cs="Times New Roman"/>
          <w:b/>
          <w:color w:val="auto"/>
          <w:kern w:val="36"/>
          <w:sz w:val="24"/>
          <w:szCs w:val="24"/>
          <w:highlight w:val="none"/>
        </w:rPr>
        <w:t>十一</w:t>
      </w:r>
      <w:r>
        <w:rPr>
          <w:rFonts w:ascii="宋体" w:hAnsi="宋体" w:eastAsia="宋体" w:cs="Times New Roman"/>
          <w:b/>
          <w:color w:val="auto"/>
          <w:kern w:val="36"/>
          <w:sz w:val="24"/>
          <w:szCs w:val="24"/>
          <w:highlight w:val="none"/>
        </w:rPr>
        <w:t>条</w:t>
      </w:r>
      <w:r>
        <w:rPr>
          <w:rFonts w:ascii="宋体" w:hAnsi="宋体" w:eastAsia="宋体" w:cs="Times New Roman"/>
          <w:color w:val="auto"/>
          <w:kern w:val="36"/>
          <w:sz w:val="24"/>
          <w:szCs w:val="24"/>
          <w:highlight w:val="none"/>
        </w:rPr>
        <w:t xml:space="preserve">  本合同经双方签字盖章后生效。  </w:t>
      </w:r>
      <w:r>
        <w:rPr>
          <w:rFonts w:ascii="宋体" w:hAnsi="宋体" w:eastAsia="宋体" w:cs="Times New Roman"/>
          <w:color w:val="auto"/>
          <w:sz w:val="24"/>
          <w:szCs w:val="24"/>
          <w:highlight w:val="none"/>
        </w:rPr>
        <w:t xml:space="preserve"> </w:t>
      </w:r>
    </w:p>
    <w:p w14:paraId="793BF438">
      <w:pPr>
        <w:spacing w:line="480" w:lineRule="exact"/>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                               </w:t>
      </w:r>
    </w:p>
    <w:p w14:paraId="11446E3A">
      <w:pPr>
        <w:spacing w:line="480" w:lineRule="auto"/>
        <w:ind w:firstLine="720" w:firstLineChars="300"/>
        <w:rPr>
          <w:rFonts w:hint="eastAsia" w:ascii="宋体" w:hAnsi="宋体" w:eastAsia="宋体" w:cs="Times New Roman"/>
          <w:bCs/>
          <w:color w:val="auto"/>
          <w:sz w:val="24"/>
          <w:szCs w:val="24"/>
          <w:highlight w:val="none"/>
        </w:rPr>
      </w:pPr>
      <w:r>
        <w:rPr>
          <w:rFonts w:ascii="宋体" w:hAnsi="宋体" w:eastAsia="宋体" w:cs="Times New Roman"/>
          <w:color w:val="auto"/>
          <w:sz w:val="24"/>
          <w:szCs w:val="24"/>
          <w:highlight w:val="none"/>
        </w:rPr>
        <w:t>甲方：</w:t>
      </w:r>
      <w:r>
        <w:rPr>
          <w:rFonts w:hint="eastAsia" w:ascii="宋体" w:hAnsi="宋体" w:eastAsia="宋体" w:cs="Times New Roman"/>
          <w:color w:val="auto"/>
          <w:sz w:val="24"/>
          <w:szCs w:val="24"/>
          <w:highlight w:val="none"/>
        </w:rPr>
        <w:t xml:space="preserve"> </w:t>
      </w:r>
      <w:r>
        <w:rPr>
          <w:rFonts w:ascii="宋体" w:hAnsi="宋体" w:eastAsia="宋体" w:cs="Times New Roman"/>
          <w:color w:val="auto"/>
          <w:sz w:val="24"/>
          <w:szCs w:val="24"/>
          <w:highlight w:val="none"/>
        </w:rPr>
        <w:t xml:space="preserve">     </w:t>
      </w:r>
      <w:r>
        <w:rPr>
          <w:rFonts w:hint="eastAsia" w:ascii="宋体" w:hAnsi="宋体" w:eastAsia="宋体" w:cs="Times New Roman"/>
          <w:color w:val="auto"/>
          <w:sz w:val="24"/>
          <w:szCs w:val="24"/>
          <w:highlight w:val="none"/>
        </w:rPr>
        <w:t xml:space="preserve">                </w:t>
      </w:r>
      <w:r>
        <w:rPr>
          <w:rFonts w:ascii="宋体" w:hAnsi="宋体" w:eastAsia="宋体" w:cs="Times New Roman"/>
          <w:color w:val="auto"/>
          <w:sz w:val="24"/>
          <w:szCs w:val="24"/>
          <w:highlight w:val="none"/>
        </w:rPr>
        <w:t>乙方：</w:t>
      </w:r>
      <w:r>
        <w:rPr>
          <w:rFonts w:hint="eastAsia" w:ascii="宋体" w:hAnsi="宋体" w:eastAsia="宋体" w:cs="Times New Roman"/>
          <w:color w:val="auto"/>
          <w:spacing w:val="-20"/>
          <w:sz w:val="24"/>
          <w:szCs w:val="24"/>
          <w:highlight w:val="none"/>
        </w:rPr>
        <w:t xml:space="preserve"> </w:t>
      </w:r>
    </w:p>
    <w:p w14:paraId="54A82023">
      <w:pPr>
        <w:spacing w:line="400" w:lineRule="exact"/>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      法定代表人</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 xml:space="preserve">                 法定代表人</w:t>
      </w:r>
      <w:r>
        <w:rPr>
          <w:rFonts w:hint="eastAsia" w:ascii="宋体" w:hAnsi="宋体" w:eastAsia="宋体" w:cs="Times New Roman"/>
          <w:color w:val="auto"/>
          <w:sz w:val="24"/>
          <w:szCs w:val="24"/>
          <w:highlight w:val="none"/>
        </w:rPr>
        <w:t>：</w:t>
      </w:r>
    </w:p>
    <w:p w14:paraId="37A275FC">
      <w:pPr>
        <w:spacing w:line="400" w:lineRule="exact"/>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 /委托代理人：                /委托代理人</w:t>
      </w:r>
      <w:r>
        <w:rPr>
          <w:rFonts w:hint="eastAsia" w:ascii="宋体" w:hAnsi="宋体" w:eastAsia="宋体" w:cs="Times New Roman"/>
          <w:color w:val="auto"/>
          <w:sz w:val="24"/>
          <w:szCs w:val="24"/>
          <w:highlight w:val="none"/>
        </w:rPr>
        <w:t>：</w:t>
      </w:r>
    </w:p>
    <w:p w14:paraId="151EF2A2">
      <w:pPr>
        <w:spacing w:line="480" w:lineRule="auto"/>
        <w:ind w:firstLine="720" w:firstLineChars="3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                           </w:t>
      </w:r>
    </w:p>
    <w:p w14:paraId="11573FB3">
      <w:pPr>
        <w:spacing w:line="480" w:lineRule="auto"/>
        <w:ind w:firstLine="720" w:firstLineChars="3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                                 日期：     </w:t>
      </w:r>
      <w:r>
        <w:rPr>
          <w:rFonts w:ascii="宋体" w:hAnsi="宋体" w:eastAsia="宋体" w:cs="Times New Roman"/>
          <w:color w:val="auto"/>
          <w:sz w:val="24"/>
          <w:szCs w:val="24"/>
          <w:highlight w:val="none"/>
        </w:rPr>
        <w:t>年</w:t>
      </w:r>
      <w:r>
        <w:rPr>
          <w:rFonts w:hint="eastAsia" w:ascii="宋体" w:hAnsi="宋体" w:eastAsia="宋体" w:cs="Times New Roman"/>
          <w:color w:val="auto"/>
          <w:sz w:val="24"/>
          <w:szCs w:val="24"/>
          <w:highlight w:val="none"/>
        </w:rPr>
        <w:t xml:space="preserve">  </w:t>
      </w:r>
      <w:r>
        <w:rPr>
          <w:rFonts w:ascii="宋体" w:hAnsi="宋体" w:eastAsia="宋体" w:cs="Times New Roman"/>
          <w:color w:val="auto"/>
          <w:sz w:val="24"/>
          <w:szCs w:val="24"/>
          <w:highlight w:val="none"/>
        </w:rPr>
        <w:t>月</w:t>
      </w:r>
      <w:r>
        <w:rPr>
          <w:rFonts w:hint="eastAsia" w:ascii="宋体" w:hAnsi="宋体" w:eastAsia="宋体" w:cs="Times New Roman"/>
          <w:color w:val="auto"/>
          <w:sz w:val="24"/>
          <w:szCs w:val="24"/>
          <w:highlight w:val="none"/>
        </w:rPr>
        <w:t xml:space="preserve">  </w:t>
      </w:r>
      <w:r>
        <w:rPr>
          <w:rFonts w:ascii="宋体" w:hAnsi="宋体" w:eastAsia="宋体" w:cs="Times New Roman"/>
          <w:color w:val="auto"/>
          <w:sz w:val="24"/>
          <w:szCs w:val="24"/>
          <w:highlight w:val="none"/>
        </w:rPr>
        <w:t>日</w:t>
      </w:r>
    </w:p>
    <w:p w14:paraId="1484E09A">
      <w:pPr>
        <w:spacing w:line="480" w:lineRule="auto"/>
        <w:ind w:firstLine="720" w:firstLineChars="300"/>
        <w:rPr>
          <w:rFonts w:hint="eastAsia" w:ascii="宋体" w:hAnsi="宋体" w:eastAsia="宋体" w:cs="Times New Roman"/>
          <w:color w:val="auto"/>
          <w:sz w:val="24"/>
          <w:szCs w:val="24"/>
          <w:highlight w:val="none"/>
        </w:rPr>
      </w:pPr>
    </w:p>
    <w:p w14:paraId="0A65357E">
      <w:pPr>
        <w:spacing w:line="480" w:lineRule="auto"/>
        <w:ind w:firstLine="720" w:firstLineChars="300"/>
        <w:rPr>
          <w:rFonts w:hint="eastAsia" w:ascii="宋体" w:hAnsi="宋体" w:eastAsia="宋体" w:cs="Times New Roman"/>
          <w:color w:val="auto"/>
          <w:sz w:val="24"/>
          <w:szCs w:val="24"/>
          <w:highlight w:val="none"/>
        </w:rPr>
      </w:pPr>
    </w:p>
    <w:p w14:paraId="3B69EE30">
      <w:pPr>
        <w:spacing w:line="480" w:lineRule="auto"/>
        <w:ind w:firstLine="720" w:firstLineChars="300"/>
        <w:rPr>
          <w:rFonts w:hint="eastAsia" w:ascii="宋体" w:hAnsi="宋体" w:eastAsia="宋体" w:cs="Times New Roman"/>
          <w:color w:val="auto"/>
          <w:sz w:val="24"/>
          <w:szCs w:val="24"/>
          <w:highlight w:val="none"/>
        </w:rPr>
      </w:pPr>
    </w:p>
    <w:p w14:paraId="4C0B45B8">
      <w:pPr>
        <w:spacing w:line="480" w:lineRule="auto"/>
        <w:ind w:firstLine="720" w:firstLineChars="300"/>
        <w:rPr>
          <w:rFonts w:hint="eastAsia" w:ascii="宋体" w:hAnsi="宋体" w:eastAsia="宋体" w:cs="Times New Roman"/>
          <w:color w:val="auto"/>
          <w:sz w:val="24"/>
          <w:szCs w:val="24"/>
          <w:highlight w:val="none"/>
        </w:rPr>
      </w:pPr>
    </w:p>
    <w:p w14:paraId="578161DC">
      <w:pPr>
        <w:spacing w:line="480" w:lineRule="auto"/>
        <w:ind w:firstLine="720" w:firstLineChars="300"/>
        <w:rPr>
          <w:rFonts w:ascii="宋体" w:hAnsi="宋体" w:eastAsia="宋体" w:cs="Times New Roman"/>
          <w:color w:val="auto"/>
          <w:sz w:val="24"/>
          <w:szCs w:val="24"/>
          <w:highlight w:val="none"/>
        </w:rPr>
      </w:pPr>
    </w:p>
    <w:p w14:paraId="32988EE3">
      <w:pPr>
        <w:spacing w:line="480" w:lineRule="auto"/>
        <w:ind w:firstLine="720" w:firstLineChars="300"/>
        <w:rPr>
          <w:rFonts w:hint="eastAsia" w:ascii="宋体" w:hAnsi="宋体" w:eastAsia="宋体" w:cs="Times New Roman"/>
          <w:color w:val="auto"/>
          <w:sz w:val="24"/>
          <w:szCs w:val="24"/>
          <w:highlight w:val="none"/>
        </w:rPr>
      </w:pPr>
    </w:p>
    <w:p w14:paraId="2EB19BD5">
      <w:pPr>
        <w:jc w:val="left"/>
        <w:rPr>
          <w:color w:val="auto"/>
          <w:highlight w:val="none"/>
        </w:rPr>
      </w:pPr>
    </w:p>
    <w:sectPr>
      <w:pgSz w:w="11906" w:h="16838"/>
      <w:pgMar w:top="1327" w:right="1689" w:bottom="1327"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新宋体">
    <w:panose1 w:val="02010609030101010101"/>
    <w:charset w:val="86"/>
    <w:family w:val="auto"/>
    <w:pitch w:val="default"/>
    <w:sig w:usb0="000002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华文楷体">
    <w:altName w:val="宋体"/>
    <w:panose1 w:val="02010600040101010101"/>
    <w:charset w:val="86"/>
    <w:family w:val="auto"/>
    <w:pitch w:val="default"/>
    <w:sig w:usb0="00000000" w:usb1="00000000" w:usb2="00000010" w:usb3="00000000" w:csb0="0004009F" w:csb1="00000000"/>
  </w:font>
  <w:font w:name="MingLiU_HKSCS">
    <w:altName w:val="MingLiU-ExtB"/>
    <w:panose1 w:val="00000000000000000000"/>
    <w:charset w:val="88"/>
    <w:family w:val="roman"/>
    <w:pitch w:val="default"/>
    <w:sig w:usb0="00000000" w:usb1="00000000" w:usb2="00000016" w:usb3="00000000" w:csb0="00100001" w:csb1="00000000"/>
  </w:font>
  <w:font w:name="MingLiU-ExtB">
    <w:panose1 w:val="02020500000000000000"/>
    <w:charset w:val="88"/>
    <w:family w:val="auto"/>
    <w:pitch w:val="default"/>
    <w:sig w:usb0="8000002F" w:usb1="02000008" w:usb2="00000000" w:usb3="00000000" w:csb0="00100001" w:csb1="00000000"/>
  </w:font>
  <w:font w:name="KSOFF9CC612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BA404E"/>
    <w:rsid w:val="00661709"/>
    <w:rsid w:val="008322BB"/>
    <w:rsid w:val="008E0C60"/>
    <w:rsid w:val="00906786"/>
    <w:rsid w:val="013B0DE8"/>
    <w:rsid w:val="016025FC"/>
    <w:rsid w:val="01633E9B"/>
    <w:rsid w:val="019404F8"/>
    <w:rsid w:val="01FD1632"/>
    <w:rsid w:val="01FD7E4B"/>
    <w:rsid w:val="02111B48"/>
    <w:rsid w:val="0216715F"/>
    <w:rsid w:val="02597332"/>
    <w:rsid w:val="026003DA"/>
    <w:rsid w:val="028B66E3"/>
    <w:rsid w:val="02E35293"/>
    <w:rsid w:val="032A4C70"/>
    <w:rsid w:val="032C4E8C"/>
    <w:rsid w:val="03EE3EEF"/>
    <w:rsid w:val="03F82FC0"/>
    <w:rsid w:val="0548177D"/>
    <w:rsid w:val="05882122"/>
    <w:rsid w:val="05A36F5B"/>
    <w:rsid w:val="05B13426"/>
    <w:rsid w:val="05D13AC9"/>
    <w:rsid w:val="05D76C05"/>
    <w:rsid w:val="05E80E12"/>
    <w:rsid w:val="060F45F1"/>
    <w:rsid w:val="06400C4E"/>
    <w:rsid w:val="07660241"/>
    <w:rsid w:val="077F1302"/>
    <w:rsid w:val="07F8328D"/>
    <w:rsid w:val="08962DA7"/>
    <w:rsid w:val="08C47915"/>
    <w:rsid w:val="09AD2157"/>
    <w:rsid w:val="09F2400E"/>
    <w:rsid w:val="0A1B5312"/>
    <w:rsid w:val="0AB80DB3"/>
    <w:rsid w:val="0ACB4F8A"/>
    <w:rsid w:val="0ACE05D7"/>
    <w:rsid w:val="0AE37DDF"/>
    <w:rsid w:val="0C28640C"/>
    <w:rsid w:val="0C6F4D52"/>
    <w:rsid w:val="0CBB102F"/>
    <w:rsid w:val="0D046532"/>
    <w:rsid w:val="0D0C53E6"/>
    <w:rsid w:val="0E1E7A45"/>
    <w:rsid w:val="0EB775D4"/>
    <w:rsid w:val="0ECC307F"/>
    <w:rsid w:val="0FC25C6E"/>
    <w:rsid w:val="0FF07241"/>
    <w:rsid w:val="103E7FAD"/>
    <w:rsid w:val="108D683E"/>
    <w:rsid w:val="10BB33AB"/>
    <w:rsid w:val="11036B00"/>
    <w:rsid w:val="11535CDA"/>
    <w:rsid w:val="11692E07"/>
    <w:rsid w:val="12266F4A"/>
    <w:rsid w:val="12543AB7"/>
    <w:rsid w:val="129B7938"/>
    <w:rsid w:val="12CA5B28"/>
    <w:rsid w:val="130458A1"/>
    <w:rsid w:val="13C62793"/>
    <w:rsid w:val="145002AE"/>
    <w:rsid w:val="14757D15"/>
    <w:rsid w:val="14E629C1"/>
    <w:rsid w:val="14F055ED"/>
    <w:rsid w:val="15634011"/>
    <w:rsid w:val="160C1333"/>
    <w:rsid w:val="167C182F"/>
    <w:rsid w:val="171E4694"/>
    <w:rsid w:val="17544559"/>
    <w:rsid w:val="1824217E"/>
    <w:rsid w:val="182757CA"/>
    <w:rsid w:val="185A5BA0"/>
    <w:rsid w:val="1981715C"/>
    <w:rsid w:val="19A74E14"/>
    <w:rsid w:val="19E51499"/>
    <w:rsid w:val="1A5A3C35"/>
    <w:rsid w:val="1AE87493"/>
    <w:rsid w:val="1B0E4A1F"/>
    <w:rsid w:val="1B697EA8"/>
    <w:rsid w:val="1B724FAE"/>
    <w:rsid w:val="1BC82E20"/>
    <w:rsid w:val="1C3109C5"/>
    <w:rsid w:val="1D8965DF"/>
    <w:rsid w:val="1E067C30"/>
    <w:rsid w:val="1E7846AB"/>
    <w:rsid w:val="1E7E1EBC"/>
    <w:rsid w:val="1EAE27A1"/>
    <w:rsid w:val="1EE75CB3"/>
    <w:rsid w:val="1F070103"/>
    <w:rsid w:val="1F29007A"/>
    <w:rsid w:val="1F2A008D"/>
    <w:rsid w:val="1F374545"/>
    <w:rsid w:val="1F3C1B5B"/>
    <w:rsid w:val="1F6B2440"/>
    <w:rsid w:val="1F817EB6"/>
    <w:rsid w:val="20362A4E"/>
    <w:rsid w:val="20CF4C51"/>
    <w:rsid w:val="215238B8"/>
    <w:rsid w:val="21DF2C72"/>
    <w:rsid w:val="220B3A67"/>
    <w:rsid w:val="22123047"/>
    <w:rsid w:val="22140B6D"/>
    <w:rsid w:val="22235254"/>
    <w:rsid w:val="22723AE6"/>
    <w:rsid w:val="22CA56D0"/>
    <w:rsid w:val="23005595"/>
    <w:rsid w:val="2310441E"/>
    <w:rsid w:val="233D2346"/>
    <w:rsid w:val="23FF13A9"/>
    <w:rsid w:val="243454F7"/>
    <w:rsid w:val="24747FE9"/>
    <w:rsid w:val="25C7239A"/>
    <w:rsid w:val="264F6618"/>
    <w:rsid w:val="267C3185"/>
    <w:rsid w:val="269F6997"/>
    <w:rsid w:val="26B91CE3"/>
    <w:rsid w:val="2742617D"/>
    <w:rsid w:val="27D25752"/>
    <w:rsid w:val="28081174"/>
    <w:rsid w:val="286D0FD7"/>
    <w:rsid w:val="291B0A33"/>
    <w:rsid w:val="29642175"/>
    <w:rsid w:val="297445E7"/>
    <w:rsid w:val="299A22A0"/>
    <w:rsid w:val="2A6B1546"/>
    <w:rsid w:val="2A9A1E2C"/>
    <w:rsid w:val="2A9C3DF6"/>
    <w:rsid w:val="2AC670C5"/>
    <w:rsid w:val="2AED28A3"/>
    <w:rsid w:val="2B65068C"/>
    <w:rsid w:val="2B82123D"/>
    <w:rsid w:val="2C471B3F"/>
    <w:rsid w:val="2CA51AA6"/>
    <w:rsid w:val="2D016192"/>
    <w:rsid w:val="2D8F379E"/>
    <w:rsid w:val="2DF857E7"/>
    <w:rsid w:val="2E5C5D76"/>
    <w:rsid w:val="2E9D1EEA"/>
    <w:rsid w:val="2FD302BA"/>
    <w:rsid w:val="2FF41FDE"/>
    <w:rsid w:val="2FF65D56"/>
    <w:rsid w:val="3082583C"/>
    <w:rsid w:val="30A05CC2"/>
    <w:rsid w:val="30FF0C3A"/>
    <w:rsid w:val="32250554"/>
    <w:rsid w:val="326F1DF0"/>
    <w:rsid w:val="327A2C6E"/>
    <w:rsid w:val="32BA404E"/>
    <w:rsid w:val="32E225C2"/>
    <w:rsid w:val="33244988"/>
    <w:rsid w:val="333F7A14"/>
    <w:rsid w:val="340842AA"/>
    <w:rsid w:val="340A0022"/>
    <w:rsid w:val="341E7629"/>
    <w:rsid w:val="34441786"/>
    <w:rsid w:val="34D83C7C"/>
    <w:rsid w:val="35064C8D"/>
    <w:rsid w:val="350F27C8"/>
    <w:rsid w:val="352D221A"/>
    <w:rsid w:val="35702107"/>
    <w:rsid w:val="35B50461"/>
    <w:rsid w:val="36176A26"/>
    <w:rsid w:val="36DA1F2E"/>
    <w:rsid w:val="372C6501"/>
    <w:rsid w:val="37517D16"/>
    <w:rsid w:val="37874409"/>
    <w:rsid w:val="37936580"/>
    <w:rsid w:val="382471D8"/>
    <w:rsid w:val="38AF73EA"/>
    <w:rsid w:val="38CC58A6"/>
    <w:rsid w:val="393B2A2C"/>
    <w:rsid w:val="39400042"/>
    <w:rsid w:val="3A571AE7"/>
    <w:rsid w:val="3A7D78DA"/>
    <w:rsid w:val="3A887EF3"/>
    <w:rsid w:val="3B2D45F6"/>
    <w:rsid w:val="3C85293C"/>
    <w:rsid w:val="3CCA65A0"/>
    <w:rsid w:val="3CF4361D"/>
    <w:rsid w:val="3E1026D9"/>
    <w:rsid w:val="3E916962"/>
    <w:rsid w:val="3EAF3CA0"/>
    <w:rsid w:val="3EBE2135"/>
    <w:rsid w:val="3EF075F6"/>
    <w:rsid w:val="3EFB6EE5"/>
    <w:rsid w:val="3F055FB6"/>
    <w:rsid w:val="3F0D6C18"/>
    <w:rsid w:val="3F3E3276"/>
    <w:rsid w:val="3F7722E4"/>
    <w:rsid w:val="3FA7706D"/>
    <w:rsid w:val="3FB35A36"/>
    <w:rsid w:val="40B305E1"/>
    <w:rsid w:val="40BE466E"/>
    <w:rsid w:val="41967399"/>
    <w:rsid w:val="41DF489C"/>
    <w:rsid w:val="42134546"/>
    <w:rsid w:val="42925DB2"/>
    <w:rsid w:val="42F97BDF"/>
    <w:rsid w:val="43B6787E"/>
    <w:rsid w:val="4413082D"/>
    <w:rsid w:val="445B21D4"/>
    <w:rsid w:val="44654E01"/>
    <w:rsid w:val="447F5EC2"/>
    <w:rsid w:val="44953938"/>
    <w:rsid w:val="44F3065E"/>
    <w:rsid w:val="45196317"/>
    <w:rsid w:val="45352A25"/>
    <w:rsid w:val="45482758"/>
    <w:rsid w:val="45D65FB6"/>
    <w:rsid w:val="46115240"/>
    <w:rsid w:val="462F56C6"/>
    <w:rsid w:val="46431172"/>
    <w:rsid w:val="46FA3F26"/>
    <w:rsid w:val="48B9571B"/>
    <w:rsid w:val="491A440C"/>
    <w:rsid w:val="49247038"/>
    <w:rsid w:val="492D05E3"/>
    <w:rsid w:val="4A2A2D74"/>
    <w:rsid w:val="4A783AE0"/>
    <w:rsid w:val="4AAA7A11"/>
    <w:rsid w:val="4AE922E8"/>
    <w:rsid w:val="4BA3693A"/>
    <w:rsid w:val="4C0373D9"/>
    <w:rsid w:val="4C211F55"/>
    <w:rsid w:val="4C7327B1"/>
    <w:rsid w:val="4C8A31B1"/>
    <w:rsid w:val="4C942727"/>
    <w:rsid w:val="4CE0596C"/>
    <w:rsid w:val="4DB52955"/>
    <w:rsid w:val="4E013DEC"/>
    <w:rsid w:val="4E0D453F"/>
    <w:rsid w:val="4E336260"/>
    <w:rsid w:val="4EE96D5A"/>
    <w:rsid w:val="4F391364"/>
    <w:rsid w:val="4F7A5C04"/>
    <w:rsid w:val="4FA26F09"/>
    <w:rsid w:val="501F49FD"/>
    <w:rsid w:val="50354221"/>
    <w:rsid w:val="50485D02"/>
    <w:rsid w:val="50616DC4"/>
    <w:rsid w:val="506D39BB"/>
    <w:rsid w:val="507B7E86"/>
    <w:rsid w:val="50964CC0"/>
    <w:rsid w:val="50D92DFE"/>
    <w:rsid w:val="50FB0FC7"/>
    <w:rsid w:val="50FE2865"/>
    <w:rsid w:val="51AA02F7"/>
    <w:rsid w:val="52354064"/>
    <w:rsid w:val="52554706"/>
    <w:rsid w:val="52630BD1"/>
    <w:rsid w:val="53566988"/>
    <w:rsid w:val="5373753A"/>
    <w:rsid w:val="53D53D51"/>
    <w:rsid w:val="542B3971"/>
    <w:rsid w:val="545729B8"/>
    <w:rsid w:val="549C661D"/>
    <w:rsid w:val="54D9161F"/>
    <w:rsid w:val="55436A98"/>
    <w:rsid w:val="55E24503"/>
    <w:rsid w:val="56222B52"/>
    <w:rsid w:val="56617B1E"/>
    <w:rsid w:val="56A30136"/>
    <w:rsid w:val="56B539C6"/>
    <w:rsid w:val="57476D14"/>
    <w:rsid w:val="575925A3"/>
    <w:rsid w:val="575E22AF"/>
    <w:rsid w:val="57831D16"/>
    <w:rsid w:val="57C540DC"/>
    <w:rsid w:val="57DD1426"/>
    <w:rsid w:val="57F347A6"/>
    <w:rsid w:val="581A6740"/>
    <w:rsid w:val="58311772"/>
    <w:rsid w:val="585A4825"/>
    <w:rsid w:val="58C16652"/>
    <w:rsid w:val="58FA7DB6"/>
    <w:rsid w:val="59576FB6"/>
    <w:rsid w:val="5A137381"/>
    <w:rsid w:val="5A407A4A"/>
    <w:rsid w:val="5A494B51"/>
    <w:rsid w:val="5A8E07B6"/>
    <w:rsid w:val="5A963B0E"/>
    <w:rsid w:val="5AB83A84"/>
    <w:rsid w:val="5AEB3E5A"/>
    <w:rsid w:val="5B0B44FC"/>
    <w:rsid w:val="5B1F1D55"/>
    <w:rsid w:val="5C403D31"/>
    <w:rsid w:val="5CBD5382"/>
    <w:rsid w:val="5D5A0E23"/>
    <w:rsid w:val="5D6D0B56"/>
    <w:rsid w:val="5D852237"/>
    <w:rsid w:val="5E0B036F"/>
    <w:rsid w:val="5E4D2736"/>
    <w:rsid w:val="5E5553AF"/>
    <w:rsid w:val="5E8819C0"/>
    <w:rsid w:val="5EFF6126"/>
    <w:rsid w:val="5F3B41BB"/>
    <w:rsid w:val="5F5A15AE"/>
    <w:rsid w:val="5F93061C"/>
    <w:rsid w:val="5FA650B4"/>
    <w:rsid w:val="5FBB029F"/>
    <w:rsid w:val="60213E7A"/>
    <w:rsid w:val="60DF620F"/>
    <w:rsid w:val="61B2747F"/>
    <w:rsid w:val="61CD250B"/>
    <w:rsid w:val="629E5C56"/>
    <w:rsid w:val="62CE633B"/>
    <w:rsid w:val="62D60F4C"/>
    <w:rsid w:val="62D653F0"/>
    <w:rsid w:val="63043D0B"/>
    <w:rsid w:val="63400ABB"/>
    <w:rsid w:val="637D1D0F"/>
    <w:rsid w:val="63D336DD"/>
    <w:rsid w:val="645B3DFE"/>
    <w:rsid w:val="64656A2B"/>
    <w:rsid w:val="64A70DF2"/>
    <w:rsid w:val="64CC6AAA"/>
    <w:rsid w:val="64E04304"/>
    <w:rsid w:val="658F4122"/>
    <w:rsid w:val="65A11CE5"/>
    <w:rsid w:val="65CE0600"/>
    <w:rsid w:val="65F71905"/>
    <w:rsid w:val="665705F5"/>
    <w:rsid w:val="66596705"/>
    <w:rsid w:val="66C814F3"/>
    <w:rsid w:val="66D73F47"/>
    <w:rsid w:val="6707201B"/>
    <w:rsid w:val="670B5FBB"/>
    <w:rsid w:val="67332E10"/>
    <w:rsid w:val="673E5311"/>
    <w:rsid w:val="685C1EF3"/>
    <w:rsid w:val="68660FC4"/>
    <w:rsid w:val="68CA50AF"/>
    <w:rsid w:val="6905258B"/>
    <w:rsid w:val="695A0B98"/>
    <w:rsid w:val="698A2A90"/>
    <w:rsid w:val="6AB75B07"/>
    <w:rsid w:val="6AC84E7A"/>
    <w:rsid w:val="6AF24D91"/>
    <w:rsid w:val="6B0F5943"/>
    <w:rsid w:val="6B451364"/>
    <w:rsid w:val="6BDD334B"/>
    <w:rsid w:val="6C4E5FF7"/>
    <w:rsid w:val="6C755C79"/>
    <w:rsid w:val="6CEC29E0"/>
    <w:rsid w:val="6CF87AD2"/>
    <w:rsid w:val="6D505D9E"/>
    <w:rsid w:val="6EA168B2"/>
    <w:rsid w:val="6EAB14DE"/>
    <w:rsid w:val="6EDA0016"/>
    <w:rsid w:val="6EE669BA"/>
    <w:rsid w:val="6EF94940"/>
    <w:rsid w:val="6F9957DB"/>
    <w:rsid w:val="6FBB4826"/>
    <w:rsid w:val="6FC54822"/>
    <w:rsid w:val="70074E3A"/>
    <w:rsid w:val="70207CAA"/>
    <w:rsid w:val="70A95EF1"/>
    <w:rsid w:val="70E84C6C"/>
    <w:rsid w:val="71155335"/>
    <w:rsid w:val="71184E25"/>
    <w:rsid w:val="722F2426"/>
    <w:rsid w:val="726E11A1"/>
    <w:rsid w:val="72D80D10"/>
    <w:rsid w:val="72DA4A88"/>
    <w:rsid w:val="7358775B"/>
    <w:rsid w:val="73734595"/>
    <w:rsid w:val="74220495"/>
    <w:rsid w:val="74404DBF"/>
    <w:rsid w:val="74A964C0"/>
    <w:rsid w:val="74F17E67"/>
    <w:rsid w:val="750C3976"/>
    <w:rsid w:val="755D72AA"/>
    <w:rsid w:val="75B415C0"/>
    <w:rsid w:val="76663A37"/>
    <w:rsid w:val="76962A74"/>
    <w:rsid w:val="76C43A85"/>
    <w:rsid w:val="779A33A8"/>
    <w:rsid w:val="787A3D0F"/>
    <w:rsid w:val="787B0173"/>
    <w:rsid w:val="78AE7E54"/>
    <w:rsid w:val="791B54B2"/>
    <w:rsid w:val="79507C6C"/>
    <w:rsid w:val="7A0D129F"/>
    <w:rsid w:val="7A70182E"/>
    <w:rsid w:val="7AD16771"/>
    <w:rsid w:val="7B354F51"/>
    <w:rsid w:val="7C156B31"/>
    <w:rsid w:val="7C2D3E7B"/>
    <w:rsid w:val="7C3F770A"/>
    <w:rsid w:val="7C492337"/>
    <w:rsid w:val="7C99506C"/>
    <w:rsid w:val="7CD04806"/>
    <w:rsid w:val="7D006E99"/>
    <w:rsid w:val="7D197F5B"/>
    <w:rsid w:val="7D1B3CD3"/>
    <w:rsid w:val="7D1F7C67"/>
    <w:rsid w:val="7D6D6B8E"/>
    <w:rsid w:val="7D9D6DDE"/>
    <w:rsid w:val="7DCF4ABD"/>
    <w:rsid w:val="7DDA3B8E"/>
    <w:rsid w:val="7DEB18F7"/>
    <w:rsid w:val="7E5A4CCF"/>
    <w:rsid w:val="7E867872"/>
    <w:rsid w:val="7EB50157"/>
    <w:rsid w:val="7F0709B3"/>
    <w:rsid w:val="7F364DF4"/>
    <w:rsid w:val="7F8518D8"/>
    <w:rsid w:val="7FE945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3">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4">
    <w:name w:val="Normal (Web)"/>
    <w:unhideWhenUsed/>
    <w:qFormat/>
    <w:uiPriority w:val="99"/>
    <w:pPr>
      <w:widowControl/>
      <w:spacing w:before="100" w:beforeAutospacing="1" w:after="100" w:afterAutospacing="1"/>
      <w:jc w:val="left"/>
    </w:pPr>
    <w:rPr>
      <w:rFonts w:ascii="宋体" w:hAnsi="宋体" w:eastAsia="宋体" w:cs="宋体"/>
      <w:kern w:val="0"/>
      <w:sz w:val="24"/>
      <w:szCs w:val="24"/>
      <w:lang w:val="en-US" w:eastAsia="zh-CN" w:bidi="ar-SA"/>
    </w:rPr>
  </w:style>
  <w:style w:type="table" w:styleId="6">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11"/>
    <w:qFormat/>
    <w:uiPriority w:val="0"/>
    <w:rPr>
      <w:rFonts w:hint="default" w:ascii="仿宋_GB2312" w:eastAsia="仿宋_GB2312" w:cs="仿宋_GB2312"/>
      <w:color w:val="000000"/>
      <w:sz w:val="28"/>
      <w:szCs w:val="28"/>
      <w:u w:val="none"/>
    </w:rPr>
  </w:style>
  <w:style w:type="paragraph" w:customStyle="1" w:styleId="9">
    <w:name w:val="Fließtext"/>
    <w:autoRedefine/>
    <w:qFormat/>
    <w:uiPriority w:val="0"/>
    <w:pPr>
      <w:widowControl w:val="0"/>
      <w:overflowPunct w:val="0"/>
      <w:autoSpaceDE w:val="0"/>
      <w:autoSpaceDN w:val="0"/>
      <w:adjustRightInd w:val="0"/>
      <w:jc w:val="both"/>
      <w:textAlignment w:val="baseline"/>
    </w:pPr>
    <w:rPr>
      <w:rFonts w:ascii="Calibri" w:hAnsi="Calibri" w:eastAsia="宋体" w:cs="Arial"/>
      <w:kern w:val="28"/>
      <w:sz w:val="21"/>
      <w:szCs w:val="20"/>
      <w:lang w:val="en-US" w:eastAsia="zh-CN" w:bidi="ar-SA"/>
    </w:rPr>
  </w:style>
  <w:style w:type="character" w:customStyle="1" w:styleId="10">
    <w:name w:val="p141"/>
    <w:qFormat/>
    <w:uiPriority w:val="0"/>
    <w:rPr>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4760</Words>
  <Characters>5159</Characters>
  <Lines>0</Lines>
  <Paragraphs>0</Paragraphs>
  <TotalTime>0</TotalTime>
  <ScaleCrop>false</ScaleCrop>
  <LinksUpToDate>false</LinksUpToDate>
  <CharactersWithSpaces>5661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2025-04-07T08:06:00Z</dcterms:created>
  <dc:creator>土豆排骨的滋味</dc:creator>
  <cp:lastModifiedBy>Administrator</cp:lastModifiedBy>
  <cp:lastPrinted>2025-06-04T08:03:00Z</cp:lastPrinted>
  <dcterms:modified xsi:type="dcterms:W3CDTF">2026-04-23T07:31:42Z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AF6473EB0E5645E99ED4C9EB8D1AC7BD_11</vt:lpwstr>
  </property>
  <property fmtid="{D5CDD505-2E9C-101B-9397-08002B2CF9AE}" pid="4" name="KSOTemplateDocerSaveRecord">
    <vt:lpwstr>eyJoZGlkIjoiOGFjMmU0Yjk5NmUyMjAwNzM3OGEzNzg5ZGMyZDkzOWUiLCJ1c2VySWQiOiIxNTc4Njk4MDQ3In0=</vt:lpwstr>
  </property>
</Properties>
</file>