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545A">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网络竞价须知</w:t>
      </w:r>
    </w:p>
    <w:p w14:paraId="427F1B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LCCQJJ20260513-1</w:t>
      </w:r>
      <w:r>
        <w:rPr>
          <w:rFonts w:hint="eastAsia" w:ascii="宋体" w:hAnsi="宋体" w:eastAsia="宋体" w:cs="宋体"/>
          <w:b/>
          <w:bCs/>
          <w:color w:val="auto"/>
          <w:kern w:val="0"/>
          <w:sz w:val="28"/>
          <w:szCs w:val="28"/>
          <w:shd w:val="clear" w:color="auto" w:fill="FFFFFF"/>
        </w:rPr>
        <w:t>）</w:t>
      </w:r>
    </w:p>
    <w:p w14:paraId="3A2535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65F3D87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14:paraId="52D4A6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lang w:val="en-US" w:eastAsia="zh-CN"/>
        </w:rPr>
        <w:t>上午10:00止。</w:t>
      </w:r>
    </w:p>
    <w:p w14:paraId="63E876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775AA4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lang w:val="en-US" w:eastAsia="zh-CN"/>
        </w:rPr>
        <w:t>日</w:t>
      </w:r>
      <w:r>
        <w:rPr>
          <w:rFonts w:hint="eastAsia" w:ascii="宋体" w:hAnsi="宋体" w:eastAsia="宋体" w:cs="宋体"/>
          <w:color w:val="auto"/>
          <w:sz w:val="28"/>
          <w:szCs w:val="28"/>
          <w:lang w:val="en-US" w:eastAsia="zh-CN"/>
        </w:rPr>
        <w:t>上午10:00止。</w:t>
      </w:r>
    </w:p>
    <w:p w14:paraId="790062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21A62D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auto"/>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18054993293</w:t>
      </w:r>
    </w:p>
    <w:p w14:paraId="0D8462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（工作日上班时间：08:00-12:00,14:30-17:30）</w:t>
      </w:r>
    </w:p>
    <w:p w14:paraId="23800C2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22372D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连城县预制菜产业园（一期）项目应急电源设计服务采购项目</w:t>
      </w:r>
      <w:r>
        <w:rPr>
          <w:rFonts w:hint="eastAsia" w:ascii="宋体" w:hAnsi="宋体" w:eastAsia="宋体" w:cs="宋体"/>
          <w:b w:val="0"/>
          <w:bCs w:val="0"/>
          <w:color w:val="auto"/>
          <w:sz w:val="28"/>
          <w:szCs w:val="28"/>
          <w:lang w:val="en-US" w:eastAsia="zh-CN"/>
        </w:rPr>
        <w:t>。</w:t>
      </w:r>
    </w:p>
    <w:p w14:paraId="30334C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lang w:val="en-US" w:eastAsia="zh-CN"/>
        </w:rPr>
        <w:t>2.项目</w:t>
      </w:r>
      <w:r>
        <w:rPr>
          <w:rFonts w:hint="eastAsia" w:ascii="宋体" w:hAnsi="宋体" w:cs="宋体"/>
          <w:b w:val="0"/>
          <w:bCs w:val="0"/>
          <w:color w:val="auto"/>
          <w:sz w:val="28"/>
          <w:szCs w:val="28"/>
          <w:lang w:val="en-US" w:eastAsia="zh-CN"/>
        </w:rPr>
        <w:t>规模</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auto"/>
          <w:sz w:val="28"/>
          <w:szCs w:val="28"/>
          <w:lang w:val="en-US" w:eastAsia="zh-CN"/>
        </w:rPr>
        <w:t>连城县预制菜产业园（一期）项目选址于连城县食品加工园区SP-F1-5地块内，总用地面积31255.14平方米，土地用途为工矿用地-工业用地-二类工业用地（通用厂房），土地使用年限50年。总建筑面积56001.72平方米，计容建筑面积72069.43平方米，标准机动车停车位数108个，非机动停车位120个，均为地上停车位。建设五栋三层、一栋四层厂房，一栋五层综合楼及附属配套设施，打造连城县预制菜产业园生产基地。目前，1#厂房完成主体工程施工，正在外墙面装修施工；2#、3#、4#厂房室内装修收尾；；5#厂房正在外墙装饰工程，同步进行室内装修；6#厂房外墙装饰工程，同步进行室内装修；7#厂房屋面防水施工，外墙面粉刷。同步进行室外工程施工。</w:t>
      </w:r>
      <w:r>
        <w:rPr>
          <w:rFonts w:hint="eastAsia" w:ascii="宋体" w:hAnsi="宋体" w:eastAsia="宋体" w:cs="宋体"/>
          <w:color w:val="auto"/>
          <w:sz w:val="28"/>
          <w:szCs w:val="28"/>
          <w:highlight w:val="none"/>
          <w:lang w:val="en-US" w:eastAsia="zh-CN"/>
        </w:rPr>
        <w:t xml:space="preserve"> </w:t>
      </w:r>
    </w:p>
    <w:p w14:paraId="011501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0" w:name="EB1e74973335fd4e33a0ad05f482f333fe"/>
      <w:r>
        <w:rPr>
          <w:rFonts w:hint="eastAsia" w:ascii="宋体" w:hAnsi="宋体" w:eastAsia="宋体" w:cs="宋体"/>
          <w:color w:val="auto"/>
          <w:sz w:val="28"/>
          <w:szCs w:val="28"/>
          <w:highlight w:val="none"/>
          <w:lang w:val="en-US" w:eastAsia="zh-CN"/>
        </w:rPr>
        <w:t>设计内容主要包括：</w:t>
      </w:r>
      <w:bookmarkEnd w:id="0"/>
      <w:r>
        <w:rPr>
          <w:rFonts w:hint="eastAsia" w:ascii="宋体" w:hAnsi="宋体" w:eastAsia="宋体" w:cs="宋体"/>
          <w:color w:val="auto"/>
          <w:sz w:val="28"/>
          <w:szCs w:val="28"/>
          <w:highlight w:val="none"/>
          <w:lang w:val="en-US" w:eastAsia="zh-CN"/>
        </w:rPr>
        <w:t>应急电源容量计算、柴油发电机组或UPS系统选型、供配电系统设计、自动切换装置配置、环保降噪措施、消防联动控制等</w:t>
      </w:r>
      <w:bookmarkStart w:id="1" w:name="EBcf9e477a9f9e470eb9d489c81ea7a71d"/>
      <w:r>
        <w:rPr>
          <w:rFonts w:hint="eastAsia" w:ascii="宋体" w:hAnsi="宋体" w:eastAsia="宋体" w:cs="宋体"/>
          <w:color w:val="auto"/>
          <w:sz w:val="28"/>
          <w:szCs w:val="28"/>
          <w:highlight w:val="none"/>
          <w:lang w:val="en-US" w:eastAsia="zh-CN"/>
        </w:rPr>
        <w:t>（根据委托人提供不限于本项目的设计任务书及项目实际需要与项目相关的一切设计内容）</w:t>
      </w:r>
      <w:bookmarkEnd w:id="1"/>
      <w:r>
        <w:rPr>
          <w:rFonts w:hint="eastAsia" w:ascii="宋体" w:hAnsi="宋体" w:eastAsia="宋体" w:cs="宋体"/>
          <w:color w:val="auto"/>
          <w:sz w:val="28"/>
          <w:szCs w:val="28"/>
          <w:highlight w:val="none"/>
          <w:lang w:val="en-US" w:eastAsia="zh-CN"/>
        </w:rPr>
        <w:t>。</w:t>
      </w:r>
    </w:p>
    <w:p w14:paraId="7398BF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招标控制价</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本项目最低优惠下浮率为30%，工程总投资暂定200万元（最终以预算审定金额作为结算基价确定设计费用）。设计费计算办法：</w:t>
      </w:r>
      <w:bookmarkStart w:id="2" w:name="EBf6c922f4342240a5a3028de6cfcb0704"/>
      <w:r>
        <w:rPr>
          <w:rFonts w:hint="eastAsia" w:ascii="宋体" w:hAnsi="宋体" w:eastAsia="宋体" w:cs="宋体"/>
          <w:color w:val="auto"/>
          <w:sz w:val="28"/>
          <w:szCs w:val="28"/>
          <w:highlight w:val="none"/>
          <w:lang w:val="en-US" w:eastAsia="zh-CN"/>
        </w:rPr>
        <w:t>参照国家发展计划委员会、建设部《工程勘察设计收费标准》（2002年修订本）收费计取，具体计算方式如下：①工程设计收费＝工程设计收费基准价×（1-成交下浮率）；②工程设计收费基准价＝基本设计收费＋其他设计收费，③基本设计收费＝工程设计收费基价×专业调整系数×工程复杂程度调整系数×附加调整系数，其中，专业调整系数为1.2，工程复杂程度调整系数为0.85，附加调整系数为1.0，最终以经以连城县财政投资评审中心或具备资质的第三方审核机</w:t>
      </w:r>
      <w:bookmarkStart w:id="4" w:name="_GoBack"/>
      <w:bookmarkEnd w:id="4"/>
      <w:r>
        <w:rPr>
          <w:rFonts w:hint="eastAsia" w:ascii="宋体" w:hAnsi="宋体" w:eastAsia="宋体" w:cs="宋体"/>
          <w:color w:val="auto"/>
          <w:sz w:val="28"/>
          <w:szCs w:val="28"/>
          <w:highlight w:val="none"/>
          <w:lang w:val="en-US" w:eastAsia="zh-CN"/>
        </w:rPr>
        <w:t>构出具的工程预算评审结论书的金额（扣除暂列金、暂估价）作为工程设计收费计算基数。</w:t>
      </w:r>
      <w:bookmarkEnd w:id="2"/>
    </w:p>
    <w:p w14:paraId="5D9ACE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1）本项目工程设计费包括但不限于专家评审费、设备进出场费、竞价服务费、现场踏勘费、税费、驻场费等，竞价人应充分考虑人工、材料、机械、政策调整及其他不可预见的一切因素，风险费用应自行考虑计入投标报价，竞价人未考虑风险因素造成的损失由竞价人自行负责。2）本项目以优惠下浮率方式进行报价；竞价人投报下浮率区间为30%（含）-100%（含）。竞价人须在此区间内报价，投报下浮率超过区间值为无效报价。</w:t>
      </w:r>
    </w:p>
    <w:p w14:paraId="3EE3E5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00元。</w:t>
      </w:r>
    </w:p>
    <w:p w14:paraId="3EA746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eastAsia="宋体" w:cs="宋体"/>
          <w:b/>
          <w:bCs/>
          <w:color w:val="auto"/>
          <w:kern w:val="0"/>
          <w:sz w:val="28"/>
          <w:szCs w:val="28"/>
          <w:highlight w:val="none"/>
          <w:shd w:val="clear" w:color="auto" w:fill="FFFFFF"/>
          <w:lang w:val="en-US" w:eastAsia="zh-CN" w:bidi="ar-SA"/>
        </w:rPr>
        <w:t>《</w:t>
      </w:r>
      <w:r>
        <w:rPr>
          <w:rFonts w:hint="eastAsia" w:ascii="宋体" w:hAnsi="宋体" w:cs="宋体"/>
          <w:b/>
          <w:bCs/>
          <w:color w:val="auto"/>
          <w:sz w:val="28"/>
          <w:szCs w:val="28"/>
          <w:highlight w:val="none"/>
          <w:lang w:val="en-US" w:eastAsia="zh-CN"/>
        </w:rPr>
        <w:t>建设工程设计合同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5CFBFB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（1）设计周期：方案设计优化：</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日历日；初步设计：</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日历日；施工图设计：</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日历日。</w:t>
      </w:r>
    </w:p>
    <w:p w14:paraId="3A2010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（2）质量要求：符合现行国家、地方及行业相关设计规范要求，通过相关行政主管部门及施工图审查机构审查</w:t>
      </w:r>
      <w:r>
        <w:rPr>
          <w:rFonts w:hint="eastAsia" w:ascii="宋体" w:hAnsi="宋体" w:cs="宋体"/>
          <w:b w:val="0"/>
          <w:bCs w:val="0"/>
          <w:color w:val="auto"/>
          <w:sz w:val="28"/>
          <w:szCs w:val="28"/>
          <w:highlight w:val="none"/>
          <w:lang w:val="en-US" w:eastAsia="zh-CN"/>
        </w:rPr>
        <w:t>。</w:t>
      </w:r>
    </w:p>
    <w:p w14:paraId="42277B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（3）是否收取履约保证金：否。</w:t>
      </w:r>
    </w:p>
    <w:p w14:paraId="1F0E3B3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13C397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1.遵守中华人民共和国法律、法规，且能够诚信经营，具有独立法人资格的供应商均有可能成为合格的竞价人,但已经被列入失信被执行人名单（截止报名时间）的除外。</w:t>
      </w:r>
    </w:p>
    <w:p w14:paraId="650062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2.近</w:t>
      </w:r>
      <w:r>
        <w:rPr>
          <w:rFonts w:hint="eastAsia" w:ascii="宋体" w:hAnsi="宋体" w:eastAsia="宋体" w:cs="宋体"/>
          <w:color w:val="auto"/>
          <w:sz w:val="28"/>
          <w:szCs w:val="28"/>
          <w:lang w:val="en-US" w:eastAsia="zh-CN"/>
        </w:rPr>
        <w:t>三年执业未因违反执业规范和执业纪律受到处罚，具有良好的商业信誉。</w:t>
      </w:r>
    </w:p>
    <w:p w14:paraId="0F7363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green"/>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.竞价人须具有</w:t>
      </w:r>
      <w:bookmarkStart w:id="3" w:name="EB299c6eb9f8b1499cbbc65c1015fd7452"/>
      <w:r>
        <w:rPr>
          <w:rFonts w:hint="eastAsia" w:ascii="宋体" w:hAnsi="宋体" w:eastAsia="宋体" w:cs="宋体"/>
          <w:color w:val="auto"/>
          <w:sz w:val="28"/>
          <w:szCs w:val="28"/>
          <w:highlight w:val="none"/>
          <w:lang w:val="en-US" w:eastAsia="zh-CN"/>
        </w:rPr>
        <w:t>建设行政主管部门核发的有效的工程设计综合甲级资质或电力行业电力工程设计乙级及以上资质或送变电工程专业设计乙级及以上资质</w:t>
      </w:r>
      <w:bookmarkEnd w:id="3"/>
      <w:r>
        <w:rPr>
          <w:rFonts w:hint="eastAsia" w:ascii="宋体" w:hAnsi="宋体" w:eastAsia="宋体" w:cs="宋体"/>
          <w:color w:val="auto"/>
          <w:sz w:val="28"/>
          <w:szCs w:val="28"/>
          <w:highlight w:val="none"/>
          <w:lang w:val="en-US" w:eastAsia="zh-CN"/>
        </w:rPr>
        <w:t>。</w:t>
      </w:r>
    </w:p>
    <w:p w14:paraId="601B2B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4.设计人员要求：拟担任本设计项目负责人应具备一级国家注册建筑师执业资格。</w:t>
      </w:r>
    </w:p>
    <w:p w14:paraId="1423DD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1C741FF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ACFD1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lang w:val="en-US" w:eastAsia="zh-CN"/>
        </w:rPr>
        <w:t>日</w:t>
      </w:r>
      <w:r>
        <w:rPr>
          <w:rFonts w:hint="eastAsia" w:ascii="宋体" w:hAnsi="宋体" w:eastAsia="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05ADDD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14:paraId="5E4320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2220B8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003B20B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13911E9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287EB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1DC3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4C723A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(3)已缴纳的竞价保证金凭证（若有）；</w:t>
      </w:r>
    </w:p>
    <w:p w14:paraId="608F88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(4)在参加本次采购活动前3年内在经营活动中没有重大违法记录的书面声明（格式自拟）；</w:t>
      </w:r>
    </w:p>
    <w:p w14:paraId="5D552F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(5)通过“信用中国”网（www.creditchina.gov.cn）或中国政府采购网（www.ccgp.gov.cn）信用信息查询无严重违法失信行为信息记录的打印件（或截图）。</w:t>
      </w:r>
    </w:p>
    <w:p w14:paraId="1C8DAD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（6）建设行政主管部门核发的有效的工程设计综合甲级资质或电力行业电力工程设计乙级及以上资质或送变电工程专业设计乙级及以上资质证书复印件</w:t>
      </w:r>
      <w:r>
        <w:rPr>
          <w:rFonts w:hint="eastAsia" w:ascii="宋体" w:hAnsi="宋体" w:cs="宋体"/>
          <w:color w:val="auto"/>
          <w:sz w:val="28"/>
          <w:szCs w:val="28"/>
          <w:lang w:val="en-US" w:eastAsia="zh-CN"/>
        </w:rPr>
        <w:t>。</w:t>
      </w:r>
    </w:p>
    <w:p w14:paraId="28498E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拟担任设计项目负责人的注册证书复印件，拟派的设计项目负责人必须为竞价人的本企业在岗人员，以住房和城乡建设行政主管部门颁发的有效执业注册证书或社保管理部门出具的社保缴费证明所署单位【社保缴费证明为竞价截止时间前连续三个月为其缴纳的社保证明（至少包含养老保险，由于社保部门原因上一个月的社保证明无法提供的可往前顺延一个月）】为准。</w:t>
      </w:r>
    </w:p>
    <w:p w14:paraId="0B9B2F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1E4C6E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w:t>
      </w:r>
      <w:r>
        <w:rPr>
          <w:rFonts w:hint="eastAsia" w:ascii="宋体" w:hAnsi="宋体" w:cs="宋体"/>
          <w:color w:val="auto"/>
          <w:sz w:val="28"/>
          <w:szCs w:val="28"/>
          <w:lang w:val="en-US" w:eastAsia="zh-CN"/>
        </w:rPr>
        <w:t>均</w:t>
      </w:r>
      <w:r>
        <w:rPr>
          <w:rFonts w:hint="eastAsia" w:ascii="宋体" w:hAnsi="宋体" w:eastAsia="宋体" w:cs="宋体"/>
          <w:color w:val="auto"/>
          <w:sz w:val="28"/>
          <w:szCs w:val="28"/>
          <w:lang w:val="en-US" w:eastAsia="zh-CN"/>
        </w:rPr>
        <w:t>须加盖</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lang w:val="en-US" w:eastAsia="zh-CN"/>
        </w:rPr>
        <w:t>公章。</w:t>
      </w:r>
    </w:p>
    <w:p w14:paraId="79E5AF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4738A9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0C1226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15AF73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2F486EF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0A146C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1FF560DE">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DE31EAF">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6959EE0E">
      <w:pPr>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color w:val="auto"/>
          <w:kern w:val="2"/>
          <w:sz w:val="28"/>
          <w:szCs w:val="28"/>
          <w:highlight w:val="none"/>
          <w:shd w:val="clear"/>
          <w:lang w:val="en-US" w:eastAsia="zh-CN"/>
        </w:rPr>
        <w:t>优惠下浮率</w:t>
      </w:r>
      <w:r>
        <w:rPr>
          <w:rFonts w:hint="eastAsia" w:ascii="宋体" w:hAnsi="宋体" w:eastAsia="宋体" w:cs="宋体"/>
          <w:color w:val="auto"/>
          <w:sz w:val="28"/>
          <w:szCs w:val="28"/>
          <w:lang w:val="en-US" w:eastAsia="zh-CN"/>
        </w:rPr>
        <w:t>报价方式进行报价，竞价人在投报下浮率区间内报价【报价区间为30%（含）-100%（含）】，投报下浮率超过区间值为无效报价。根据有效竞价人报价排名情况，由高到低排序，</w:t>
      </w:r>
      <w:r>
        <w:rPr>
          <w:rFonts w:hint="eastAsia" w:ascii="宋体" w:hAnsi="宋体" w:cs="宋体"/>
          <w:color w:val="auto"/>
          <w:sz w:val="28"/>
          <w:szCs w:val="28"/>
          <w:lang w:val="en-US" w:eastAsia="zh-CN"/>
        </w:rPr>
        <w:t>投报</w:t>
      </w:r>
      <w:r>
        <w:rPr>
          <w:rFonts w:hint="eastAsia" w:ascii="宋体" w:hAnsi="宋体" w:cs="宋体"/>
          <w:color w:val="auto"/>
          <w:sz w:val="28"/>
          <w:szCs w:val="28"/>
          <w:lang w:val="en-US" w:eastAsia="zh-CN"/>
        </w:rPr>
        <w:t>优惠下浮率</w:t>
      </w:r>
      <w:r>
        <w:rPr>
          <w:rFonts w:hint="eastAsia" w:ascii="宋体" w:hAnsi="宋体" w:eastAsia="宋体" w:cs="宋体"/>
          <w:color w:val="auto"/>
          <w:sz w:val="28"/>
          <w:szCs w:val="28"/>
          <w:lang w:val="en-US" w:eastAsia="zh-CN"/>
        </w:rPr>
        <w:t>最高</w:t>
      </w:r>
      <w:r>
        <w:rPr>
          <w:rFonts w:hint="eastAsia" w:ascii="宋体" w:hAnsi="宋体" w:eastAsia="宋体" w:cs="宋体"/>
          <w:color w:val="auto"/>
          <w:sz w:val="28"/>
          <w:szCs w:val="28"/>
          <w:lang w:val="en-US" w:eastAsia="zh-CN"/>
        </w:rPr>
        <w:t>的一名即为成交人。设计费用为包干价，</w:t>
      </w:r>
      <w:r>
        <w:rPr>
          <w:rFonts w:hint="eastAsia" w:ascii="宋体" w:hAnsi="宋体" w:eastAsia="宋体" w:cs="宋体"/>
          <w:color w:val="auto"/>
          <w:sz w:val="28"/>
          <w:szCs w:val="28"/>
          <w:lang w:val="en-US" w:eastAsia="zh-CN"/>
        </w:rPr>
        <w:t>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393663B0">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4419641">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auto"/>
          <w:kern w:val="2"/>
          <w:sz w:val="28"/>
          <w:szCs w:val="28"/>
          <w:u w:val="none"/>
          <w:lang w:val="en-US" w:eastAsia="zh-CN" w:bidi="ar-SA"/>
        </w:rPr>
        <w:t>优惠下浮率</w:t>
      </w:r>
      <w:r>
        <w:rPr>
          <w:rFonts w:hint="eastAsia" w:ascii="宋体" w:hAnsi="宋体" w:eastAsia="宋体" w:cs="宋体"/>
          <w:b/>
          <w:bCs/>
          <w:color w:val="auto"/>
          <w:kern w:val="2"/>
          <w:sz w:val="28"/>
          <w:szCs w:val="28"/>
          <w:u w:val="none"/>
          <w:lang w:val="en-US" w:eastAsia="zh-CN" w:bidi="ar-SA"/>
        </w:rPr>
        <w:t>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auto"/>
          <w:kern w:val="2"/>
          <w:sz w:val="28"/>
          <w:szCs w:val="28"/>
          <w:u w:val="none"/>
          <w:lang w:val="en-US" w:eastAsia="zh-CN" w:bidi="ar-SA"/>
        </w:rPr>
        <w:t>优惠下浮率</w:t>
      </w:r>
      <w:r>
        <w:rPr>
          <w:rFonts w:hint="eastAsia" w:ascii="宋体" w:hAnsi="宋体" w:eastAsia="宋体" w:cs="宋体"/>
          <w:b/>
          <w:bCs/>
          <w:color w:val="auto"/>
          <w:kern w:val="2"/>
          <w:sz w:val="28"/>
          <w:szCs w:val="28"/>
          <w:shd w:val="clear"/>
          <w:lang w:val="en-US" w:eastAsia="zh-CN"/>
        </w:rPr>
        <w:t>最</w:t>
      </w:r>
      <w:r>
        <w:rPr>
          <w:rFonts w:hint="eastAsia" w:ascii="宋体" w:hAnsi="宋体" w:cs="宋体"/>
          <w:b/>
          <w:bCs/>
          <w:color w:val="auto"/>
          <w:kern w:val="2"/>
          <w:sz w:val="28"/>
          <w:szCs w:val="28"/>
          <w:shd w:val="clear"/>
          <w:lang w:val="en-US" w:eastAsia="zh-CN"/>
        </w:rPr>
        <w:t>高</w:t>
      </w:r>
      <w:r>
        <w:rPr>
          <w:rFonts w:hint="eastAsia" w:ascii="宋体" w:hAnsi="宋体" w:eastAsia="宋体" w:cs="宋体"/>
          <w:b/>
          <w:bCs/>
          <w:color w:val="auto"/>
          <w:kern w:val="2"/>
          <w:sz w:val="28"/>
          <w:szCs w:val="28"/>
          <w:shd w:val="clear"/>
          <w:lang w:val="en-US" w:eastAsia="zh-CN"/>
        </w:rPr>
        <w:t>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76AB1E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w:t>
      </w:r>
      <w:r>
        <w:rPr>
          <w:rFonts w:hint="eastAsia" w:ascii="宋体" w:hAnsi="宋体" w:eastAsia="宋体" w:cs="宋体"/>
          <w:color w:val="auto"/>
          <w:sz w:val="28"/>
          <w:szCs w:val="28"/>
          <w:lang w:val="en-US" w:eastAsia="zh-CN"/>
        </w:rPr>
        <w:t>在投报下浮率区间内</w:t>
      </w:r>
      <w:r>
        <w:rPr>
          <w:rFonts w:hint="eastAsia" w:ascii="宋体" w:hAnsi="宋体" w:eastAsia="宋体" w:cs="宋体"/>
          <w:color w:val="auto"/>
          <w:sz w:val="28"/>
          <w:szCs w:val="28"/>
          <w:lang w:val="en-US" w:eastAsia="zh-CN"/>
        </w:rPr>
        <w:t>进行报价，同时成交人应签署《竞价结果通知书》等相关文件，否则视同为违约。</w:t>
      </w:r>
    </w:p>
    <w:p w14:paraId="57A4A2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2570731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14:paraId="61D5F9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Theme="minorEastAsia" w:hAnsiTheme="minorEastAsia" w:eastAsiaTheme="minorEastAsia" w:cstheme="minorEastAsia"/>
          <w:color w:val="auto"/>
          <w:sz w:val="28"/>
          <w:szCs w:val="28"/>
          <w:highlight w:val="none"/>
        </w:rPr>
        <w:t>成交人应</w:t>
      </w:r>
      <w:r>
        <w:rPr>
          <w:rFonts w:hint="eastAsia" w:asciiTheme="minorEastAsia" w:hAnsiTheme="minorEastAsia" w:eastAsiaTheme="minorEastAsia" w:cstheme="minorEastAsia"/>
          <w:b w:val="0"/>
          <w:bCs w:val="0"/>
          <w:color w:val="auto"/>
          <w:sz w:val="28"/>
          <w:szCs w:val="28"/>
          <w:highlight w:val="none"/>
        </w:rPr>
        <w:t>向本公司一次性支付</w:t>
      </w:r>
      <w:r>
        <w:rPr>
          <w:rFonts w:hint="eastAsia" w:asciiTheme="minorEastAsia" w:hAnsiTheme="minorEastAsia" w:eastAsiaTheme="minorEastAsia" w:cstheme="minorEastAsia"/>
          <w:b/>
          <w:bCs/>
          <w:color w:val="auto"/>
          <w:sz w:val="28"/>
          <w:szCs w:val="28"/>
          <w:highlight w:val="none"/>
          <w:lang w:val="en-US" w:eastAsia="zh-CN"/>
        </w:rPr>
        <w:t>3000</w:t>
      </w:r>
      <w:r>
        <w:rPr>
          <w:rFonts w:hint="eastAsia" w:asciiTheme="minorEastAsia" w:hAnsiTheme="minorEastAsia" w:eastAsiaTheme="minorEastAsia" w:cstheme="minorEastAsia"/>
          <w:b/>
          <w:bCs/>
          <w:color w:val="auto"/>
          <w:sz w:val="28"/>
          <w:szCs w:val="28"/>
          <w:highlight w:val="none"/>
        </w:rPr>
        <w:t>元</w:t>
      </w:r>
      <w:r>
        <w:rPr>
          <w:rFonts w:hint="eastAsia" w:asciiTheme="minorEastAsia" w:hAnsiTheme="minorEastAsia" w:eastAsiaTheme="minorEastAsia" w:cstheme="minorEastAsia"/>
          <w:b w:val="0"/>
          <w:bCs w:val="0"/>
          <w:color w:val="auto"/>
          <w:sz w:val="28"/>
          <w:szCs w:val="28"/>
          <w:highlight w:val="none"/>
        </w:rPr>
        <w:t>交易服务费</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B64B79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2"/>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14:paraId="704338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14:paraId="3119319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14:paraId="4032B5D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比例</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14:paraId="75470C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付费时间</w:t>
            </w:r>
          </w:p>
        </w:tc>
      </w:tr>
      <w:tr w14:paraId="6AB80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6202D80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C7CACC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4A7A8A4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合同签订后且提供相关票据的，15日内支付合同价款的10%；</w:t>
            </w:r>
          </w:p>
        </w:tc>
      </w:tr>
      <w:tr w14:paraId="7E8C7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4099872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85F830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0FEBFA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初步设计及概算经专家评审通过后且提供相关票据的，15日内支付合同价款的30%；</w:t>
            </w:r>
          </w:p>
        </w:tc>
      </w:tr>
      <w:tr w14:paraId="577C3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38AF896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3CBAC7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7827A07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施工图审查通过后且提供相关票据的，15日内支付合同价款的40%；</w:t>
            </w:r>
          </w:p>
        </w:tc>
      </w:tr>
      <w:tr w14:paraId="05E152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01C99C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8045F6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13DFB8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项目竣工验收</w:t>
            </w:r>
            <w:r>
              <w:rPr>
                <w:rFonts w:hint="eastAsia" w:ascii="宋体" w:hAnsi="宋体" w:eastAsia="宋体" w:cs="宋体"/>
                <w:b w:val="0"/>
                <w:bCs w:val="0"/>
                <w:color w:val="auto"/>
                <w:sz w:val="28"/>
                <w:szCs w:val="28"/>
                <w:highlight w:val="none"/>
              </w:rPr>
              <w:t>后</w:t>
            </w:r>
            <w:r>
              <w:rPr>
                <w:rFonts w:hint="eastAsia" w:ascii="宋体" w:hAnsi="宋体" w:eastAsia="宋体" w:cs="宋体"/>
                <w:b w:val="0"/>
                <w:bCs w:val="0"/>
                <w:color w:val="auto"/>
                <w:sz w:val="28"/>
                <w:szCs w:val="28"/>
                <w:highlight w:val="none"/>
                <w:lang w:val="en-US" w:eastAsia="zh-CN"/>
              </w:rPr>
              <w:t>且提供相关票据的，15日内支付合同价款的20%；</w:t>
            </w:r>
          </w:p>
        </w:tc>
      </w:tr>
    </w:tbl>
    <w:p w14:paraId="52499A7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25D0B3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C58AD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14:paraId="10D78BC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091456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28CA11A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1F77F99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8DCF6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505F90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建设工程设计合同</w:t>
      </w:r>
      <w:r>
        <w:rPr>
          <w:rFonts w:hint="eastAsia" w:ascii="宋体" w:hAnsi="宋体" w:eastAsia="宋体" w:cs="宋体"/>
          <w:color w:val="auto"/>
          <w:sz w:val="28"/>
          <w:szCs w:val="28"/>
          <w:lang w:val="en-US" w:eastAsia="zh-CN"/>
        </w:rPr>
        <w:t>》约定为准。</w:t>
      </w:r>
    </w:p>
    <w:p w14:paraId="784EC8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310877A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3F03BD25">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1D880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DEC97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653BF0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25E83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372A4E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01EA5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日</w:t>
      </w:r>
    </w:p>
    <w:p w14:paraId="7B3AC9A4">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auto"/>
          <w:sz w:val="28"/>
          <w:szCs w:val="28"/>
        </w:rPr>
      </w:pPr>
    </w:p>
    <w:p w14:paraId="6A7EAE13">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auto"/>
          <w:sz w:val="28"/>
          <w:szCs w:val="28"/>
        </w:rPr>
      </w:pPr>
    </w:p>
    <w:p w14:paraId="23D129F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5577F057">
      <w:pPr>
        <w:pStyle w:val="7"/>
        <w:rPr>
          <w:rFonts w:hint="eastAsia"/>
          <w:color w:val="auto"/>
        </w:rPr>
      </w:pPr>
    </w:p>
    <w:p w14:paraId="686C233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0A80B763">
      <w:pPr>
        <w:pStyle w:val="2"/>
        <w:rPr>
          <w:rFonts w:hint="eastAsia" w:ascii="宋体" w:hAnsi="宋体" w:eastAsia="宋体" w:cs="宋体"/>
          <w:b/>
          <w:color w:val="auto"/>
          <w:sz w:val="28"/>
          <w:szCs w:val="28"/>
        </w:rPr>
      </w:pPr>
    </w:p>
    <w:p w14:paraId="60DE940C">
      <w:pPr>
        <w:pStyle w:val="2"/>
        <w:rPr>
          <w:rFonts w:hint="eastAsia" w:ascii="宋体" w:hAnsi="宋体" w:eastAsia="宋体" w:cs="宋体"/>
          <w:b/>
          <w:color w:val="auto"/>
          <w:sz w:val="28"/>
          <w:szCs w:val="28"/>
        </w:rPr>
      </w:pPr>
    </w:p>
    <w:p w14:paraId="356F5B5C">
      <w:pPr>
        <w:pStyle w:val="2"/>
        <w:rPr>
          <w:rFonts w:hint="eastAsia" w:ascii="宋体" w:hAnsi="宋体" w:eastAsia="宋体" w:cs="宋体"/>
          <w:b/>
          <w:color w:val="auto"/>
          <w:sz w:val="28"/>
          <w:szCs w:val="28"/>
        </w:rPr>
      </w:pPr>
    </w:p>
    <w:p w14:paraId="60650E8A">
      <w:pPr>
        <w:pStyle w:val="2"/>
        <w:rPr>
          <w:rFonts w:hint="eastAsia" w:ascii="宋体" w:hAnsi="宋体" w:eastAsia="宋体" w:cs="宋体"/>
          <w:b/>
          <w:color w:val="auto"/>
          <w:sz w:val="28"/>
          <w:szCs w:val="28"/>
        </w:rPr>
      </w:pPr>
    </w:p>
    <w:p w14:paraId="5FF1D8DA">
      <w:pPr>
        <w:pStyle w:val="2"/>
        <w:rPr>
          <w:rFonts w:hint="eastAsia" w:ascii="宋体" w:hAnsi="宋体" w:eastAsia="宋体" w:cs="宋体"/>
          <w:b/>
          <w:color w:val="auto"/>
          <w:sz w:val="28"/>
          <w:szCs w:val="28"/>
        </w:rPr>
      </w:pPr>
    </w:p>
    <w:p w14:paraId="1FD8D6F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4AADE1D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07E0BC1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4040A1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FC9574B">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auto"/>
          <w:sz w:val="28"/>
          <w:szCs w:val="28"/>
        </w:rPr>
      </w:pPr>
    </w:p>
    <w:p w14:paraId="68E1EF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71EEB9F">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13</w:t>
      </w:r>
      <w:r>
        <w:rPr>
          <w:rFonts w:hint="eastAsia" w:ascii="宋体" w:hAnsi="宋体" w:eastAsia="宋体" w:cs="宋体"/>
          <w:color w:val="auto"/>
          <w:sz w:val="28"/>
          <w:szCs w:val="28"/>
        </w:rPr>
        <w:t>日</w:t>
      </w:r>
      <w:r>
        <w:rPr>
          <w:rFonts w:hint="eastAsia" w:ascii="宋体" w:hAnsi="宋体" w:eastAsia="宋体" w:cs="宋体"/>
          <w:color w:val="auto"/>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正</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连城县预制菜产业园（一期）项目应急电源设计服务采购项目</w:t>
      </w:r>
      <w:r>
        <w:rPr>
          <w:rFonts w:hint="eastAsia" w:ascii="宋体" w:hAnsi="宋体" w:eastAsia="宋体" w:cs="宋体"/>
          <w:color w:val="auto"/>
          <w:sz w:val="28"/>
          <w:szCs w:val="28"/>
        </w:rPr>
        <w:t>服务竞价。收悉项目编号为</w:t>
      </w:r>
      <w:r>
        <w:rPr>
          <w:rFonts w:hint="eastAsia" w:ascii="宋体" w:hAnsi="宋体" w:cs="宋体"/>
          <w:color w:val="auto"/>
          <w:sz w:val="28"/>
          <w:szCs w:val="28"/>
          <w:u w:val="single"/>
          <w:lang w:eastAsia="zh-CN"/>
        </w:rPr>
        <w:t>LCCQJJ20260513-1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44E5FFFE">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eastAsia="zh-CN"/>
        </w:rPr>
      </w:pPr>
    </w:p>
    <w:p w14:paraId="736F1C5D">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1866639E">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5B476BD">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32643FF">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3B054A4D">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0E79A49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77800069">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53E08B8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16090E2B">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34E5011D">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13D4B69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14:paraId="20F9B741">
      <w:pPr>
        <w:pageBreakBefore w:val="0"/>
        <w:kinsoku/>
        <w:wordWrap/>
        <w:overflowPunct/>
        <w:topLinePunct w:val="0"/>
        <w:autoSpaceDE/>
        <w:autoSpaceDN/>
        <w:bidi w:val="0"/>
        <w:adjustRightInd/>
        <w:spacing w:line="360" w:lineRule="auto"/>
        <w:textAlignment w:val="auto"/>
        <w:rPr>
          <w:rFonts w:hint="eastAsia"/>
          <w:color w:val="auto"/>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3317">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FCB45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2DFCB45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93">
    <w:pPr>
      <w:pStyle w:val="10"/>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9F0502D"/>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D2B5CA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8A87E0A"/>
    <w:rsid w:val="39C752B8"/>
    <w:rsid w:val="3A0C4B4E"/>
    <w:rsid w:val="3BAA7B75"/>
    <w:rsid w:val="3BE72C60"/>
    <w:rsid w:val="3CDB07AE"/>
    <w:rsid w:val="3D3F6CF4"/>
    <w:rsid w:val="3D71306C"/>
    <w:rsid w:val="3DC87AC0"/>
    <w:rsid w:val="3E166E94"/>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5D3207D"/>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43D52"/>
    <w:rsid w:val="77875CB0"/>
    <w:rsid w:val="77CE5972"/>
    <w:rsid w:val="78160C40"/>
    <w:rsid w:val="786F5C73"/>
    <w:rsid w:val="78F75F2F"/>
    <w:rsid w:val="79162DAA"/>
    <w:rsid w:val="7956473D"/>
    <w:rsid w:val="79B76855"/>
    <w:rsid w:val="7AD654A8"/>
    <w:rsid w:val="7C207AE9"/>
    <w:rsid w:val="7C435390"/>
    <w:rsid w:val="7D3B1DE9"/>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Plain Text"/>
    <w:basedOn w:val="1"/>
    <w:next w:val="1"/>
    <w:qFormat/>
    <w:uiPriority w:val="0"/>
    <w:rPr>
      <w:rFonts w:ascii="宋体" w:hAnsi="Courier New"/>
      <w:szCs w:val="21"/>
    </w:r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8"/>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5110</Words>
  <Characters>5563</Characters>
  <Lines>4</Lines>
  <Paragraphs>7</Paragraphs>
  <TotalTime>1</TotalTime>
  <ScaleCrop>false</ScaleCrop>
  <LinksUpToDate>false</LinksUpToDate>
  <CharactersWithSpaces>5663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2026-05-08T08:22:26Z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B3DD325A13A34C64BA8C4DA625AC1868_13</vt:lpwstr>
  </property>
  <property fmtid="{D5CDD505-2E9C-101B-9397-08002B2CF9AE}" pid="4" name="KSOTemplateDocerSaveRecord">
    <vt:lpwstr>eyJoZGlkIjoiMmY5M2NkNzgzMTNhYzNmYjU2NTc2OGQwMGFkNmU3N2MiLCJ1c2VySWQiOiIxNTc4Njk4MDQ3In0=</vt:lpwstr>
  </property>
</Properties>
</file>