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1A0300">
      <w:pPr>
        <w:widowControl/>
        <w:shd w:val="clear"/>
        <w:snapToGrid/>
        <w:spacing w:before="0" w:line="520" w:lineRule="exact"/>
        <w:ind w:left="0" w:firstLine="482" w:firstLineChars="20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网络竞价须知</w:t>
      </w:r>
    </w:p>
    <w:p w14:paraId="07E9428C">
      <w:pPr>
        <w:widowControl/>
        <w:shd w:val="clear"/>
        <w:snapToGrid/>
        <w:spacing w:before="0" w:line="520" w:lineRule="exact"/>
        <w:ind w:left="0"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bCs w:val="0"/>
          <w:color w:val="auto"/>
          <w:kern w:val="2"/>
          <w:sz w:val="24"/>
          <w:szCs w:val="24"/>
          <w:shd w:val="clear"/>
        </w:rPr>
        <w:t>（项目编号:</w:t>
      </w:r>
      <w:r>
        <w:rPr>
          <w:rFonts w:hint="eastAsia" w:asciiTheme="minorEastAsia" w:hAnsiTheme="minorEastAsia" w:eastAsiaTheme="minorEastAsia" w:cstheme="minorEastAsia"/>
          <w:b w:val="0"/>
          <w:bCs w:val="0"/>
          <w:color w:val="auto"/>
          <w:kern w:val="2"/>
          <w:sz w:val="24"/>
          <w:szCs w:val="24"/>
          <w:shd w:val="clear"/>
          <w:lang w:eastAsia="zh-CN"/>
        </w:rPr>
        <w:t>LCCQJJ202</w:t>
      </w:r>
      <w:r>
        <w:rPr>
          <w:rFonts w:hint="eastAsia" w:asciiTheme="minorEastAsia" w:hAnsiTheme="minorEastAsia" w:eastAsiaTheme="minorEastAsia" w:cstheme="minorEastAsia"/>
          <w:b w:val="0"/>
          <w:bCs w:val="0"/>
          <w:color w:val="auto"/>
          <w:kern w:val="2"/>
          <w:sz w:val="24"/>
          <w:szCs w:val="24"/>
          <w:shd w:val="clear"/>
          <w:lang w:val="en-US" w:eastAsia="zh-CN"/>
        </w:rPr>
        <w:t>60519-2</w:t>
      </w:r>
      <w:r>
        <w:rPr>
          <w:rFonts w:hint="eastAsia" w:asciiTheme="minorEastAsia" w:hAnsiTheme="minorEastAsia" w:eastAsiaTheme="minorEastAsia" w:cstheme="minorEastAsia"/>
          <w:b w:val="0"/>
          <w:bCs w:val="0"/>
          <w:color w:val="auto"/>
          <w:kern w:val="2"/>
          <w:sz w:val="24"/>
          <w:szCs w:val="24"/>
          <w:shd w:val="clear"/>
        </w:rPr>
        <w:t>）</w:t>
      </w:r>
    </w:p>
    <w:p w14:paraId="042D56F3">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连城县国有资产产权交易服务有限公司（以下简称本公司）遵循“公开、公平、公正、诚实信用”的原则，依照国家法律、法规、政策为本次竞价活动提供服务。现将有关竞价事项告知如下：</w:t>
      </w:r>
    </w:p>
    <w:p w14:paraId="06032D3B">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一、公开竞价、报名时间、地点</w:t>
      </w:r>
    </w:p>
    <w:p w14:paraId="11679763">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竞价截止时间：202</w:t>
      </w:r>
      <w:r>
        <w:rPr>
          <w:rFonts w:hint="eastAsia" w:asciiTheme="minorEastAsia" w:hAnsiTheme="minorEastAsia" w:eastAsiaTheme="minorEastAsia" w:cstheme="minorEastAsia"/>
          <w:color w:val="auto"/>
          <w:kern w:val="2"/>
          <w:sz w:val="24"/>
          <w:szCs w:val="24"/>
          <w:shd w:val="clear"/>
          <w:lang w:val="en-US" w:eastAsia="zh-CN"/>
        </w:rPr>
        <w:t>6</w:t>
      </w:r>
      <w:r>
        <w:rPr>
          <w:rFonts w:hint="eastAsia" w:asciiTheme="minorEastAsia" w:hAnsiTheme="minorEastAsia" w:eastAsiaTheme="minorEastAsia" w:cstheme="minorEastAsia"/>
          <w:color w:val="auto"/>
          <w:kern w:val="2"/>
          <w:sz w:val="24"/>
          <w:szCs w:val="24"/>
          <w:shd w:val="clear"/>
        </w:rPr>
        <w:t>年</w:t>
      </w:r>
      <w:r>
        <w:rPr>
          <w:rFonts w:hint="eastAsia" w:asciiTheme="minorEastAsia" w:hAnsiTheme="minorEastAsia" w:eastAsiaTheme="minorEastAsia" w:cstheme="minorEastAsia"/>
          <w:color w:val="auto"/>
          <w:kern w:val="2"/>
          <w:sz w:val="24"/>
          <w:szCs w:val="24"/>
          <w:shd w:val="clear"/>
          <w:lang w:val="en-US" w:eastAsia="zh-CN"/>
        </w:rPr>
        <w:t>5月19日</w:t>
      </w:r>
      <w:r>
        <w:rPr>
          <w:rFonts w:hint="eastAsia" w:asciiTheme="minorEastAsia" w:hAnsiTheme="minorEastAsia" w:eastAsiaTheme="minorEastAsia" w:cstheme="minorEastAsia"/>
          <w:color w:val="auto"/>
          <w:kern w:val="2"/>
          <w:sz w:val="24"/>
          <w:szCs w:val="24"/>
          <w:shd w:val="clear"/>
        </w:rPr>
        <w:t xml:space="preserve"> 上午10:00</w:t>
      </w:r>
      <w:r>
        <w:rPr>
          <w:rFonts w:hint="eastAsia" w:asciiTheme="minorEastAsia" w:hAnsiTheme="minorEastAsia" w:eastAsiaTheme="minorEastAsia" w:cstheme="minorEastAsia"/>
          <w:color w:val="auto"/>
          <w:kern w:val="2"/>
          <w:sz w:val="24"/>
          <w:szCs w:val="24"/>
          <w:shd w:val="clear"/>
          <w:lang w:val="en-US" w:eastAsia="zh-CN"/>
        </w:rPr>
        <w:t>止</w:t>
      </w:r>
      <w:r>
        <w:rPr>
          <w:rFonts w:hint="eastAsia" w:asciiTheme="minorEastAsia" w:hAnsiTheme="minorEastAsia" w:eastAsiaTheme="minorEastAsia" w:cstheme="minorEastAsia"/>
          <w:color w:val="auto"/>
          <w:kern w:val="2"/>
          <w:sz w:val="24"/>
          <w:szCs w:val="24"/>
          <w:shd w:val="clear"/>
        </w:rPr>
        <w:t>。</w:t>
      </w:r>
    </w:p>
    <w:p w14:paraId="104E9F98">
      <w:pPr>
        <w:widowControl/>
        <w:shd w:val="clear"/>
        <w:snapToGrid/>
        <w:spacing w:before="0"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竞价地点</w:t>
      </w:r>
      <w:r>
        <w:rPr>
          <w:rFonts w:hint="eastAsia" w:asciiTheme="minorEastAsia" w:hAnsiTheme="minorEastAsia" w:eastAsiaTheme="minorEastAsia" w:cstheme="minorEastAsia"/>
          <w:color w:val="auto"/>
          <w:spacing w:val="0"/>
          <w:kern w:val="2"/>
          <w:sz w:val="24"/>
          <w:szCs w:val="24"/>
          <w:shd w:val="clear"/>
        </w:rPr>
        <w:t>：</w:t>
      </w:r>
      <w:r>
        <w:rPr>
          <w:rFonts w:hint="eastAsia" w:asciiTheme="minorEastAsia" w:hAnsiTheme="minorEastAsia" w:eastAsiaTheme="minorEastAsia" w:cstheme="minorEastAsia"/>
          <w:color w:val="auto"/>
          <w:kern w:val="2"/>
          <w:sz w:val="24"/>
          <w:szCs w:val="24"/>
          <w:shd w:val="clear"/>
        </w:rPr>
        <w:t>连城县招标投标交易平台（https://lcyjy.enjoy5191.com/home）</w:t>
      </w:r>
    </w:p>
    <w:p w14:paraId="24D933D4">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2"/>
          <w:sz w:val="24"/>
          <w:szCs w:val="24"/>
          <w:shd w:val="clear"/>
        </w:rPr>
        <w:t>报名截止时间：202</w:t>
      </w:r>
      <w:r>
        <w:rPr>
          <w:rFonts w:hint="eastAsia" w:asciiTheme="minorEastAsia" w:hAnsiTheme="minorEastAsia" w:eastAsiaTheme="minorEastAsia" w:cstheme="minorEastAsia"/>
          <w:color w:val="auto"/>
          <w:kern w:val="2"/>
          <w:sz w:val="24"/>
          <w:szCs w:val="24"/>
          <w:shd w:val="clear"/>
          <w:lang w:val="en-US" w:eastAsia="zh-CN"/>
        </w:rPr>
        <w:t>6</w:t>
      </w:r>
      <w:r>
        <w:rPr>
          <w:rFonts w:hint="eastAsia" w:asciiTheme="minorEastAsia" w:hAnsiTheme="minorEastAsia" w:eastAsiaTheme="minorEastAsia" w:cstheme="minorEastAsia"/>
          <w:color w:val="auto"/>
          <w:kern w:val="2"/>
          <w:sz w:val="24"/>
          <w:szCs w:val="24"/>
          <w:shd w:val="clear"/>
        </w:rPr>
        <w:t>年</w:t>
      </w:r>
      <w:r>
        <w:rPr>
          <w:rFonts w:hint="eastAsia" w:asciiTheme="minorEastAsia" w:hAnsiTheme="minorEastAsia" w:eastAsiaTheme="minorEastAsia" w:cstheme="minorEastAsia"/>
          <w:color w:val="auto"/>
          <w:kern w:val="2"/>
          <w:sz w:val="24"/>
          <w:szCs w:val="24"/>
          <w:shd w:val="clear"/>
          <w:lang w:val="en-US" w:eastAsia="zh-CN"/>
        </w:rPr>
        <w:t>5月19日</w:t>
      </w:r>
      <w:r>
        <w:rPr>
          <w:rFonts w:hint="eastAsia" w:asciiTheme="minorEastAsia" w:hAnsiTheme="minorEastAsia" w:eastAsiaTheme="minorEastAsia" w:cstheme="minorEastAsia"/>
          <w:color w:val="auto"/>
          <w:kern w:val="2"/>
          <w:sz w:val="24"/>
          <w:szCs w:val="24"/>
          <w:shd w:val="clear"/>
        </w:rPr>
        <w:t xml:space="preserve"> 上午10:00</w:t>
      </w:r>
      <w:r>
        <w:rPr>
          <w:rFonts w:hint="eastAsia" w:asciiTheme="minorEastAsia" w:hAnsiTheme="minorEastAsia" w:eastAsiaTheme="minorEastAsia" w:cstheme="minorEastAsia"/>
          <w:color w:val="auto"/>
          <w:kern w:val="2"/>
          <w:sz w:val="24"/>
          <w:szCs w:val="24"/>
          <w:shd w:val="clear"/>
          <w:lang w:val="en-US" w:eastAsia="zh-CN"/>
        </w:rPr>
        <w:t>止。</w:t>
      </w:r>
    </w:p>
    <w:p w14:paraId="4A773F07">
      <w:pPr>
        <w:snapToGrid/>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rPr>
        <w:t>报名地点：</w:t>
      </w:r>
      <w:r>
        <w:rPr>
          <w:rFonts w:hint="eastAsia" w:asciiTheme="minorEastAsia" w:hAnsiTheme="minorEastAsia" w:eastAsiaTheme="minorEastAsia" w:cstheme="minorEastAsia"/>
          <w:color w:val="auto"/>
          <w:kern w:val="2"/>
          <w:sz w:val="24"/>
          <w:szCs w:val="24"/>
          <w:shd w:val="clear"/>
        </w:rPr>
        <w:t>连城县招标投标交易平台（https://lcyjy.enjoy5191.com/home）</w:t>
      </w:r>
    </w:p>
    <w:p w14:paraId="264CD639">
      <w:pPr>
        <w:snapToGrid/>
        <w:spacing w:line="520" w:lineRule="exact"/>
        <w:ind w:firstLine="480" w:firstLineChars="200"/>
        <w:rPr>
          <w:rFonts w:hint="eastAsia" w:asciiTheme="minorEastAsia" w:hAnsiTheme="minorEastAsia" w:eastAsiaTheme="minorEastAsia" w:cstheme="minorEastAsia"/>
          <w:color w:val="auto"/>
          <w:sz w:val="24"/>
          <w:szCs w:val="24"/>
          <w:shd w:val="clear"/>
          <w:lang w:val="en-US" w:eastAsia="zh-CN"/>
        </w:rPr>
      </w:pPr>
      <w:r>
        <w:rPr>
          <w:rFonts w:hint="eastAsia" w:asciiTheme="minorEastAsia" w:hAnsiTheme="minorEastAsia" w:eastAsiaTheme="minorEastAsia" w:cstheme="minorEastAsia"/>
          <w:color w:val="auto"/>
          <w:sz w:val="24"/>
          <w:szCs w:val="24"/>
          <w:shd w:val="clear"/>
          <w:lang w:val="en-US" w:eastAsia="zh-CN"/>
        </w:rPr>
        <w:t>连城产权</w:t>
      </w:r>
      <w:r>
        <w:rPr>
          <w:rFonts w:hint="eastAsia" w:asciiTheme="minorEastAsia" w:hAnsiTheme="minorEastAsia" w:eastAsiaTheme="minorEastAsia" w:cstheme="minorEastAsia"/>
          <w:color w:val="auto"/>
          <w:sz w:val="24"/>
          <w:szCs w:val="24"/>
          <w:shd w:val="clear"/>
        </w:rPr>
        <w:t>联系电话：</w:t>
      </w:r>
      <w:r>
        <w:rPr>
          <w:rFonts w:hint="eastAsia" w:asciiTheme="minorEastAsia" w:hAnsiTheme="minorEastAsia" w:eastAsiaTheme="minorEastAsia" w:cstheme="minorEastAsia"/>
          <w:color w:val="auto"/>
          <w:sz w:val="24"/>
          <w:szCs w:val="24"/>
          <w:shd w:val="clear"/>
          <w:lang w:val="en-US" w:eastAsia="zh-CN"/>
        </w:rPr>
        <w:t>李先生 0597-8911670</w:t>
      </w:r>
    </w:p>
    <w:p w14:paraId="66EFEDFB">
      <w:pPr>
        <w:snapToGrid/>
        <w:spacing w:line="520" w:lineRule="exact"/>
        <w:ind w:firstLine="480" w:firstLineChars="200"/>
        <w:rPr>
          <w:rFonts w:hint="default" w:asciiTheme="minorEastAsia" w:hAnsiTheme="minorEastAsia" w:eastAsiaTheme="minorEastAsia" w:cstheme="minorEastAsia"/>
          <w:color w:val="auto"/>
          <w:sz w:val="24"/>
          <w:szCs w:val="24"/>
          <w:shd w:val="clear"/>
          <w:lang w:val="en-US" w:eastAsia="zh-CN"/>
        </w:rPr>
      </w:pPr>
      <w:r>
        <w:rPr>
          <w:rFonts w:hint="eastAsia" w:asciiTheme="minorEastAsia" w:hAnsiTheme="minorEastAsia" w:eastAsiaTheme="minorEastAsia" w:cstheme="minorEastAsia"/>
          <w:color w:val="auto"/>
          <w:sz w:val="24"/>
          <w:szCs w:val="24"/>
          <w:shd w:val="clear"/>
          <w:lang w:val="en-US" w:eastAsia="zh-CN"/>
        </w:rPr>
        <w:t>（工作日上班时间：08:00-12:00,14:30-17:30）</w:t>
      </w:r>
    </w:p>
    <w:p w14:paraId="0012157D">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二、项目概况及工作要求</w:t>
      </w:r>
    </w:p>
    <w:p w14:paraId="65BF7298">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1.项目名称：福建连城国有投资集团有限公司办公家具采购</w:t>
      </w:r>
    </w:p>
    <w:p w14:paraId="2F8EFD82">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2.采购清单：</w:t>
      </w:r>
    </w:p>
    <w:tbl>
      <w:tblPr>
        <w:tblStyle w:val="17"/>
        <w:tblW w:w="10359" w:type="dxa"/>
        <w:jc w:val="center"/>
        <w:tblLayout w:type="fixed"/>
        <w:tblCellMar>
          <w:top w:w="15" w:type="dxa"/>
          <w:left w:w="15" w:type="dxa"/>
          <w:bottom w:w="15" w:type="dxa"/>
          <w:right w:w="15" w:type="dxa"/>
        </w:tblCellMar>
      </w:tblPr>
      <w:tblGrid>
        <w:gridCol w:w="1225"/>
        <w:gridCol w:w="1237"/>
        <w:gridCol w:w="5487"/>
        <w:gridCol w:w="812"/>
        <w:gridCol w:w="1598"/>
      </w:tblGrid>
      <w:tr w14:paraId="407A330A">
        <w:tblPrEx>
          <w:tblCellMar>
            <w:top w:w="15" w:type="dxa"/>
            <w:left w:w="15" w:type="dxa"/>
            <w:bottom w:w="15" w:type="dxa"/>
            <w:right w:w="15" w:type="dxa"/>
          </w:tblCellMar>
        </w:tblPrEx>
        <w:trPr>
          <w:trHeight w:val="907" w:hRule="atLeast"/>
          <w:jc w:val="center"/>
        </w:trPr>
        <w:tc>
          <w:tcPr>
            <w:tcW w:w="1225" w:type="dxa"/>
            <w:tcBorders>
              <w:top w:val="single" w:color="auto" w:sz="4" w:space="0"/>
              <w:left w:val="single" w:color="auto" w:sz="4" w:space="0"/>
              <w:bottom w:val="single" w:color="auto" w:sz="4" w:space="0"/>
              <w:right w:val="single" w:color="auto" w:sz="4" w:space="0"/>
            </w:tcBorders>
            <w:vAlign w:val="center"/>
          </w:tcPr>
          <w:p w14:paraId="32956D7E">
            <w:pPr>
              <w:widowControl/>
              <w:spacing w:line="400" w:lineRule="exact"/>
              <w:jc w:val="center"/>
              <w:textAlignment w:val="center"/>
              <w:rPr>
                <w:rFonts w:hint="eastAsia" w:ascii="宋体" w:hAnsi="宋体" w:eastAsia="宋体" w:cs="宋体"/>
                <w:color w:val="auto"/>
                <w:kern w:val="0"/>
                <w:sz w:val="24"/>
                <w:szCs w:val="24"/>
                <w:lang w:eastAsia="zh-CN"/>
              </w:rPr>
            </w:pPr>
            <w:r>
              <w:rPr>
                <w:rFonts w:hint="eastAsia" w:ascii="宋体" w:hAnsi="宋体" w:eastAsia="宋体" w:cs="宋体"/>
                <w:b w:val="0"/>
                <w:bCs w:val="0"/>
                <w:color w:val="auto"/>
                <w:kern w:val="0"/>
                <w:sz w:val="24"/>
                <w:szCs w:val="24"/>
              </w:rPr>
              <w:t>货物名称</w:t>
            </w:r>
          </w:p>
        </w:tc>
        <w:tc>
          <w:tcPr>
            <w:tcW w:w="1237" w:type="dxa"/>
            <w:tcBorders>
              <w:top w:val="single" w:color="auto" w:sz="4" w:space="0"/>
              <w:left w:val="single" w:color="auto" w:sz="4" w:space="0"/>
              <w:bottom w:val="single" w:color="auto" w:sz="4" w:space="0"/>
              <w:right w:val="single" w:color="auto" w:sz="4" w:space="0"/>
            </w:tcBorders>
            <w:vAlign w:val="center"/>
          </w:tcPr>
          <w:p w14:paraId="4D6A9C8C">
            <w:pPr>
              <w:widowControl/>
              <w:spacing w:line="400" w:lineRule="exact"/>
              <w:jc w:val="center"/>
              <w:textAlignment w:val="center"/>
              <w:rPr>
                <w:rFonts w:hint="eastAsia" w:ascii="宋体" w:hAnsi="宋体" w:eastAsia="宋体" w:cs="宋体"/>
                <w:color w:val="auto"/>
                <w:kern w:val="0"/>
                <w:sz w:val="24"/>
                <w:szCs w:val="24"/>
                <w:lang w:eastAsia="zh-CN"/>
              </w:rPr>
            </w:pPr>
            <w:r>
              <w:rPr>
                <w:rFonts w:hint="eastAsia" w:ascii="宋体" w:hAnsi="宋体" w:eastAsia="宋体" w:cs="宋体"/>
                <w:b w:val="0"/>
                <w:bCs w:val="0"/>
                <w:color w:val="auto"/>
                <w:kern w:val="0"/>
                <w:sz w:val="24"/>
                <w:szCs w:val="24"/>
              </w:rPr>
              <w:t>具体要求</w:t>
            </w:r>
          </w:p>
        </w:tc>
        <w:tc>
          <w:tcPr>
            <w:tcW w:w="5487" w:type="dxa"/>
            <w:tcBorders>
              <w:top w:val="single" w:color="auto" w:sz="4" w:space="0"/>
              <w:left w:val="single" w:color="auto" w:sz="4" w:space="0"/>
              <w:bottom w:val="single" w:color="auto" w:sz="4" w:space="0"/>
              <w:right w:val="single" w:color="auto" w:sz="4" w:space="0"/>
            </w:tcBorders>
            <w:vAlign w:val="center"/>
          </w:tcPr>
          <w:p w14:paraId="56334E9E">
            <w:pPr>
              <w:widowControl/>
              <w:spacing w:line="400" w:lineRule="exact"/>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b w:val="0"/>
                <w:bCs w:val="0"/>
                <w:color w:val="auto"/>
                <w:kern w:val="0"/>
                <w:sz w:val="24"/>
                <w:szCs w:val="24"/>
              </w:rPr>
              <w:t>技术参数</w:t>
            </w:r>
          </w:p>
        </w:tc>
        <w:tc>
          <w:tcPr>
            <w:tcW w:w="812" w:type="dxa"/>
            <w:tcBorders>
              <w:top w:val="single" w:color="auto" w:sz="4" w:space="0"/>
              <w:left w:val="single" w:color="auto" w:sz="4" w:space="0"/>
              <w:bottom w:val="single" w:color="auto" w:sz="4" w:space="0"/>
              <w:right w:val="single" w:color="auto" w:sz="4" w:space="0"/>
            </w:tcBorders>
            <w:vAlign w:val="center"/>
          </w:tcPr>
          <w:p w14:paraId="5E625D75">
            <w:pPr>
              <w:widowControl/>
              <w:spacing w:line="400" w:lineRule="exact"/>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b w:val="0"/>
                <w:bCs w:val="0"/>
                <w:color w:val="auto"/>
                <w:kern w:val="0"/>
                <w:sz w:val="24"/>
                <w:szCs w:val="24"/>
              </w:rPr>
              <w:t>数量</w:t>
            </w:r>
          </w:p>
        </w:tc>
        <w:tc>
          <w:tcPr>
            <w:tcW w:w="1598" w:type="dxa"/>
            <w:tcBorders>
              <w:top w:val="single" w:color="auto" w:sz="4" w:space="0"/>
              <w:left w:val="single" w:color="auto" w:sz="4" w:space="0"/>
              <w:bottom w:val="single" w:color="auto" w:sz="4" w:space="0"/>
              <w:right w:val="single" w:color="auto" w:sz="4" w:space="0"/>
            </w:tcBorders>
            <w:vAlign w:val="center"/>
          </w:tcPr>
          <w:p w14:paraId="391E75ED">
            <w:pPr>
              <w:widowControl/>
              <w:spacing w:line="400" w:lineRule="exact"/>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b w:val="0"/>
                <w:bCs w:val="0"/>
                <w:color w:val="auto"/>
                <w:kern w:val="0"/>
                <w:sz w:val="24"/>
                <w:szCs w:val="24"/>
                <w:lang w:eastAsia="zh-CN"/>
              </w:rPr>
              <w:t>最高控制价（元）</w:t>
            </w:r>
          </w:p>
        </w:tc>
      </w:tr>
      <w:tr w14:paraId="5DDE7DAB">
        <w:tblPrEx>
          <w:tblCellMar>
            <w:top w:w="15" w:type="dxa"/>
            <w:left w:w="15" w:type="dxa"/>
            <w:bottom w:w="15" w:type="dxa"/>
            <w:right w:w="15" w:type="dxa"/>
          </w:tblCellMar>
        </w:tblPrEx>
        <w:trPr>
          <w:trHeight w:val="907" w:hRule="atLeast"/>
          <w:jc w:val="center"/>
        </w:trPr>
        <w:tc>
          <w:tcPr>
            <w:tcW w:w="1225" w:type="dxa"/>
            <w:vMerge w:val="restart"/>
            <w:tcBorders>
              <w:top w:val="single" w:color="auto" w:sz="4" w:space="0"/>
              <w:left w:val="single" w:color="auto" w:sz="4" w:space="0"/>
              <w:bottom w:val="single" w:color="auto" w:sz="4" w:space="0"/>
              <w:right w:val="single" w:color="auto" w:sz="4" w:space="0"/>
            </w:tcBorders>
            <w:vAlign w:val="center"/>
          </w:tcPr>
          <w:p w14:paraId="00E97B09">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办公家具</w:t>
            </w:r>
          </w:p>
        </w:tc>
        <w:tc>
          <w:tcPr>
            <w:tcW w:w="1237" w:type="dxa"/>
            <w:tcBorders>
              <w:top w:val="single" w:color="auto" w:sz="4" w:space="0"/>
              <w:left w:val="single" w:color="auto" w:sz="4" w:space="0"/>
              <w:bottom w:val="single" w:color="auto" w:sz="4" w:space="0"/>
              <w:right w:val="single" w:color="auto" w:sz="4" w:space="0"/>
            </w:tcBorders>
            <w:vAlign w:val="center"/>
          </w:tcPr>
          <w:p w14:paraId="22F65BF9">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eastAsia="zh-CN"/>
              </w:rPr>
              <w:t>办公桌、</w:t>
            </w:r>
            <w:r>
              <w:rPr>
                <w:rFonts w:hint="eastAsia" w:ascii="宋体" w:hAnsi="宋体" w:eastAsia="宋体" w:cs="宋体"/>
                <w:color w:val="auto"/>
                <w:sz w:val="24"/>
                <w:szCs w:val="24"/>
                <w:lang w:eastAsia="zh-CN"/>
              </w:rPr>
              <w:t>椅</w:t>
            </w:r>
          </w:p>
        </w:tc>
        <w:tc>
          <w:tcPr>
            <w:tcW w:w="5487" w:type="dxa"/>
            <w:tcBorders>
              <w:top w:val="single" w:color="auto" w:sz="4" w:space="0"/>
              <w:left w:val="single" w:color="auto" w:sz="4" w:space="0"/>
              <w:bottom w:val="single" w:color="auto" w:sz="4" w:space="0"/>
              <w:right w:val="single" w:color="auto" w:sz="4" w:space="0"/>
            </w:tcBorders>
            <w:vAlign w:val="center"/>
          </w:tcPr>
          <w:p w14:paraId="4E1E6EA3">
            <w:pPr>
              <w:keepNext w:val="0"/>
              <w:keepLines w:val="0"/>
              <w:pageBreakBefore w:val="0"/>
              <w:widowControl/>
              <w:kinsoku/>
              <w:wordWrap/>
              <w:overflowPunct/>
              <w:topLinePunct w:val="0"/>
              <w:autoSpaceDE/>
              <w:autoSpaceDN/>
              <w:bidi w:val="0"/>
              <w:adjustRightInd/>
              <w:snapToGrid/>
              <w:spacing w:line="500" w:lineRule="exact"/>
              <w:contextualSpacing/>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1.6米常规办公桌、常规弓字椅</w:t>
            </w:r>
          </w:p>
        </w:tc>
        <w:tc>
          <w:tcPr>
            <w:tcW w:w="812" w:type="dxa"/>
            <w:tcBorders>
              <w:top w:val="single" w:color="auto" w:sz="4" w:space="0"/>
              <w:left w:val="single" w:color="auto" w:sz="4" w:space="0"/>
              <w:bottom w:val="single" w:color="auto" w:sz="4" w:space="0"/>
              <w:right w:val="single" w:color="auto" w:sz="4" w:space="0"/>
            </w:tcBorders>
            <w:vAlign w:val="center"/>
          </w:tcPr>
          <w:p w14:paraId="259882C8">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w:t>
            </w:r>
          </w:p>
        </w:tc>
        <w:tc>
          <w:tcPr>
            <w:tcW w:w="1598" w:type="dxa"/>
            <w:tcBorders>
              <w:top w:val="single" w:color="auto" w:sz="4" w:space="0"/>
              <w:left w:val="single" w:color="auto" w:sz="4" w:space="0"/>
              <w:bottom w:val="single" w:color="auto" w:sz="4" w:space="0"/>
              <w:right w:val="single" w:color="auto" w:sz="4" w:space="0"/>
            </w:tcBorders>
            <w:vAlign w:val="center"/>
          </w:tcPr>
          <w:p w14:paraId="49DF9A5C">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4800</w:t>
            </w:r>
          </w:p>
        </w:tc>
      </w:tr>
      <w:tr w14:paraId="09A727C3">
        <w:tblPrEx>
          <w:tblCellMar>
            <w:top w:w="15" w:type="dxa"/>
            <w:left w:w="15" w:type="dxa"/>
            <w:bottom w:w="15" w:type="dxa"/>
            <w:right w:w="15" w:type="dxa"/>
          </w:tblCellMar>
        </w:tblPrEx>
        <w:trPr>
          <w:trHeight w:val="907" w:hRule="atLeast"/>
          <w:jc w:val="center"/>
        </w:trPr>
        <w:tc>
          <w:tcPr>
            <w:tcW w:w="1225" w:type="dxa"/>
            <w:vMerge w:val="continue"/>
            <w:tcBorders>
              <w:top w:val="single" w:color="auto" w:sz="4" w:space="0"/>
              <w:left w:val="single" w:color="auto" w:sz="4" w:space="0"/>
              <w:bottom w:val="single" w:color="auto" w:sz="4" w:space="0"/>
              <w:right w:val="single" w:color="auto" w:sz="4" w:space="0"/>
            </w:tcBorders>
            <w:vAlign w:val="center"/>
          </w:tcPr>
          <w:p w14:paraId="057BE429">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auto"/>
                <w:kern w:val="0"/>
                <w:sz w:val="24"/>
                <w:szCs w:val="24"/>
                <w:lang w:eastAsia="zh-CN"/>
              </w:rPr>
            </w:pPr>
          </w:p>
        </w:tc>
        <w:tc>
          <w:tcPr>
            <w:tcW w:w="1237" w:type="dxa"/>
            <w:tcBorders>
              <w:top w:val="single" w:color="auto" w:sz="4" w:space="0"/>
              <w:left w:val="single" w:color="auto" w:sz="4" w:space="0"/>
              <w:bottom w:val="single" w:color="auto" w:sz="4" w:space="0"/>
              <w:right w:val="single" w:color="auto" w:sz="4" w:space="0"/>
            </w:tcBorders>
            <w:vAlign w:val="center"/>
          </w:tcPr>
          <w:p w14:paraId="2CB31AB0">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办公桌、</w:t>
            </w:r>
            <w:r>
              <w:rPr>
                <w:rFonts w:hint="eastAsia" w:ascii="宋体" w:hAnsi="宋体" w:eastAsia="宋体" w:cs="宋体"/>
                <w:color w:val="auto"/>
                <w:sz w:val="24"/>
                <w:szCs w:val="24"/>
                <w:lang w:eastAsia="zh-CN"/>
              </w:rPr>
              <w:t>椅</w:t>
            </w:r>
          </w:p>
        </w:tc>
        <w:tc>
          <w:tcPr>
            <w:tcW w:w="5487" w:type="dxa"/>
            <w:tcBorders>
              <w:top w:val="single" w:color="auto" w:sz="4" w:space="0"/>
              <w:left w:val="single" w:color="auto" w:sz="4" w:space="0"/>
              <w:bottom w:val="single" w:color="auto" w:sz="4" w:space="0"/>
              <w:right w:val="single" w:color="auto" w:sz="4" w:space="0"/>
            </w:tcBorders>
            <w:vAlign w:val="center"/>
          </w:tcPr>
          <w:p w14:paraId="12E5F9DC">
            <w:pPr>
              <w:keepNext w:val="0"/>
              <w:keepLines w:val="0"/>
              <w:pageBreakBefore w:val="0"/>
              <w:widowControl/>
              <w:kinsoku/>
              <w:wordWrap/>
              <w:overflowPunct/>
              <w:topLinePunct w:val="0"/>
              <w:autoSpaceDE/>
              <w:autoSpaceDN/>
              <w:bidi w:val="0"/>
              <w:adjustRightInd/>
              <w:snapToGrid/>
              <w:spacing w:line="500" w:lineRule="exact"/>
              <w:contextualSpacing/>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1.8米常规办公桌、常规弓字椅</w:t>
            </w:r>
          </w:p>
        </w:tc>
        <w:tc>
          <w:tcPr>
            <w:tcW w:w="812" w:type="dxa"/>
            <w:tcBorders>
              <w:top w:val="single" w:color="auto" w:sz="4" w:space="0"/>
              <w:left w:val="single" w:color="auto" w:sz="4" w:space="0"/>
              <w:bottom w:val="single" w:color="auto" w:sz="4" w:space="0"/>
              <w:right w:val="single" w:color="auto" w:sz="4" w:space="0"/>
            </w:tcBorders>
            <w:vAlign w:val="center"/>
          </w:tcPr>
          <w:p w14:paraId="12B72D2B">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w:t>
            </w:r>
          </w:p>
        </w:tc>
        <w:tc>
          <w:tcPr>
            <w:tcW w:w="1598" w:type="dxa"/>
            <w:tcBorders>
              <w:top w:val="single" w:color="auto" w:sz="4" w:space="0"/>
              <w:left w:val="single" w:color="auto" w:sz="4" w:space="0"/>
              <w:bottom w:val="single" w:color="auto" w:sz="4" w:space="0"/>
              <w:right w:val="single" w:color="auto" w:sz="4" w:space="0"/>
            </w:tcBorders>
            <w:vAlign w:val="center"/>
          </w:tcPr>
          <w:p w14:paraId="3A926E31">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2500</w:t>
            </w:r>
          </w:p>
        </w:tc>
      </w:tr>
      <w:tr w14:paraId="22443DE4">
        <w:tblPrEx>
          <w:tblCellMar>
            <w:top w:w="15" w:type="dxa"/>
            <w:left w:w="15" w:type="dxa"/>
            <w:bottom w:w="15" w:type="dxa"/>
            <w:right w:w="15" w:type="dxa"/>
          </w:tblCellMar>
        </w:tblPrEx>
        <w:trPr>
          <w:trHeight w:val="907" w:hRule="atLeast"/>
          <w:jc w:val="center"/>
        </w:trPr>
        <w:tc>
          <w:tcPr>
            <w:tcW w:w="1225" w:type="dxa"/>
            <w:vMerge w:val="continue"/>
            <w:tcBorders>
              <w:top w:val="single" w:color="auto" w:sz="4" w:space="0"/>
              <w:left w:val="single" w:color="auto" w:sz="4" w:space="0"/>
              <w:bottom w:val="single" w:color="auto" w:sz="4" w:space="0"/>
              <w:right w:val="single" w:color="auto" w:sz="4" w:space="0"/>
            </w:tcBorders>
            <w:vAlign w:val="center"/>
          </w:tcPr>
          <w:p w14:paraId="0026E947">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auto"/>
                <w:kern w:val="0"/>
                <w:sz w:val="24"/>
                <w:szCs w:val="24"/>
                <w:lang w:eastAsia="zh-CN"/>
              </w:rPr>
            </w:pPr>
          </w:p>
        </w:tc>
        <w:tc>
          <w:tcPr>
            <w:tcW w:w="1237" w:type="dxa"/>
            <w:tcBorders>
              <w:top w:val="single" w:color="auto" w:sz="4" w:space="0"/>
              <w:left w:val="single" w:color="auto" w:sz="4" w:space="0"/>
              <w:bottom w:val="single" w:color="auto" w:sz="4" w:space="0"/>
              <w:right w:val="single" w:color="auto" w:sz="4" w:space="0"/>
            </w:tcBorders>
            <w:vAlign w:val="center"/>
          </w:tcPr>
          <w:p w14:paraId="29D21041">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三人沙发</w:t>
            </w:r>
          </w:p>
        </w:tc>
        <w:tc>
          <w:tcPr>
            <w:tcW w:w="5487" w:type="dxa"/>
            <w:tcBorders>
              <w:top w:val="single" w:color="auto" w:sz="4" w:space="0"/>
              <w:left w:val="single" w:color="auto" w:sz="4" w:space="0"/>
              <w:bottom w:val="single" w:color="auto" w:sz="4" w:space="0"/>
              <w:right w:val="single" w:color="auto" w:sz="4" w:space="0"/>
            </w:tcBorders>
            <w:vAlign w:val="center"/>
          </w:tcPr>
          <w:p w14:paraId="0220265B">
            <w:pPr>
              <w:keepNext w:val="0"/>
              <w:keepLines w:val="0"/>
              <w:pageBreakBefore w:val="0"/>
              <w:widowControl/>
              <w:kinsoku/>
              <w:wordWrap/>
              <w:overflowPunct/>
              <w:topLinePunct w:val="0"/>
              <w:autoSpaceDE/>
              <w:autoSpaceDN/>
              <w:bidi w:val="0"/>
              <w:adjustRightInd/>
              <w:snapToGrid/>
              <w:spacing w:line="500" w:lineRule="exact"/>
              <w:contextualSpacing/>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1.85cm*0.76cm*0.8cm</w:t>
            </w:r>
          </w:p>
        </w:tc>
        <w:tc>
          <w:tcPr>
            <w:tcW w:w="812" w:type="dxa"/>
            <w:tcBorders>
              <w:top w:val="single" w:color="auto" w:sz="4" w:space="0"/>
              <w:left w:val="single" w:color="auto" w:sz="4" w:space="0"/>
              <w:bottom w:val="single" w:color="auto" w:sz="4" w:space="0"/>
              <w:right w:val="single" w:color="auto" w:sz="4" w:space="0"/>
            </w:tcBorders>
            <w:vAlign w:val="center"/>
          </w:tcPr>
          <w:p w14:paraId="43A63924">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w:t>
            </w:r>
          </w:p>
        </w:tc>
        <w:tc>
          <w:tcPr>
            <w:tcW w:w="1598" w:type="dxa"/>
            <w:tcBorders>
              <w:top w:val="single" w:color="auto" w:sz="4" w:space="0"/>
              <w:left w:val="single" w:color="auto" w:sz="4" w:space="0"/>
              <w:bottom w:val="single" w:color="auto" w:sz="4" w:space="0"/>
              <w:right w:val="single" w:color="auto" w:sz="4" w:space="0"/>
            </w:tcBorders>
            <w:vAlign w:val="center"/>
          </w:tcPr>
          <w:p w14:paraId="482C69D4">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3000</w:t>
            </w:r>
          </w:p>
        </w:tc>
      </w:tr>
      <w:tr w14:paraId="3D3D7A4B">
        <w:tblPrEx>
          <w:tblCellMar>
            <w:top w:w="15" w:type="dxa"/>
            <w:left w:w="15" w:type="dxa"/>
            <w:bottom w:w="15" w:type="dxa"/>
            <w:right w:w="15" w:type="dxa"/>
          </w:tblCellMar>
        </w:tblPrEx>
        <w:trPr>
          <w:trHeight w:val="907" w:hRule="atLeast"/>
          <w:jc w:val="center"/>
        </w:trPr>
        <w:tc>
          <w:tcPr>
            <w:tcW w:w="1225" w:type="dxa"/>
            <w:vMerge w:val="continue"/>
            <w:tcBorders>
              <w:top w:val="single" w:color="auto" w:sz="4" w:space="0"/>
              <w:left w:val="single" w:color="auto" w:sz="4" w:space="0"/>
              <w:bottom w:val="single" w:color="auto" w:sz="4" w:space="0"/>
              <w:right w:val="single" w:color="auto" w:sz="4" w:space="0"/>
            </w:tcBorders>
            <w:vAlign w:val="center"/>
          </w:tcPr>
          <w:p w14:paraId="5C41617A">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auto"/>
                <w:kern w:val="0"/>
                <w:sz w:val="24"/>
                <w:szCs w:val="24"/>
                <w:lang w:eastAsia="zh-CN"/>
              </w:rPr>
            </w:pPr>
          </w:p>
        </w:tc>
        <w:tc>
          <w:tcPr>
            <w:tcW w:w="1237" w:type="dxa"/>
            <w:tcBorders>
              <w:top w:val="single" w:color="auto" w:sz="4" w:space="0"/>
              <w:left w:val="single" w:color="auto" w:sz="4" w:space="0"/>
              <w:bottom w:val="single" w:color="auto" w:sz="4" w:space="0"/>
              <w:right w:val="single" w:color="auto" w:sz="4" w:space="0"/>
            </w:tcBorders>
            <w:vAlign w:val="center"/>
          </w:tcPr>
          <w:p w14:paraId="40E1B097">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茶几</w:t>
            </w:r>
          </w:p>
        </w:tc>
        <w:tc>
          <w:tcPr>
            <w:tcW w:w="5487" w:type="dxa"/>
            <w:tcBorders>
              <w:top w:val="single" w:color="auto" w:sz="4" w:space="0"/>
              <w:left w:val="single" w:color="auto" w:sz="4" w:space="0"/>
              <w:bottom w:val="single" w:color="auto" w:sz="4" w:space="0"/>
              <w:right w:val="single" w:color="auto" w:sz="4" w:space="0"/>
            </w:tcBorders>
            <w:vAlign w:val="center"/>
          </w:tcPr>
          <w:p w14:paraId="2E79C8C8">
            <w:pPr>
              <w:keepNext w:val="0"/>
              <w:keepLines w:val="0"/>
              <w:pageBreakBefore w:val="0"/>
              <w:widowControl/>
              <w:kinsoku/>
              <w:wordWrap/>
              <w:overflowPunct/>
              <w:topLinePunct w:val="0"/>
              <w:autoSpaceDE/>
              <w:autoSpaceDN/>
              <w:bidi w:val="0"/>
              <w:adjustRightInd/>
              <w:snapToGrid/>
              <w:spacing w:line="500" w:lineRule="exact"/>
              <w:contextualSpacing/>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1.2cm*0.6cm*0.48cm</w:t>
            </w:r>
          </w:p>
        </w:tc>
        <w:tc>
          <w:tcPr>
            <w:tcW w:w="812" w:type="dxa"/>
            <w:tcBorders>
              <w:top w:val="single" w:color="auto" w:sz="4" w:space="0"/>
              <w:left w:val="single" w:color="auto" w:sz="4" w:space="0"/>
              <w:bottom w:val="single" w:color="auto" w:sz="4" w:space="0"/>
              <w:right w:val="single" w:color="auto" w:sz="4" w:space="0"/>
            </w:tcBorders>
            <w:vAlign w:val="center"/>
          </w:tcPr>
          <w:p w14:paraId="234E1EAB">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w:t>
            </w:r>
          </w:p>
        </w:tc>
        <w:tc>
          <w:tcPr>
            <w:tcW w:w="1598" w:type="dxa"/>
            <w:tcBorders>
              <w:top w:val="single" w:color="auto" w:sz="4" w:space="0"/>
              <w:left w:val="single" w:color="auto" w:sz="4" w:space="0"/>
              <w:bottom w:val="single" w:color="auto" w:sz="4" w:space="0"/>
              <w:right w:val="single" w:color="auto" w:sz="4" w:space="0"/>
            </w:tcBorders>
            <w:vAlign w:val="center"/>
          </w:tcPr>
          <w:p w14:paraId="48EC8CBB">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1000</w:t>
            </w:r>
          </w:p>
        </w:tc>
      </w:tr>
      <w:tr w14:paraId="01138E74">
        <w:tblPrEx>
          <w:tblCellMar>
            <w:top w:w="15" w:type="dxa"/>
            <w:left w:w="15" w:type="dxa"/>
            <w:bottom w:w="15" w:type="dxa"/>
            <w:right w:w="15" w:type="dxa"/>
          </w:tblCellMar>
        </w:tblPrEx>
        <w:trPr>
          <w:trHeight w:val="907" w:hRule="atLeast"/>
          <w:jc w:val="center"/>
        </w:trPr>
        <w:tc>
          <w:tcPr>
            <w:tcW w:w="1225" w:type="dxa"/>
            <w:vMerge w:val="continue"/>
            <w:tcBorders>
              <w:top w:val="single" w:color="auto" w:sz="4" w:space="0"/>
              <w:left w:val="single" w:color="auto" w:sz="4" w:space="0"/>
              <w:bottom w:val="single" w:color="auto" w:sz="4" w:space="0"/>
              <w:right w:val="single" w:color="auto" w:sz="4" w:space="0"/>
            </w:tcBorders>
            <w:vAlign w:val="center"/>
          </w:tcPr>
          <w:p w14:paraId="0AB78F96">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auto"/>
                <w:kern w:val="0"/>
                <w:sz w:val="24"/>
                <w:szCs w:val="24"/>
                <w:lang w:eastAsia="zh-CN"/>
              </w:rPr>
            </w:pPr>
          </w:p>
        </w:tc>
        <w:tc>
          <w:tcPr>
            <w:tcW w:w="1237" w:type="dxa"/>
            <w:tcBorders>
              <w:top w:val="single" w:color="auto" w:sz="4" w:space="0"/>
              <w:left w:val="single" w:color="auto" w:sz="4" w:space="0"/>
              <w:bottom w:val="single" w:color="auto" w:sz="4" w:space="0"/>
              <w:right w:val="single" w:color="auto" w:sz="4" w:space="0"/>
            </w:tcBorders>
            <w:vAlign w:val="center"/>
          </w:tcPr>
          <w:p w14:paraId="3D7820E1">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工作茶桌</w:t>
            </w:r>
          </w:p>
        </w:tc>
        <w:tc>
          <w:tcPr>
            <w:tcW w:w="5487" w:type="dxa"/>
            <w:tcBorders>
              <w:top w:val="single" w:color="auto" w:sz="4" w:space="0"/>
              <w:left w:val="single" w:color="auto" w:sz="4" w:space="0"/>
              <w:bottom w:val="single" w:color="auto" w:sz="4" w:space="0"/>
              <w:right w:val="single" w:color="auto" w:sz="4" w:space="0"/>
            </w:tcBorders>
            <w:vAlign w:val="center"/>
          </w:tcPr>
          <w:p w14:paraId="7BDE7AAA">
            <w:pPr>
              <w:keepNext w:val="0"/>
              <w:keepLines w:val="0"/>
              <w:pageBreakBefore w:val="0"/>
              <w:widowControl/>
              <w:kinsoku/>
              <w:wordWrap/>
              <w:overflowPunct/>
              <w:topLinePunct w:val="0"/>
              <w:autoSpaceDE/>
              <w:autoSpaceDN/>
              <w:bidi w:val="0"/>
              <w:adjustRightInd/>
              <w:snapToGrid/>
              <w:spacing w:line="500" w:lineRule="exact"/>
              <w:contextualSpacing/>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130*65*70</w:t>
            </w:r>
          </w:p>
        </w:tc>
        <w:tc>
          <w:tcPr>
            <w:tcW w:w="812" w:type="dxa"/>
            <w:tcBorders>
              <w:top w:val="single" w:color="auto" w:sz="4" w:space="0"/>
              <w:left w:val="single" w:color="auto" w:sz="4" w:space="0"/>
              <w:bottom w:val="single" w:color="auto" w:sz="4" w:space="0"/>
              <w:right w:val="single" w:color="auto" w:sz="4" w:space="0"/>
            </w:tcBorders>
            <w:vAlign w:val="center"/>
          </w:tcPr>
          <w:p w14:paraId="368A168D">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w:t>
            </w:r>
          </w:p>
        </w:tc>
        <w:tc>
          <w:tcPr>
            <w:tcW w:w="1598" w:type="dxa"/>
            <w:tcBorders>
              <w:top w:val="single" w:color="auto" w:sz="4" w:space="0"/>
              <w:left w:val="single" w:color="auto" w:sz="4" w:space="0"/>
              <w:bottom w:val="single" w:color="auto" w:sz="4" w:space="0"/>
              <w:right w:val="single" w:color="auto" w:sz="4" w:space="0"/>
            </w:tcBorders>
            <w:vAlign w:val="center"/>
          </w:tcPr>
          <w:p w14:paraId="1354D965">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9000</w:t>
            </w:r>
          </w:p>
        </w:tc>
      </w:tr>
      <w:tr w14:paraId="5AF08F1D">
        <w:tblPrEx>
          <w:tblCellMar>
            <w:top w:w="15" w:type="dxa"/>
            <w:left w:w="15" w:type="dxa"/>
            <w:bottom w:w="15" w:type="dxa"/>
            <w:right w:w="15" w:type="dxa"/>
          </w:tblCellMar>
        </w:tblPrEx>
        <w:trPr>
          <w:trHeight w:val="907" w:hRule="atLeast"/>
          <w:jc w:val="center"/>
        </w:trPr>
        <w:tc>
          <w:tcPr>
            <w:tcW w:w="1225" w:type="dxa"/>
            <w:vMerge w:val="continue"/>
            <w:tcBorders>
              <w:top w:val="single" w:color="auto" w:sz="4" w:space="0"/>
              <w:left w:val="single" w:color="auto" w:sz="4" w:space="0"/>
              <w:bottom w:val="single" w:color="auto" w:sz="4" w:space="0"/>
              <w:right w:val="single" w:color="auto" w:sz="4" w:space="0"/>
            </w:tcBorders>
            <w:vAlign w:val="center"/>
          </w:tcPr>
          <w:p w14:paraId="4672330A">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auto"/>
                <w:kern w:val="0"/>
                <w:sz w:val="24"/>
                <w:szCs w:val="24"/>
                <w:lang w:eastAsia="zh-CN"/>
              </w:rPr>
            </w:pPr>
          </w:p>
        </w:tc>
        <w:tc>
          <w:tcPr>
            <w:tcW w:w="1237" w:type="dxa"/>
            <w:tcBorders>
              <w:top w:val="single" w:color="auto" w:sz="4" w:space="0"/>
              <w:left w:val="single" w:color="auto" w:sz="4" w:space="0"/>
              <w:bottom w:val="single" w:color="auto" w:sz="4" w:space="0"/>
              <w:right w:val="single" w:color="auto" w:sz="4" w:space="0"/>
            </w:tcBorders>
            <w:vAlign w:val="center"/>
          </w:tcPr>
          <w:p w14:paraId="5F3A6B93">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书柜</w:t>
            </w:r>
          </w:p>
        </w:tc>
        <w:tc>
          <w:tcPr>
            <w:tcW w:w="5487" w:type="dxa"/>
            <w:tcBorders>
              <w:top w:val="single" w:color="auto" w:sz="4" w:space="0"/>
              <w:left w:val="single" w:color="auto" w:sz="4" w:space="0"/>
              <w:bottom w:val="single" w:color="auto" w:sz="4" w:space="0"/>
              <w:right w:val="single" w:color="auto" w:sz="4" w:space="0"/>
            </w:tcBorders>
            <w:vAlign w:val="center"/>
          </w:tcPr>
          <w:p w14:paraId="38D81CD1">
            <w:pPr>
              <w:keepNext w:val="0"/>
              <w:keepLines w:val="0"/>
              <w:pageBreakBefore w:val="0"/>
              <w:widowControl/>
              <w:kinsoku/>
              <w:wordWrap/>
              <w:overflowPunct/>
              <w:topLinePunct w:val="0"/>
              <w:autoSpaceDE/>
              <w:autoSpaceDN/>
              <w:bidi w:val="0"/>
              <w:adjustRightInd/>
              <w:snapToGrid/>
              <w:spacing w:line="500" w:lineRule="exact"/>
              <w:contextualSpacing/>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三门书柜</w:t>
            </w:r>
          </w:p>
        </w:tc>
        <w:tc>
          <w:tcPr>
            <w:tcW w:w="812" w:type="dxa"/>
            <w:tcBorders>
              <w:top w:val="single" w:color="auto" w:sz="4" w:space="0"/>
              <w:left w:val="single" w:color="auto" w:sz="4" w:space="0"/>
              <w:bottom w:val="single" w:color="auto" w:sz="4" w:space="0"/>
              <w:right w:val="single" w:color="auto" w:sz="4" w:space="0"/>
            </w:tcBorders>
            <w:vAlign w:val="center"/>
          </w:tcPr>
          <w:p w14:paraId="0D102518">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w:t>
            </w:r>
          </w:p>
        </w:tc>
        <w:tc>
          <w:tcPr>
            <w:tcW w:w="1598" w:type="dxa"/>
            <w:tcBorders>
              <w:top w:val="single" w:color="auto" w:sz="4" w:space="0"/>
              <w:left w:val="single" w:color="auto" w:sz="4" w:space="0"/>
              <w:bottom w:val="single" w:color="auto" w:sz="4" w:space="0"/>
              <w:right w:val="single" w:color="auto" w:sz="4" w:space="0"/>
            </w:tcBorders>
            <w:vAlign w:val="center"/>
          </w:tcPr>
          <w:p w14:paraId="014E83E7">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1800</w:t>
            </w:r>
          </w:p>
        </w:tc>
      </w:tr>
      <w:tr w14:paraId="596A7FAE">
        <w:tblPrEx>
          <w:tblCellMar>
            <w:top w:w="15" w:type="dxa"/>
            <w:left w:w="15" w:type="dxa"/>
            <w:bottom w:w="15" w:type="dxa"/>
            <w:right w:w="15" w:type="dxa"/>
          </w:tblCellMar>
        </w:tblPrEx>
        <w:trPr>
          <w:trHeight w:val="907" w:hRule="atLeast"/>
          <w:jc w:val="center"/>
        </w:trPr>
        <w:tc>
          <w:tcPr>
            <w:tcW w:w="1225" w:type="dxa"/>
            <w:vMerge w:val="continue"/>
            <w:tcBorders>
              <w:top w:val="single" w:color="auto" w:sz="4" w:space="0"/>
              <w:left w:val="single" w:color="auto" w:sz="4" w:space="0"/>
              <w:bottom w:val="single" w:color="auto" w:sz="4" w:space="0"/>
              <w:right w:val="single" w:color="auto" w:sz="4" w:space="0"/>
            </w:tcBorders>
            <w:vAlign w:val="center"/>
          </w:tcPr>
          <w:p w14:paraId="71C40D6B">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auto"/>
                <w:kern w:val="0"/>
                <w:sz w:val="24"/>
                <w:szCs w:val="24"/>
                <w:lang w:eastAsia="zh-CN"/>
              </w:rPr>
            </w:pPr>
          </w:p>
        </w:tc>
        <w:tc>
          <w:tcPr>
            <w:tcW w:w="1237" w:type="dxa"/>
            <w:tcBorders>
              <w:top w:val="single" w:color="auto" w:sz="4" w:space="0"/>
              <w:left w:val="single" w:color="auto" w:sz="4" w:space="0"/>
              <w:bottom w:val="single" w:color="auto" w:sz="4" w:space="0"/>
              <w:right w:val="single" w:color="auto" w:sz="4" w:space="0"/>
            </w:tcBorders>
            <w:vAlign w:val="center"/>
          </w:tcPr>
          <w:p w14:paraId="0EBF9831">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铁皮柜</w:t>
            </w:r>
          </w:p>
        </w:tc>
        <w:tc>
          <w:tcPr>
            <w:tcW w:w="5487" w:type="dxa"/>
            <w:tcBorders>
              <w:top w:val="single" w:color="auto" w:sz="4" w:space="0"/>
              <w:left w:val="single" w:color="auto" w:sz="4" w:space="0"/>
              <w:bottom w:val="single" w:color="auto" w:sz="4" w:space="0"/>
              <w:right w:val="single" w:color="auto" w:sz="4" w:space="0"/>
            </w:tcBorders>
            <w:vAlign w:val="center"/>
          </w:tcPr>
          <w:p w14:paraId="1DC37029">
            <w:pPr>
              <w:keepNext w:val="0"/>
              <w:keepLines w:val="0"/>
              <w:pageBreakBefore w:val="0"/>
              <w:widowControl/>
              <w:kinsoku/>
              <w:wordWrap/>
              <w:overflowPunct/>
              <w:topLinePunct w:val="0"/>
              <w:autoSpaceDE/>
              <w:autoSpaceDN/>
              <w:bidi w:val="0"/>
              <w:adjustRightInd/>
              <w:snapToGrid/>
              <w:spacing w:line="500" w:lineRule="exact"/>
              <w:contextualSpacing/>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230mm*850mm*360mm</w:t>
            </w:r>
          </w:p>
        </w:tc>
        <w:tc>
          <w:tcPr>
            <w:tcW w:w="812" w:type="dxa"/>
            <w:tcBorders>
              <w:top w:val="single" w:color="auto" w:sz="4" w:space="0"/>
              <w:left w:val="single" w:color="auto" w:sz="4" w:space="0"/>
              <w:bottom w:val="single" w:color="auto" w:sz="4" w:space="0"/>
              <w:right w:val="single" w:color="auto" w:sz="4" w:space="0"/>
            </w:tcBorders>
            <w:vAlign w:val="center"/>
          </w:tcPr>
          <w:p w14:paraId="409450B8">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w:t>
            </w:r>
          </w:p>
        </w:tc>
        <w:tc>
          <w:tcPr>
            <w:tcW w:w="1598" w:type="dxa"/>
            <w:tcBorders>
              <w:top w:val="single" w:color="auto" w:sz="4" w:space="0"/>
              <w:left w:val="single" w:color="auto" w:sz="4" w:space="0"/>
              <w:bottom w:val="single" w:color="auto" w:sz="4" w:space="0"/>
              <w:right w:val="single" w:color="auto" w:sz="4" w:space="0"/>
            </w:tcBorders>
            <w:vAlign w:val="center"/>
          </w:tcPr>
          <w:p w14:paraId="333CF2C9">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3000</w:t>
            </w:r>
          </w:p>
        </w:tc>
      </w:tr>
      <w:tr w14:paraId="5D338E73">
        <w:tblPrEx>
          <w:tblCellMar>
            <w:top w:w="15" w:type="dxa"/>
            <w:left w:w="15" w:type="dxa"/>
            <w:bottom w:w="15" w:type="dxa"/>
            <w:right w:w="15" w:type="dxa"/>
          </w:tblCellMar>
        </w:tblPrEx>
        <w:trPr>
          <w:trHeight w:val="907" w:hRule="atLeast"/>
          <w:jc w:val="center"/>
        </w:trPr>
        <w:tc>
          <w:tcPr>
            <w:tcW w:w="1225" w:type="dxa"/>
            <w:tcBorders>
              <w:top w:val="single" w:color="auto" w:sz="4" w:space="0"/>
              <w:left w:val="single" w:color="auto" w:sz="4" w:space="0"/>
              <w:bottom w:val="single" w:color="auto" w:sz="4" w:space="0"/>
              <w:right w:val="single" w:color="auto" w:sz="4" w:space="0"/>
            </w:tcBorders>
            <w:vAlign w:val="center"/>
          </w:tcPr>
          <w:p w14:paraId="69E22D14">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合计</w:t>
            </w:r>
          </w:p>
        </w:tc>
        <w:tc>
          <w:tcPr>
            <w:tcW w:w="9134" w:type="dxa"/>
            <w:gridSpan w:val="4"/>
            <w:tcBorders>
              <w:top w:val="single" w:color="auto" w:sz="4" w:space="0"/>
              <w:left w:val="single" w:color="auto" w:sz="4" w:space="0"/>
              <w:bottom w:val="single" w:color="auto" w:sz="4" w:space="0"/>
              <w:right w:val="single" w:color="auto" w:sz="4" w:space="0"/>
            </w:tcBorders>
            <w:vAlign w:val="center"/>
          </w:tcPr>
          <w:p w14:paraId="48DE8B4A">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25100</w:t>
            </w:r>
            <w:r>
              <w:rPr>
                <w:rFonts w:hint="eastAsia" w:ascii="宋体" w:hAnsi="宋体" w:cs="宋体"/>
                <w:color w:val="auto"/>
                <w:kern w:val="0"/>
                <w:sz w:val="24"/>
                <w:szCs w:val="24"/>
                <w:lang w:val="en-US" w:eastAsia="zh-CN"/>
              </w:rPr>
              <w:t>元</w:t>
            </w:r>
            <w:bookmarkStart w:id="0" w:name="_GoBack"/>
            <w:bookmarkEnd w:id="0"/>
          </w:p>
        </w:tc>
      </w:tr>
    </w:tbl>
    <w:p w14:paraId="712A9E40">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3.最高限价：25100元（含税包干）</w:t>
      </w:r>
    </w:p>
    <w:p w14:paraId="45486018">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4.竞价保证金：伍佰元整（¥500元）</w:t>
      </w:r>
    </w:p>
    <w:p w14:paraId="7ABBBC02">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5.供货时间：自合同签订之日起15天内完成供货</w:t>
      </w:r>
    </w:p>
    <w:p w14:paraId="789F785B">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6</w:t>
      </w:r>
      <w:r>
        <w:rPr>
          <w:rFonts w:hint="eastAsia" w:asciiTheme="minorEastAsia" w:hAnsiTheme="minorEastAsia" w:eastAsiaTheme="minorEastAsia" w:cstheme="minorEastAsia"/>
          <w:color w:val="auto"/>
          <w:kern w:val="2"/>
          <w:sz w:val="24"/>
          <w:szCs w:val="24"/>
          <w:shd w:val="clear"/>
        </w:rPr>
        <w:t>.</w:t>
      </w:r>
      <w:r>
        <w:rPr>
          <w:rFonts w:hint="eastAsia" w:asciiTheme="minorEastAsia" w:hAnsiTheme="minorEastAsia" w:eastAsiaTheme="minorEastAsia" w:cstheme="minorEastAsia"/>
          <w:color w:val="auto"/>
          <w:kern w:val="2"/>
          <w:sz w:val="24"/>
          <w:szCs w:val="24"/>
          <w:shd w:val="clear"/>
          <w:lang w:val="en-US" w:eastAsia="zh-CN"/>
        </w:rPr>
        <w:t>供货</w:t>
      </w:r>
      <w:r>
        <w:rPr>
          <w:rFonts w:hint="eastAsia" w:asciiTheme="minorEastAsia" w:hAnsiTheme="minorEastAsia" w:eastAsiaTheme="minorEastAsia" w:cstheme="minorEastAsia"/>
          <w:color w:val="auto"/>
          <w:kern w:val="2"/>
          <w:sz w:val="24"/>
          <w:szCs w:val="24"/>
          <w:shd w:val="clear"/>
        </w:rPr>
        <w:t>要求</w:t>
      </w:r>
      <w:r>
        <w:rPr>
          <w:rFonts w:hint="eastAsia" w:asciiTheme="minorEastAsia" w:hAnsiTheme="minorEastAsia" w:eastAsiaTheme="minorEastAsia" w:cstheme="minorEastAsia"/>
          <w:color w:val="auto"/>
          <w:kern w:val="2"/>
          <w:sz w:val="24"/>
          <w:szCs w:val="24"/>
          <w:shd w:val="clear"/>
          <w:lang w:eastAsia="zh-CN"/>
        </w:rPr>
        <w:t>：</w:t>
      </w:r>
      <w:r>
        <w:rPr>
          <w:rFonts w:hint="eastAsia" w:asciiTheme="minorEastAsia" w:hAnsiTheme="minorEastAsia" w:eastAsiaTheme="minorEastAsia" w:cstheme="minorEastAsia"/>
          <w:color w:val="auto"/>
          <w:kern w:val="2"/>
          <w:sz w:val="24"/>
          <w:szCs w:val="24"/>
          <w:shd w:val="clear"/>
          <w:lang w:val="en-US" w:eastAsia="zh-CN"/>
        </w:rPr>
        <w:t>1）乙方所提供的货物必须符合国家质量、安全、行业标准和原厂出厂标准。</w:t>
      </w:r>
    </w:p>
    <w:p w14:paraId="41D5C32E">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（2）乙方所提供的货物必须符合《供货清单》的参数标准。</w:t>
      </w:r>
    </w:p>
    <w:p w14:paraId="3DC3C041">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lang w:val="en-US" w:eastAsia="zh-CN"/>
        </w:rPr>
        <w:t>（3）提供的货物必须是全新的、包装完好的产品，并运送到指定交货地点后才能拆封。</w:t>
      </w:r>
    </w:p>
    <w:p w14:paraId="2AE570A8">
      <w:pPr>
        <w:widowControl/>
        <w:numPr>
          <w:ilvl w:val="0"/>
          <w:numId w:val="0"/>
        </w:numPr>
        <w:shd w:val="clear"/>
        <w:snapToGrid/>
        <w:spacing w:before="0" w:line="520" w:lineRule="exact"/>
        <w:ind w:firstLine="480" w:firstLineChars="200"/>
        <w:rPr>
          <w:rFonts w:hint="eastAsia" w:asciiTheme="minorEastAsia" w:hAnsiTheme="minorEastAsia" w:eastAsiaTheme="minorEastAsia" w:cstheme="minorEastAsia"/>
          <w:b w:val="0"/>
          <w:bCs w:val="0"/>
          <w:color w:val="auto"/>
          <w:kern w:val="2"/>
          <w:sz w:val="24"/>
          <w:szCs w:val="24"/>
          <w:shd w:val="clear"/>
          <w:lang w:val="en-US" w:eastAsia="zh-CN"/>
        </w:rPr>
      </w:pPr>
      <w:r>
        <w:rPr>
          <w:rFonts w:hint="eastAsia" w:asciiTheme="minorEastAsia" w:hAnsiTheme="minorEastAsia" w:eastAsiaTheme="minorEastAsia" w:cstheme="minorEastAsia"/>
          <w:b w:val="0"/>
          <w:bCs w:val="0"/>
          <w:color w:val="auto"/>
          <w:kern w:val="2"/>
          <w:sz w:val="24"/>
          <w:szCs w:val="24"/>
          <w:shd w:val="clear"/>
          <w:lang w:val="en-US" w:eastAsia="zh-CN"/>
        </w:rPr>
        <w:t>7.验收要求：由委托方负责组织验收，甲乙双方必须按本合同所约定的清单及要求对货物的品牌、外观、配件及安装调试后的使用性能等进行验收，乙方必须在验收现场提供必要的技术支持。甲方应在产品安装调试合格后的七个工作日内验收完华。</w:t>
      </w:r>
    </w:p>
    <w:p w14:paraId="3C1B3AFB">
      <w:pPr>
        <w:widowControl/>
        <w:numPr>
          <w:ilvl w:val="0"/>
          <w:numId w:val="0"/>
        </w:numPr>
        <w:shd w:val="clear"/>
        <w:snapToGrid/>
        <w:spacing w:before="0" w:line="520" w:lineRule="exact"/>
        <w:ind w:firstLine="480" w:firstLineChars="200"/>
        <w:rPr>
          <w:rFonts w:hint="eastAsia" w:asciiTheme="minorEastAsia" w:hAnsiTheme="minorEastAsia" w:eastAsiaTheme="minorEastAsia" w:cstheme="minorEastAsia"/>
          <w:b w:val="0"/>
          <w:bCs w:val="0"/>
          <w:color w:val="auto"/>
          <w:kern w:val="2"/>
          <w:sz w:val="24"/>
          <w:szCs w:val="24"/>
          <w:shd w:val="clear"/>
          <w:lang w:val="en-US" w:eastAsia="zh-CN"/>
        </w:rPr>
      </w:pPr>
      <w:r>
        <w:rPr>
          <w:rFonts w:hint="eastAsia" w:asciiTheme="minorEastAsia" w:hAnsiTheme="minorEastAsia" w:eastAsiaTheme="minorEastAsia" w:cstheme="minorEastAsia"/>
          <w:b w:val="0"/>
          <w:bCs w:val="0"/>
          <w:color w:val="auto"/>
          <w:kern w:val="2"/>
          <w:sz w:val="24"/>
          <w:szCs w:val="24"/>
          <w:shd w:val="clear"/>
          <w:lang w:val="en-US" w:eastAsia="zh-CN"/>
        </w:rPr>
        <w:t>8.付款方式：货到验收合格后，由甲方通知乙方出具增值税普通发票。凭乙方提供的增值税普通发票和甲方提供的实际数量、质量、供货时间的验收资料（商品入库验收单），货物经甲方验收合格后30个工作日内，甲方凭有关验收手续按合同价款的95%以银行转账形式支付货款。剩余的5%的货款作为质量保证金，以验收日期起6个月内，无质量问题，再予以支付。</w:t>
      </w:r>
    </w:p>
    <w:p w14:paraId="47570714">
      <w:pPr>
        <w:spacing w:line="360" w:lineRule="auto"/>
        <w:ind w:firstLine="482" w:firstLineChars="200"/>
        <w:rPr>
          <w:rFonts w:hint="eastAsia" w:asciiTheme="minorEastAsia" w:hAnsiTheme="minorEastAsia" w:eastAsiaTheme="minorEastAsia" w:cstheme="minorEastAsia"/>
          <w:b/>
          <w:bCs/>
          <w:color w:val="auto"/>
          <w:kern w:val="2"/>
          <w:sz w:val="24"/>
          <w:szCs w:val="24"/>
          <w:shd w:val="clear"/>
        </w:rPr>
      </w:pPr>
      <w:r>
        <w:rPr>
          <w:rFonts w:hint="eastAsia" w:asciiTheme="minorEastAsia" w:hAnsiTheme="minorEastAsia" w:eastAsiaTheme="minorEastAsia" w:cstheme="minorEastAsia"/>
          <w:b/>
          <w:bCs/>
          <w:color w:val="auto"/>
          <w:kern w:val="2"/>
          <w:sz w:val="24"/>
          <w:szCs w:val="24"/>
          <w:shd w:val="clear"/>
        </w:rPr>
        <w:t>三、竞价资格</w:t>
      </w:r>
    </w:p>
    <w:p w14:paraId="55EC570A">
      <w:pPr>
        <w:spacing w:line="520" w:lineRule="exact"/>
        <w:ind w:firstLine="480" w:firstLineChars="200"/>
        <w:rPr>
          <w:rFonts w:hint="eastAsia" w:asciiTheme="minorEastAsia" w:hAnsiTheme="minorEastAsia" w:eastAsiaTheme="minorEastAsia" w:cstheme="minorEastAsia"/>
          <w:b w:val="0"/>
          <w:bCs w:val="0"/>
          <w:color w:val="auto"/>
          <w:sz w:val="24"/>
          <w:szCs w:val="24"/>
          <w:shd w:val="clear"/>
          <w:lang w:val="en-US" w:eastAsia="zh-CN"/>
        </w:rPr>
      </w:pPr>
      <w:r>
        <w:rPr>
          <w:rFonts w:hint="eastAsia" w:asciiTheme="minorEastAsia" w:hAnsiTheme="minorEastAsia" w:eastAsiaTheme="minorEastAsia" w:cstheme="minorEastAsia"/>
          <w:b w:val="0"/>
          <w:bCs w:val="0"/>
          <w:color w:val="auto"/>
          <w:sz w:val="24"/>
          <w:szCs w:val="24"/>
          <w:shd w:val="clear"/>
          <w:lang w:val="en-US" w:eastAsia="zh-CN"/>
        </w:rPr>
        <w:t>1. 遵守中华人民共和国法律、法规，且能够诚信经营，具有独立法人资格的竞价人或个体工商户均可能成为合格的竞价人,但已经被列入失信被执行人名单（截止报名时间）的除外；；</w:t>
      </w:r>
    </w:p>
    <w:p w14:paraId="09884C04">
      <w:pPr>
        <w:spacing w:line="520" w:lineRule="exact"/>
        <w:ind w:firstLine="480" w:firstLineChars="200"/>
        <w:rPr>
          <w:rFonts w:hint="eastAsia" w:asciiTheme="minorEastAsia" w:hAnsiTheme="minorEastAsia" w:eastAsiaTheme="minorEastAsia" w:cstheme="minorEastAsia"/>
          <w:b w:val="0"/>
          <w:bCs w:val="0"/>
          <w:color w:val="auto"/>
          <w:sz w:val="24"/>
          <w:szCs w:val="24"/>
          <w:shd w:val="clear"/>
          <w:lang w:val="en-US" w:eastAsia="zh-CN"/>
        </w:rPr>
      </w:pPr>
      <w:r>
        <w:rPr>
          <w:rFonts w:hint="eastAsia" w:asciiTheme="minorEastAsia" w:hAnsiTheme="minorEastAsia" w:eastAsiaTheme="minorEastAsia" w:cstheme="minorEastAsia"/>
          <w:b w:val="0"/>
          <w:bCs w:val="0"/>
          <w:color w:val="auto"/>
          <w:sz w:val="24"/>
          <w:szCs w:val="24"/>
          <w:shd w:val="clear"/>
          <w:lang w:val="en-US" w:eastAsia="zh-CN"/>
        </w:rPr>
        <w:t>2.竞价人必须具有履行合同所需的能力；</w:t>
      </w:r>
    </w:p>
    <w:p w14:paraId="589A2DCC">
      <w:pPr>
        <w:spacing w:line="520" w:lineRule="exact"/>
        <w:ind w:firstLine="480" w:firstLineChars="200"/>
        <w:rPr>
          <w:rFonts w:hint="eastAsia" w:asciiTheme="minorEastAsia" w:hAnsiTheme="minorEastAsia" w:eastAsiaTheme="minorEastAsia" w:cstheme="minorEastAsia"/>
          <w:b w:val="0"/>
          <w:bCs w:val="0"/>
          <w:color w:val="auto"/>
          <w:sz w:val="24"/>
          <w:szCs w:val="24"/>
          <w:shd w:val="clear"/>
          <w:lang w:val="en-US" w:eastAsia="zh-CN"/>
        </w:rPr>
      </w:pPr>
      <w:r>
        <w:rPr>
          <w:rFonts w:hint="eastAsia" w:asciiTheme="minorEastAsia" w:hAnsiTheme="minorEastAsia" w:eastAsiaTheme="minorEastAsia" w:cstheme="minorEastAsia"/>
          <w:b w:val="0"/>
          <w:bCs w:val="0"/>
          <w:color w:val="auto"/>
          <w:sz w:val="24"/>
          <w:szCs w:val="24"/>
          <w:shd w:val="clear"/>
          <w:lang w:val="en-US" w:eastAsia="zh-CN"/>
        </w:rPr>
        <w:t>3.竞价人必须是委托人邀请的单位；</w:t>
      </w:r>
    </w:p>
    <w:p w14:paraId="0FEBA6E9">
      <w:pPr>
        <w:spacing w:line="520" w:lineRule="exact"/>
        <w:ind w:firstLine="480" w:firstLineChars="200"/>
        <w:rPr>
          <w:rFonts w:hint="eastAsia" w:asciiTheme="minorEastAsia" w:hAnsiTheme="minorEastAsia" w:eastAsiaTheme="minorEastAsia" w:cstheme="minorEastAsia"/>
          <w:b w:val="0"/>
          <w:bCs w:val="0"/>
          <w:color w:val="auto"/>
          <w:sz w:val="24"/>
          <w:szCs w:val="24"/>
          <w:shd w:val="clear"/>
          <w:lang w:val="en-US" w:eastAsia="zh-CN"/>
        </w:rPr>
      </w:pPr>
      <w:r>
        <w:rPr>
          <w:rFonts w:hint="eastAsia" w:asciiTheme="minorEastAsia" w:hAnsiTheme="minorEastAsia" w:eastAsiaTheme="minorEastAsia" w:cstheme="minorEastAsia"/>
          <w:b w:val="0"/>
          <w:bCs w:val="0"/>
          <w:color w:val="auto"/>
          <w:sz w:val="24"/>
          <w:szCs w:val="24"/>
          <w:shd w:val="clear"/>
          <w:lang w:val="en-US" w:eastAsia="zh-CN"/>
        </w:rPr>
        <w:t>4.竞价资格（及限制性条件）认定由竞价人自行审查,因此产生委托人不予签订合同及其它一切后果由竞价人自行负责。竞价人提供虚假材料或资质不符合条件的，视为恶意竞价，保证金不予退回，按违约处理，委托人可另行选取服务供应商；</w:t>
      </w:r>
    </w:p>
    <w:p w14:paraId="68E9D984">
      <w:pPr>
        <w:spacing w:line="520" w:lineRule="exact"/>
        <w:ind w:firstLine="482" w:firstLineChars="200"/>
        <w:rPr>
          <w:rFonts w:hint="eastAsia" w:asciiTheme="minorEastAsia" w:hAnsiTheme="minorEastAsia" w:eastAsiaTheme="minorEastAsia" w:cstheme="minorEastAsia"/>
          <w:b/>
          <w:bCs/>
          <w:color w:val="auto"/>
          <w:sz w:val="24"/>
          <w:szCs w:val="24"/>
          <w:shd w:val="clear"/>
        </w:rPr>
      </w:pPr>
      <w:r>
        <w:rPr>
          <w:rFonts w:hint="eastAsia" w:asciiTheme="minorEastAsia" w:hAnsiTheme="minorEastAsia" w:eastAsiaTheme="minorEastAsia" w:cstheme="minorEastAsia"/>
          <w:b/>
          <w:bCs/>
          <w:color w:val="auto"/>
          <w:sz w:val="24"/>
          <w:szCs w:val="24"/>
          <w:shd w:val="clear"/>
        </w:rPr>
        <w:t>四、竞价保证金</w:t>
      </w:r>
    </w:p>
    <w:p w14:paraId="60540947">
      <w:pPr>
        <w:spacing w:line="520" w:lineRule="exact"/>
        <w:ind w:firstLine="480" w:firstLineChars="200"/>
        <w:rPr>
          <w:rFonts w:hint="eastAsia" w:asciiTheme="minorEastAsia" w:hAnsiTheme="minorEastAsia" w:eastAsiaTheme="minorEastAsia" w:cstheme="minorEastAsia"/>
          <w:color w:val="auto"/>
          <w:sz w:val="24"/>
          <w:szCs w:val="24"/>
          <w:shd w:val="clear"/>
          <w:lang w:val="en-US" w:eastAsia="zh-CN"/>
        </w:rPr>
      </w:pPr>
      <w:r>
        <w:rPr>
          <w:rFonts w:hint="eastAsia" w:asciiTheme="minorEastAsia" w:hAnsiTheme="minorEastAsia" w:eastAsiaTheme="minorEastAsia" w:cstheme="minorEastAsia"/>
          <w:color w:val="auto"/>
          <w:sz w:val="24"/>
          <w:szCs w:val="24"/>
          <w:shd w:val="clear"/>
        </w:rPr>
        <w:t>1.保证金</w:t>
      </w:r>
      <w:r>
        <w:rPr>
          <w:rFonts w:hint="eastAsia" w:asciiTheme="minorEastAsia" w:hAnsiTheme="minorEastAsia" w:eastAsiaTheme="minorEastAsia" w:cstheme="minorEastAsia"/>
          <w:color w:val="auto"/>
          <w:sz w:val="24"/>
          <w:szCs w:val="24"/>
          <w:shd w:val="clear"/>
          <w:lang w:val="en-US" w:eastAsia="zh-CN"/>
        </w:rPr>
        <w:t>500</w:t>
      </w:r>
      <w:r>
        <w:rPr>
          <w:rFonts w:hint="eastAsia" w:asciiTheme="minorEastAsia" w:hAnsiTheme="minorEastAsia" w:eastAsiaTheme="minorEastAsia" w:cstheme="minorEastAsia"/>
          <w:color w:val="auto"/>
          <w:kern w:val="2"/>
          <w:sz w:val="24"/>
          <w:szCs w:val="24"/>
          <w:lang w:val="en-US" w:eastAsia="zh-CN" w:bidi="ar-SA"/>
        </w:rPr>
        <w:t>元</w:t>
      </w:r>
      <w:r>
        <w:rPr>
          <w:rFonts w:hint="eastAsia" w:asciiTheme="minorEastAsia" w:hAnsiTheme="minorEastAsia" w:eastAsiaTheme="minorEastAsia" w:cstheme="minorEastAsia"/>
          <w:color w:val="auto"/>
          <w:sz w:val="24"/>
          <w:szCs w:val="24"/>
          <w:shd w:val="clear"/>
        </w:rPr>
        <w:t>，必须于</w:t>
      </w:r>
      <w:r>
        <w:rPr>
          <w:rFonts w:hint="eastAsia" w:asciiTheme="minorEastAsia" w:hAnsiTheme="minorEastAsia" w:eastAsiaTheme="minorEastAsia" w:cstheme="minorEastAsia"/>
          <w:color w:val="auto"/>
          <w:kern w:val="2"/>
          <w:sz w:val="24"/>
          <w:szCs w:val="24"/>
          <w:lang w:val="en-US" w:eastAsia="zh-CN" w:bidi="ar-SA"/>
        </w:rPr>
        <w:t>2026年5月19日</w:t>
      </w:r>
      <w:r>
        <w:rPr>
          <w:rFonts w:hint="eastAsia" w:asciiTheme="minorEastAsia" w:hAnsiTheme="minorEastAsia" w:eastAsiaTheme="minorEastAsia" w:cstheme="minorEastAsia"/>
          <w:color w:val="auto"/>
          <w:sz w:val="24"/>
          <w:szCs w:val="24"/>
          <w:shd w:val="clear"/>
          <w:lang w:val="en-US" w:eastAsia="zh-CN"/>
        </w:rPr>
        <w:t>上午10：00</w:t>
      </w:r>
      <w:r>
        <w:rPr>
          <w:rFonts w:hint="eastAsia" w:asciiTheme="minorEastAsia" w:hAnsiTheme="minorEastAsia" w:eastAsiaTheme="minorEastAsia" w:cstheme="minorEastAsia"/>
          <w:color w:val="auto"/>
          <w:sz w:val="24"/>
          <w:szCs w:val="24"/>
          <w:shd w:val="clear"/>
        </w:rPr>
        <w:t>前汇到本公司指定账户（户名：连城县国有资产产权交易服务有限公司，开户行：中国银行连城支行，账号：4286 8871 8902）报名参加的</w:t>
      </w:r>
      <w:r>
        <w:rPr>
          <w:rFonts w:hint="eastAsia" w:asciiTheme="minorEastAsia" w:hAnsiTheme="minorEastAsia" w:eastAsiaTheme="minorEastAsia" w:cstheme="minorEastAsia"/>
          <w:color w:val="auto"/>
          <w:sz w:val="24"/>
          <w:szCs w:val="24"/>
          <w:shd w:val="clear"/>
          <w:lang w:eastAsia="zh-CN"/>
        </w:rPr>
        <w:t>竞价人</w:t>
      </w:r>
      <w:r>
        <w:rPr>
          <w:rFonts w:hint="eastAsia" w:asciiTheme="minorEastAsia" w:hAnsiTheme="minorEastAsia" w:eastAsiaTheme="minorEastAsia" w:cstheme="minorEastAsia"/>
          <w:color w:val="auto"/>
          <w:sz w:val="24"/>
          <w:szCs w:val="24"/>
          <w:shd w:val="clear"/>
        </w:rPr>
        <w:t>与缴交竞价保证金的名称要一致。竞价保证金缴至以上账户时，交款单中“款项来源”或“用途”一栏内须填写“****人的竞价保证金”。</w:t>
      </w:r>
      <w:r>
        <w:rPr>
          <w:rFonts w:hint="eastAsia" w:asciiTheme="minorEastAsia" w:hAnsiTheme="minorEastAsia" w:eastAsiaTheme="minorEastAsia" w:cstheme="minorEastAsia"/>
          <w:color w:val="auto"/>
          <w:sz w:val="24"/>
          <w:szCs w:val="24"/>
          <w:shd w:val="clear"/>
          <w:lang w:val="en-US" w:eastAsia="zh-CN"/>
        </w:rPr>
        <w:t xml:space="preserve"> </w:t>
      </w:r>
    </w:p>
    <w:p w14:paraId="2C9EB83D">
      <w:pPr>
        <w:snapToGrid/>
        <w:spacing w:line="520" w:lineRule="exact"/>
        <w:ind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2.竞价成交后，成交人必须在成交之日起3个工作日内与本公司签订《竞价结果通知书》，并在签订《竞价结果通知书》之日起3个工作日内向委托人提供《</w:t>
      </w:r>
      <w:r>
        <w:rPr>
          <w:rFonts w:hint="eastAsia" w:asciiTheme="minorEastAsia" w:hAnsiTheme="minorEastAsia" w:eastAsiaTheme="minorEastAsia" w:cstheme="minorEastAsia"/>
          <w:color w:val="auto"/>
          <w:sz w:val="24"/>
          <w:szCs w:val="24"/>
          <w:shd w:val="clear"/>
          <w:lang w:val="en-US" w:eastAsia="zh-CN"/>
        </w:rPr>
        <w:t>供货</w:t>
      </w:r>
      <w:r>
        <w:rPr>
          <w:rFonts w:hint="eastAsia" w:asciiTheme="minorEastAsia" w:hAnsiTheme="minorEastAsia" w:eastAsiaTheme="minorEastAsia" w:cstheme="minorEastAsia"/>
          <w:color w:val="auto"/>
          <w:sz w:val="24"/>
          <w:szCs w:val="24"/>
          <w:shd w:val="clear"/>
          <w:lang w:eastAsia="zh-CN"/>
        </w:rPr>
        <w:t>合同</w:t>
      </w:r>
      <w:r>
        <w:rPr>
          <w:rFonts w:hint="eastAsia" w:asciiTheme="minorEastAsia" w:hAnsiTheme="minorEastAsia" w:eastAsiaTheme="minorEastAsia" w:cstheme="minorEastAsia"/>
          <w:color w:val="auto"/>
          <w:sz w:val="24"/>
          <w:szCs w:val="24"/>
          <w:shd w:val="clear"/>
        </w:rPr>
        <w:t>》，由委托人经过相应审批程序后签订。</w:t>
      </w:r>
    </w:p>
    <w:p w14:paraId="29E64FA6">
      <w:pPr>
        <w:snapToGrid/>
        <w:spacing w:line="520" w:lineRule="exact"/>
        <w:ind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3.成交人的竞价保证金可以直接抵作</w:t>
      </w:r>
      <w:r>
        <w:rPr>
          <w:rFonts w:hint="eastAsia" w:asciiTheme="minorEastAsia" w:hAnsiTheme="minorEastAsia" w:eastAsiaTheme="minorEastAsia" w:cstheme="minorEastAsia"/>
          <w:color w:val="auto"/>
          <w:sz w:val="24"/>
          <w:szCs w:val="24"/>
          <w:shd w:val="clear"/>
          <w:lang w:val="en-US" w:eastAsia="zh-CN"/>
        </w:rPr>
        <w:t>招标代理</w:t>
      </w:r>
      <w:r>
        <w:rPr>
          <w:rFonts w:hint="eastAsia" w:asciiTheme="minorEastAsia" w:hAnsiTheme="minorEastAsia" w:eastAsiaTheme="minorEastAsia" w:cstheme="minorEastAsia"/>
          <w:color w:val="auto"/>
          <w:sz w:val="24"/>
          <w:szCs w:val="24"/>
          <w:shd w:val="clear"/>
        </w:rPr>
        <w:t>服务费，如有剩余，在成交人与委托人签订《</w:t>
      </w:r>
      <w:r>
        <w:rPr>
          <w:rFonts w:hint="eastAsia" w:asciiTheme="minorEastAsia" w:hAnsiTheme="minorEastAsia" w:eastAsiaTheme="minorEastAsia" w:cstheme="minorEastAsia"/>
          <w:color w:val="auto"/>
          <w:sz w:val="24"/>
          <w:szCs w:val="24"/>
          <w:shd w:val="clear"/>
          <w:lang w:val="en-US" w:eastAsia="zh-CN"/>
        </w:rPr>
        <w:t>供货</w:t>
      </w:r>
      <w:r>
        <w:rPr>
          <w:rFonts w:hint="eastAsia" w:asciiTheme="minorEastAsia" w:hAnsiTheme="minorEastAsia" w:eastAsiaTheme="minorEastAsia" w:cstheme="minorEastAsia"/>
          <w:color w:val="auto"/>
          <w:sz w:val="24"/>
          <w:szCs w:val="24"/>
          <w:shd w:val="clear"/>
          <w:lang w:eastAsia="zh-CN"/>
        </w:rPr>
        <w:t>合同</w:t>
      </w:r>
      <w:r>
        <w:rPr>
          <w:rFonts w:hint="eastAsia" w:asciiTheme="minorEastAsia" w:hAnsiTheme="minorEastAsia" w:eastAsiaTheme="minorEastAsia" w:cstheme="minorEastAsia"/>
          <w:color w:val="auto"/>
          <w:sz w:val="24"/>
          <w:szCs w:val="24"/>
          <w:shd w:val="clear"/>
        </w:rPr>
        <w:t>》后</w:t>
      </w:r>
      <w:r>
        <w:rPr>
          <w:rFonts w:hint="eastAsia" w:asciiTheme="minorEastAsia" w:hAnsiTheme="minorEastAsia" w:eastAsiaTheme="minorEastAsia" w:cstheme="minorEastAsia"/>
          <w:color w:val="auto"/>
          <w:kern w:val="2"/>
          <w:sz w:val="24"/>
          <w:szCs w:val="24"/>
          <w:shd w:val="clear"/>
          <w:lang w:val="en-US" w:eastAsia="zh-CN"/>
        </w:rPr>
        <w:t>10</w:t>
      </w:r>
      <w:r>
        <w:rPr>
          <w:rFonts w:hint="eastAsia" w:asciiTheme="minorEastAsia" w:hAnsiTheme="minorEastAsia" w:eastAsiaTheme="minorEastAsia" w:cstheme="minorEastAsia"/>
          <w:color w:val="auto"/>
          <w:sz w:val="24"/>
          <w:szCs w:val="24"/>
          <w:shd w:val="clear"/>
        </w:rPr>
        <w:t>个工作日内一次性无息退回。</w:t>
      </w:r>
    </w:p>
    <w:p w14:paraId="79066357">
      <w:pPr>
        <w:snapToGrid/>
        <w:spacing w:line="520" w:lineRule="exact"/>
        <w:ind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4.未成交人的保证金，在竞价结束后</w:t>
      </w:r>
      <w:r>
        <w:rPr>
          <w:rFonts w:hint="eastAsia" w:asciiTheme="minorEastAsia" w:hAnsiTheme="minorEastAsia" w:eastAsiaTheme="minorEastAsia" w:cstheme="minorEastAsia"/>
          <w:color w:val="auto"/>
          <w:kern w:val="2"/>
          <w:sz w:val="24"/>
          <w:szCs w:val="24"/>
          <w:shd w:val="clear"/>
          <w:lang w:val="en-US" w:eastAsia="zh-CN"/>
        </w:rPr>
        <w:t>10</w:t>
      </w:r>
      <w:r>
        <w:rPr>
          <w:rFonts w:hint="eastAsia" w:asciiTheme="minorEastAsia" w:hAnsiTheme="minorEastAsia" w:eastAsiaTheme="minorEastAsia" w:cstheme="minorEastAsia"/>
          <w:color w:val="auto"/>
          <w:sz w:val="24"/>
          <w:szCs w:val="24"/>
          <w:shd w:val="clear"/>
        </w:rPr>
        <w:t>个工作日内（遇法定节假日顺延）无息退回。</w:t>
      </w:r>
    </w:p>
    <w:p w14:paraId="311675A9">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五、竞价手续</w:t>
      </w:r>
    </w:p>
    <w:p w14:paraId="6C9F7F90">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1.有意参加竞价人应提供如下有效证照复印件：</w:t>
      </w:r>
    </w:p>
    <w:p w14:paraId="42EA1C78">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(1)营业执照副本、法定代表人或单位负责人身份证复印件；</w:t>
      </w:r>
    </w:p>
    <w:p w14:paraId="303D47E4">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(2)签订完整的承诺书；</w:t>
      </w:r>
    </w:p>
    <w:p w14:paraId="3AF44194">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(3)已缴纳的竞价保证金凭证；</w:t>
      </w:r>
    </w:p>
    <w:p w14:paraId="096C0844">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（4）分项报价表</w:t>
      </w:r>
    </w:p>
    <w:p w14:paraId="3717F4D5">
      <w:pPr>
        <w:widowControl/>
        <w:shd w:val="clear"/>
        <w:snapToGrid/>
        <w:spacing w:before="0" w:line="520" w:lineRule="exact"/>
        <w:ind w:left="0" w:firstLine="480" w:firstLineChars="200"/>
        <w:rPr>
          <w:rFonts w:hint="default"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（5）</w:t>
      </w:r>
      <w:r>
        <w:rPr>
          <w:rFonts w:hint="default" w:asciiTheme="minorEastAsia" w:hAnsiTheme="minorEastAsia" w:eastAsiaTheme="minorEastAsia" w:cstheme="minorEastAsia"/>
          <w:b w:val="0"/>
          <w:bCs w:val="0"/>
          <w:color w:val="auto"/>
          <w:kern w:val="2"/>
          <w:sz w:val="24"/>
          <w:szCs w:val="24"/>
          <w:highlight w:val="none"/>
          <w:shd w:val="clear"/>
          <w:lang w:val="en-US" w:eastAsia="zh-CN"/>
        </w:rPr>
        <w:t>在参加本次采购活动前3年内在经营活动中没有重大违法记录的书面声明（格式自拟）；</w:t>
      </w:r>
    </w:p>
    <w:p w14:paraId="04FD93E1">
      <w:pPr>
        <w:widowControl/>
        <w:shd w:val="clear"/>
        <w:snapToGrid/>
        <w:spacing w:before="0" w:line="520" w:lineRule="exact"/>
        <w:ind w:left="0" w:firstLine="480" w:firstLineChars="200"/>
        <w:rPr>
          <w:rFonts w:hint="default"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（6）</w:t>
      </w:r>
      <w:r>
        <w:rPr>
          <w:rFonts w:hint="default" w:asciiTheme="minorEastAsia" w:hAnsiTheme="minorEastAsia" w:eastAsiaTheme="minorEastAsia" w:cstheme="minorEastAsia"/>
          <w:b w:val="0"/>
          <w:bCs w:val="0"/>
          <w:color w:val="auto"/>
          <w:kern w:val="2"/>
          <w:sz w:val="24"/>
          <w:szCs w:val="24"/>
          <w:highlight w:val="none"/>
          <w:shd w:val="clear"/>
          <w:lang w:val="en-US" w:eastAsia="zh-CN"/>
        </w:rPr>
        <w:t>通过“信用中国”网（www.creditchina.gov.cn）或中国政府采购网（www.ccgp.gov.cn）信用信息查询无严重违法失信行为信息记录的打印件（或截图）</w:t>
      </w:r>
    </w:p>
    <w:p w14:paraId="2198D5CD">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如法定代表人无法亲自到现场办理竞价手续的，应提供《授权委托书》原件和委托代理人身份证复印件。</w:t>
      </w:r>
    </w:p>
    <w:p w14:paraId="194A4450">
      <w:pPr>
        <w:widowControl/>
        <w:shd w:val="clear"/>
        <w:snapToGrid/>
        <w:spacing w:before="0" w:line="520" w:lineRule="exact"/>
        <w:ind w:left="0" w:firstLine="480" w:firstLineChars="200"/>
        <w:rPr>
          <w:rFonts w:hint="eastAsia" w:asciiTheme="minorEastAsia" w:hAnsiTheme="minorEastAsia" w:eastAsiaTheme="minorEastAsia" w:cstheme="minorEastAsia"/>
          <w:b/>
          <w:bCs/>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以上材料复印件需加盖公章。</w:t>
      </w:r>
    </w:p>
    <w:p w14:paraId="47FE2E49">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2.报名方式</w:t>
      </w:r>
    </w:p>
    <w:p w14:paraId="31A5D44E">
      <w:pPr>
        <w:widowControl/>
        <w:shd w:val="clear"/>
        <w:snapToGrid/>
        <w:spacing w:before="0" w:line="520" w:lineRule="exact"/>
        <w:ind w:firstLine="482" w:firstLineChars="200"/>
        <w:rPr>
          <w:rFonts w:hint="eastAsia" w:asciiTheme="minorEastAsia" w:hAnsiTheme="minorEastAsia" w:eastAsiaTheme="minorEastAsia" w:cstheme="minorEastAsia"/>
          <w:b/>
          <w:bCs/>
          <w:color w:val="auto"/>
          <w:kern w:val="2"/>
          <w:sz w:val="24"/>
          <w:szCs w:val="24"/>
          <w:shd w:val="clear"/>
        </w:rPr>
      </w:pPr>
      <w:r>
        <w:rPr>
          <w:rFonts w:hint="eastAsia" w:asciiTheme="minorEastAsia" w:hAnsiTheme="minorEastAsia" w:eastAsiaTheme="minorEastAsia" w:cstheme="minorEastAsia"/>
          <w:b/>
          <w:bCs/>
          <w:color w:val="auto"/>
          <w:kern w:val="2"/>
          <w:sz w:val="24"/>
          <w:szCs w:val="24"/>
          <w:shd w:val="clear"/>
        </w:rPr>
        <w:t>参与本次竞价会的竞价人须在规定时间前缴纳竞价保证金，登录连城县招标投标交易平台办理竞价登记手续并需支付平台使用费100元，并将报名资料上传至交易平台（https://lcyjy.enjoy5191.com/home）。若因系统原因无法上传报名材料，可通过现场递交或邮件（邮箱地址:lccqjyw20251@163.com）的方式提交。</w:t>
      </w:r>
    </w:p>
    <w:p w14:paraId="220F2871">
      <w:pPr>
        <w:widowControl/>
        <w:shd w:val="clear"/>
        <w:snapToGrid/>
        <w:spacing w:before="0"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3.</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应自行至连城县招标投标交易平台网站学习竞价流程，注册竞价系统账号并在报名截止时间之前登录竞价系统申请竞价，根据流程上传相关资料，若有疑问应及时咨询本公司业务部门；由于</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竞价材料未按时提交、或者竞价申请未按时提交而导致本公司无法进行资格审核、或者竞价账号未注册或者未激活的，均视为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放弃本次竞价报名。</w:t>
      </w:r>
    </w:p>
    <w:p w14:paraId="7F1E4B94">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4.如委托人撤回竞价标的，</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已经交保证金的，保证金即予无息退还，</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对此不得有异议，且本公司不对</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承担任何损失，此是</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参与本次竞价的先决条件。</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一旦报名成功，即视为同意本公司的前述免责内容。</w:t>
      </w:r>
    </w:p>
    <w:p w14:paraId="7D5310F8">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六、竞价程序</w:t>
      </w:r>
    </w:p>
    <w:p w14:paraId="00B7D20D">
      <w:pPr>
        <w:keepNext w:val="0"/>
        <w:keepLines w:val="0"/>
        <w:pageBreakBefore w:val="0"/>
        <w:widowControl/>
        <w:kinsoku/>
        <w:wordWrap/>
        <w:topLinePunct w:val="0"/>
        <w:bidi w:val="0"/>
        <w:spacing w:line="360" w:lineRule="auto"/>
        <w:ind w:left="0" w:firstLine="480" w:firstLineChars="200"/>
        <w:jc w:val="left"/>
        <w:textAlignment w:val="top"/>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1.</w:t>
      </w:r>
      <w:r>
        <w:rPr>
          <w:rFonts w:hint="eastAsia" w:asciiTheme="minorEastAsia" w:hAnsiTheme="minorEastAsia" w:eastAsiaTheme="minorEastAsia" w:cstheme="minorEastAsia"/>
          <w:color w:val="auto"/>
          <w:sz w:val="24"/>
          <w:szCs w:val="24"/>
        </w:rPr>
        <w:t>本场竞价</w:t>
      </w:r>
      <w:r>
        <w:rPr>
          <w:rFonts w:hint="eastAsia" w:asciiTheme="minorEastAsia" w:hAnsiTheme="minorEastAsia" w:eastAsiaTheme="minorEastAsia" w:cstheme="minorEastAsia"/>
          <w:color w:val="auto"/>
          <w:sz w:val="24"/>
          <w:szCs w:val="24"/>
          <w:lang w:eastAsia="zh-CN"/>
        </w:rPr>
        <w:t>须三家及以上竞价人在规定时间内参与竞价，如果在规定时间内参与竞价的竞价人不足三家，则按流标处理</w:t>
      </w:r>
      <w:r>
        <w:rPr>
          <w:rFonts w:hint="eastAsia" w:asciiTheme="minorEastAsia" w:hAnsiTheme="minorEastAsia" w:eastAsiaTheme="minorEastAsia" w:cstheme="minorEastAsia"/>
          <w:color w:val="auto"/>
          <w:sz w:val="24"/>
          <w:szCs w:val="24"/>
        </w:rPr>
        <w:t>，竞价人不得有异议。</w:t>
      </w:r>
    </w:p>
    <w:p w14:paraId="3CF31C5A">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2.意向竞价人应至连城县招标投标交易平台注册用户名，并于报名截止时间前至本公司办理报名竞价手续，登录到连城县招标投标交易平台申请参与本场竞价。</w:t>
      </w:r>
    </w:p>
    <w:p w14:paraId="10EF8A3D">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lang w:val="en-US" w:eastAsia="zh-CN"/>
        </w:rPr>
        <w:t>3</w:t>
      </w:r>
      <w:r>
        <w:rPr>
          <w:rFonts w:hint="eastAsia" w:asciiTheme="minorEastAsia" w:hAnsiTheme="minorEastAsia" w:eastAsiaTheme="minorEastAsia" w:cstheme="minorEastAsia"/>
          <w:color w:val="auto"/>
          <w:kern w:val="2"/>
          <w:sz w:val="24"/>
          <w:szCs w:val="24"/>
          <w:shd w:val="clear"/>
        </w:rPr>
        <w:t>.</w:t>
      </w:r>
      <w:r>
        <w:rPr>
          <w:rFonts w:hint="eastAsia" w:ascii="新宋体" w:hAnsi="新宋体" w:eastAsia="新宋体" w:cs="新宋体"/>
          <w:color w:val="auto"/>
          <w:kern w:val="2"/>
          <w:sz w:val="24"/>
          <w:szCs w:val="24"/>
          <w:highlight w:val="none"/>
          <w:shd w:val="clear"/>
        </w:rPr>
        <w:t>本次公开竞价采用“连城县招标投标交易平台(https://lcyjy.enjoy5191.com/home )”</w:t>
      </w:r>
      <w:r>
        <w:rPr>
          <w:rFonts w:hint="eastAsia" w:ascii="新宋体" w:hAnsi="新宋体" w:eastAsia="新宋体" w:cs="新宋体"/>
          <w:color w:val="auto"/>
          <w:kern w:val="2"/>
          <w:sz w:val="24"/>
          <w:szCs w:val="24"/>
          <w:highlight w:val="none"/>
          <w:shd w:val="clear"/>
          <w:lang w:eastAsia="zh-CN"/>
        </w:rPr>
        <w:t>网络</w:t>
      </w:r>
      <w:r>
        <w:rPr>
          <w:rFonts w:hint="eastAsia" w:ascii="新宋体" w:hAnsi="新宋体" w:eastAsia="新宋体" w:cs="新宋体"/>
          <w:color w:val="auto"/>
          <w:kern w:val="2"/>
          <w:sz w:val="24"/>
          <w:szCs w:val="24"/>
          <w:highlight w:val="none"/>
          <w:shd w:val="clear"/>
          <w:lang w:val="en-US" w:eastAsia="zh-CN"/>
        </w:rPr>
        <w:t>反</w:t>
      </w:r>
      <w:r>
        <w:rPr>
          <w:rFonts w:hint="eastAsia" w:ascii="新宋体" w:hAnsi="新宋体" w:eastAsia="新宋体" w:cs="新宋体"/>
          <w:color w:val="auto"/>
          <w:kern w:val="2"/>
          <w:sz w:val="24"/>
          <w:szCs w:val="24"/>
          <w:highlight w:val="none"/>
          <w:shd w:val="clear"/>
          <w:lang w:eastAsia="zh-CN"/>
        </w:rPr>
        <w:t>向一次性报价</w:t>
      </w:r>
      <w:r>
        <w:rPr>
          <w:rFonts w:hint="eastAsia" w:ascii="新宋体" w:hAnsi="新宋体" w:eastAsia="新宋体" w:cs="新宋体"/>
          <w:color w:val="auto"/>
          <w:kern w:val="2"/>
          <w:sz w:val="24"/>
          <w:szCs w:val="24"/>
          <w:highlight w:val="none"/>
          <w:shd w:val="clear"/>
        </w:rPr>
        <w:t>、</w:t>
      </w:r>
      <w:r>
        <w:rPr>
          <w:rFonts w:hint="eastAsia" w:ascii="新宋体" w:hAnsi="新宋体" w:eastAsia="新宋体" w:cs="新宋体"/>
          <w:b/>
          <w:bCs/>
          <w:color w:val="auto"/>
          <w:kern w:val="2"/>
          <w:sz w:val="24"/>
          <w:szCs w:val="24"/>
          <w:highlight w:val="none"/>
          <w:shd w:val="clear"/>
          <w:lang w:val="en-US" w:eastAsia="zh-CN"/>
        </w:rPr>
        <w:t>价低者</w:t>
      </w:r>
      <w:r>
        <w:rPr>
          <w:rFonts w:hint="eastAsia" w:ascii="新宋体" w:hAnsi="新宋体" w:eastAsia="新宋体" w:cs="新宋体"/>
          <w:color w:val="auto"/>
          <w:kern w:val="2"/>
          <w:sz w:val="24"/>
          <w:szCs w:val="24"/>
          <w:highlight w:val="none"/>
          <w:shd w:val="clear"/>
        </w:rPr>
        <w:t>得的交易方式，以“价格优先，时间优先”（即同等价格时，以报价时间优先）确定本次竞价标的的成交人。竞价人以</w:t>
      </w:r>
      <w:r>
        <w:rPr>
          <w:rFonts w:hint="eastAsia" w:ascii="宋体" w:hAnsi="宋体" w:cs="宋体"/>
          <w:b/>
          <w:bCs/>
          <w:color w:val="auto"/>
          <w:kern w:val="2"/>
          <w:sz w:val="24"/>
          <w:szCs w:val="24"/>
          <w:u w:val="none"/>
          <w:lang w:val="en-US" w:eastAsia="zh-CN" w:bidi="ar-SA"/>
        </w:rPr>
        <w:t>总价形式</w:t>
      </w:r>
      <w:r>
        <w:rPr>
          <w:rFonts w:hint="eastAsia" w:ascii="新宋体" w:hAnsi="新宋体" w:eastAsia="新宋体" w:cs="新宋体"/>
          <w:color w:val="auto"/>
          <w:kern w:val="2"/>
          <w:sz w:val="24"/>
          <w:szCs w:val="24"/>
          <w:highlight w:val="none"/>
          <w:shd w:val="clear"/>
        </w:rPr>
        <w:t>进行报价，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05CB07BF">
      <w:pPr>
        <w:widowControl/>
        <w:shd w:val="clear"/>
        <w:snapToGrid/>
        <w:spacing w:before="0" w:line="520" w:lineRule="exact"/>
        <w:ind w:left="0" w:firstLine="482" w:firstLineChars="200"/>
        <w:rPr>
          <w:rFonts w:hint="eastAsia" w:ascii="新宋体" w:hAnsi="新宋体" w:eastAsia="新宋体" w:cs="新宋体"/>
          <w:color w:val="auto"/>
          <w:sz w:val="24"/>
          <w:szCs w:val="24"/>
        </w:rPr>
      </w:pPr>
      <w:r>
        <w:rPr>
          <w:rFonts w:hint="eastAsia" w:ascii="新宋体" w:hAnsi="新宋体" w:eastAsia="新宋体" w:cs="新宋体"/>
          <w:b/>
          <w:bCs/>
          <w:color w:val="auto"/>
          <w:kern w:val="2"/>
          <w:sz w:val="24"/>
          <w:szCs w:val="24"/>
          <w:highlight w:val="none"/>
          <w:shd w:val="clear"/>
          <w:lang w:val="en-US" w:eastAsia="zh-CN"/>
        </w:rPr>
        <w:t>4</w:t>
      </w:r>
      <w:r>
        <w:rPr>
          <w:rFonts w:hint="eastAsia" w:ascii="新宋体" w:hAnsi="新宋体" w:eastAsia="新宋体" w:cs="新宋体"/>
          <w:b/>
          <w:bCs/>
          <w:color w:val="auto"/>
          <w:kern w:val="2"/>
          <w:sz w:val="24"/>
          <w:szCs w:val="24"/>
          <w:highlight w:val="none"/>
          <w:shd w:val="clear"/>
        </w:rPr>
        <w:t>.</w:t>
      </w:r>
      <w:r>
        <w:rPr>
          <w:rFonts w:hint="eastAsia" w:ascii="宋体" w:hAnsi="宋体" w:eastAsia="宋体" w:cs="宋体"/>
          <w:b/>
          <w:bCs/>
          <w:color w:val="auto"/>
          <w:kern w:val="2"/>
          <w:sz w:val="24"/>
          <w:szCs w:val="24"/>
          <w:shd w:val="clear"/>
          <w:lang w:eastAsia="zh-CN"/>
        </w:rPr>
        <w:t>竞价人</w:t>
      </w:r>
      <w:r>
        <w:rPr>
          <w:rFonts w:hint="eastAsia" w:ascii="宋体" w:hAnsi="宋体" w:eastAsia="宋体" w:cs="宋体"/>
          <w:b/>
          <w:bCs/>
          <w:color w:val="auto"/>
          <w:kern w:val="2"/>
          <w:sz w:val="24"/>
          <w:szCs w:val="24"/>
          <w:shd w:val="clear"/>
        </w:rPr>
        <w:t>应以</w:t>
      </w:r>
      <w:r>
        <w:rPr>
          <w:rFonts w:hint="eastAsia" w:ascii="宋体" w:hAnsi="宋体" w:cs="宋体"/>
          <w:b/>
          <w:bCs/>
          <w:color w:val="auto"/>
          <w:kern w:val="2"/>
          <w:sz w:val="24"/>
          <w:szCs w:val="24"/>
          <w:u w:val="none"/>
          <w:lang w:val="en-US" w:eastAsia="zh-CN" w:bidi="ar-SA"/>
        </w:rPr>
        <w:t>总价形式</w:t>
      </w:r>
      <w:r>
        <w:rPr>
          <w:rFonts w:hint="eastAsia" w:ascii="宋体" w:hAnsi="宋体" w:eastAsia="宋体" w:cs="宋体"/>
          <w:b/>
          <w:bCs/>
          <w:color w:val="auto"/>
          <w:kern w:val="2"/>
          <w:sz w:val="24"/>
          <w:szCs w:val="24"/>
          <w:shd w:val="clear"/>
        </w:rPr>
        <w:t>进行报价</w:t>
      </w:r>
      <w:r>
        <w:rPr>
          <w:rFonts w:hint="eastAsia" w:asciiTheme="minorEastAsia" w:hAnsiTheme="minorEastAsia" w:eastAsiaTheme="minorEastAsia" w:cstheme="minorEastAsia"/>
          <w:b/>
          <w:bCs/>
          <w:color w:val="auto"/>
          <w:kern w:val="2"/>
          <w:sz w:val="24"/>
          <w:szCs w:val="24"/>
          <w:shd w:val="clear"/>
        </w:rPr>
        <w:t>，竞价系统设置的价格</w:t>
      </w:r>
      <w:r>
        <w:rPr>
          <w:rFonts w:hint="eastAsia" w:asciiTheme="minorEastAsia" w:hAnsiTheme="minorEastAsia" w:eastAsiaTheme="minorEastAsia" w:cstheme="minorEastAsia"/>
          <w:b/>
          <w:bCs/>
          <w:color w:val="auto"/>
          <w:kern w:val="2"/>
          <w:sz w:val="24"/>
          <w:szCs w:val="24"/>
          <w:shd w:val="clear"/>
          <w:lang w:val="en-US" w:eastAsia="zh-CN"/>
        </w:rPr>
        <w:t>25100元</w:t>
      </w:r>
      <w:r>
        <w:rPr>
          <w:rFonts w:hint="eastAsia" w:asciiTheme="minorEastAsia" w:hAnsiTheme="minorEastAsia" w:eastAsiaTheme="minorEastAsia" w:cstheme="minorEastAsia"/>
          <w:b/>
          <w:bCs/>
          <w:color w:val="auto"/>
          <w:kern w:val="2"/>
          <w:sz w:val="24"/>
          <w:szCs w:val="24"/>
          <w:shd w:val="clear"/>
        </w:rPr>
        <w:t>表示</w:t>
      </w:r>
      <w:r>
        <w:rPr>
          <w:rFonts w:hint="eastAsia" w:asciiTheme="minorEastAsia" w:hAnsiTheme="minorEastAsia" w:eastAsiaTheme="minorEastAsia" w:cstheme="minorEastAsia"/>
          <w:b/>
          <w:bCs/>
          <w:color w:val="auto"/>
          <w:kern w:val="2"/>
          <w:sz w:val="24"/>
          <w:szCs w:val="24"/>
          <w:shd w:val="clear"/>
          <w:lang w:val="en-US" w:eastAsia="zh-CN"/>
        </w:rPr>
        <w:t>最高限价</w:t>
      </w:r>
      <w:r>
        <w:rPr>
          <w:rFonts w:hint="eastAsia" w:asciiTheme="minorEastAsia" w:hAnsiTheme="minorEastAsia" w:eastAsiaTheme="minorEastAsia" w:cstheme="minorEastAsia"/>
          <w:b/>
          <w:bCs/>
          <w:color w:val="auto"/>
          <w:kern w:val="2"/>
          <w:sz w:val="24"/>
          <w:szCs w:val="24"/>
          <w:shd w:val="clear"/>
        </w:rPr>
        <w:t>为</w:t>
      </w:r>
      <w:r>
        <w:rPr>
          <w:rFonts w:hint="eastAsia" w:asciiTheme="minorEastAsia" w:hAnsiTheme="minorEastAsia" w:eastAsiaTheme="minorEastAsia" w:cstheme="minorEastAsia"/>
          <w:b/>
          <w:bCs/>
          <w:color w:val="auto"/>
          <w:kern w:val="2"/>
          <w:sz w:val="24"/>
          <w:szCs w:val="24"/>
          <w:shd w:val="clear"/>
          <w:lang w:val="en-US" w:eastAsia="zh-CN"/>
        </w:rPr>
        <w:t>人民币25100元</w:t>
      </w:r>
      <w:r>
        <w:rPr>
          <w:rFonts w:hint="eastAsia" w:asciiTheme="minorEastAsia" w:hAnsiTheme="minorEastAsia" w:eastAsiaTheme="minorEastAsia" w:cstheme="minorEastAsia"/>
          <w:b/>
          <w:bCs/>
          <w:color w:val="auto"/>
          <w:kern w:val="2"/>
          <w:sz w:val="24"/>
          <w:szCs w:val="24"/>
          <w:shd w:val="clear"/>
        </w:rPr>
        <w:t>，</w:t>
      </w:r>
      <w:r>
        <w:rPr>
          <w:rFonts w:hint="eastAsia" w:asciiTheme="minorEastAsia" w:hAnsiTheme="minorEastAsia" w:eastAsiaTheme="minorEastAsia" w:cstheme="minorEastAsia"/>
          <w:b/>
          <w:bCs/>
          <w:color w:val="auto"/>
          <w:kern w:val="2"/>
          <w:sz w:val="24"/>
          <w:szCs w:val="24"/>
          <w:shd w:val="clear"/>
          <w:lang w:eastAsia="zh-CN"/>
        </w:rPr>
        <w:t>竞价人</w:t>
      </w:r>
      <w:r>
        <w:rPr>
          <w:rFonts w:hint="eastAsia" w:asciiTheme="minorEastAsia" w:hAnsiTheme="minorEastAsia" w:eastAsiaTheme="minorEastAsia" w:cstheme="minorEastAsia"/>
          <w:b/>
          <w:bCs/>
          <w:color w:val="auto"/>
          <w:kern w:val="2"/>
          <w:sz w:val="24"/>
          <w:szCs w:val="24"/>
          <w:shd w:val="clear"/>
        </w:rPr>
        <w:t>在竞价系统填报</w:t>
      </w:r>
      <w:r>
        <w:rPr>
          <w:rFonts w:hint="eastAsia" w:asciiTheme="minorEastAsia" w:hAnsiTheme="minorEastAsia" w:eastAsiaTheme="minorEastAsia" w:cstheme="minorEastAsia"/>
          <w:b/>
          <w:bCs/>
          <w:color w:val="auto"/>
          <w:kern w:val="2"/>
          <w:sz w:val="24"/>
          <w:szCs w:val="24"/>
          <w:shd w:val="clear"/>
          <w:lang w:val="en-US" w:eastAsia="zh-CN"/>
        </w:rPr>
        <w:t>价格高</w:t>
      </w:r>
      <w:r>
        <w:rPr>
          <w:rFonts w:hint="eastAsia" w:asciiTheme="minorEastAsia" w:hAnsiTheme="minorEastAsia" w:eastAsiaTheme="minorEastAsia" w:cstheme="minorEastAsia"/>
          <w:b/>
          <w:bCs/>
          <w:color w:val="auto"/>
          <w:kern w:val="2"/>
          <w:sz w:val="24"/>
          <w:szCs w:val="24"/>
          <w:shd w:val="clear"/>
        </w:rPr>
        <w:t>于</w:t>
      </w:r>
      <w:r>
        <w:rPr>
          <w:rFonts w:hint="eastAsia" w:asciiTheme="minorEastAsia" w:hAnsiTheme="minorEastAsia" w:eastAsiaTheme="minorEastAsia" w:cstheme="minorEastAsia"/>
          <w:b/>
          <w:bCs/>
          <w:color w:val="auto"/>
          <w:kern w:val="2"/>
          <w:sz w:val="24"/>
          <w:szCs w:val="24"/>
          <w:shd w:val="clear"/>
          <w:lang w:val="en-US" w:eastAsia="zh-CN"/>
        </w:rPr>
        <w:t>25100元</w:t>
      </w:r>
      <w:r>
        <w:rPr>
          <w:rFonts w:hint="eastAsia" w:asciiTheme="minorEastAsia" w:hAnsiTheme="minorEastAsia" w:eastAsiaTheme="minorEastAsia" w:cstheme="minorEastAsia"/>
          <w:b/>
          <w:bCs/>
          <w:color w:val="auto"/>
          <w:kern w:val="2"/>
          <w:sz w:val="24"/>
          <w:szCs w:val="24"/>
          <w:shd w:val="clear"/>
        </w:rPr>
        <w:t>为无效报价</w:t>
      </w:r>
      <w:r>
        <w:rPr>
          <w:rFonts w:hint="eastAsia" w:asciiTheme="minorEastAsia" w:hAnsiTheme="minorEastAsia" w:eastAsiaTheme="minorEastAsia" w:cstheme="minorEastAsia"/>
          <w:b/>
          <w:bCs/>
          <w:color w:val="auto"/>
          <w:kern w:val="2"/>
          <w:sz w:val="24"/>
          <w:szCs w:val="24"/>
          <w:shd w:val="clear"/>
          <w:lang w:eastAsia="zh-CN"/>
        </w:rPr>
        <w:t>，</w:t>
      </w:r>
      <w:r>
        <w:rPr>
          <w:rFonts w:hint="eastAsia" w:asciiTheme="minorEastAsia" w:hAnsiTheme="minorEastAsia" w:eastAsiaTheme="minorEastAsia" w:cstheme="minorEastAsia"/>
          <w:b/>
          <w:bCs/>
          <w:color w:val="auto"/>
          <w:kern w:val="2"/>
          <w:sz w:val="24"/>
          <w:szCs w:val="24"/>
          <w:shd w:val="clear"/>
        </w:rPr>
        <w:t>填报</w:t>
      </w:r>
      <w:r>
        <w:rPr>
          <w:rFonts w:hint="eastAsia" w:asciiTheme="minorEastAsia" w:hAnsiTheme="minorEastAsia" w:eastAsiaTheme="minorEastAsia" w:cstheme="minorEastAsia"/>
          <w:b/>
          <w:bCs/>
          <w:color w:val="auto"/>
          <w:kern w:val="2"/>
          <w:sz w:val="24"/>
          <w:szCs w:val="24"/>
          <w:shd w:val="clear"/>
          <w:lang w:val="en-US" w:eastAsia="zh-CN"/>
        </w:rPr>
        <w:t>总价最低的</w:t>
      </w:r>
      <w:r>
        <w:rPr>
          <w:rFonts w:hint="eastAsia" w:asciiTheme="minorEastAsia" w:hAnsiTheme="minorEastAsia" w:eastAsiaTheme="minorEastAsia" w:cstheme="minorEastAsia"/>
          <w:b/>
          <w:bCs/>
          <w:color w:val="auto"/>
          <w:kern w:val="2"/>
          <w:sz w:val="24"/>
          <w:szCs w:val="24"/>
          <w:shd w:val="clear"/>
          <w:lang w:eastAsia="zh-CN"/>
        </w:rPr>
        <w:t>竞价人</w:t>
      </w:r>
      <w:r>
        <w:rPr>
          <w:rFonts w:hint="eastAsia" w:asciiTheme="minorEastAsia" w:hAnsiTheme="minorEastAsia" w:eastAsiaTheme="minorEastAsia" w:cstheme="minorEastAsia"/>
          <w:b/>
          <w:bCs/>
          <w:color w:val="auto"/>
          <w:kern w:val="2"/>
          <w:sz w:val="24"/>
          <w:szCs w:val="24"/>
          <w:shd w:val="clear"/>
        </w:rPr>
        <w:t>作为本项目成交人。</w:t>
      </w:r>
    </w:p>
    <w:p w14:paraId="485EB661">
      <w:pPr>
        <w:widowControl/>
        <w:shd w:val="clear"/>
        <w:snapToGrid/>
        <w:spacing w:before="0" w:line="520" w:lineRule="exact"/>
        <w:ind w:left="0" w:firstLine="480" w:firstLineChars="200"/>
        <w:rPr>
          <w:rFonts w:hint="eastAsia" w:ascii="新宋体" w:hAnsi="新宋体" w:eastAsia="新宋体" w:cs="新宋体"/>
          <w:color w:val="auto"/>
          <w:sz w:val="24"/>
          <w:szCs w:val="24"/>
          <w:highlight w:val="none"/>
        </w:rPr>
      </w:pPr>
      <w:r>
        <w:rPr>
          <w:rFonts w:hint="eastAsia" w:ascii="新宋体" w:hAnsi="新宋体" w:eastAsia="新宋体" w:cs="新宋体"/>
          <w:color w:val="auto"/>
          <w:kern w:val="2"/>
          <w:sz w:val="24"/>
          <w:szCs w:val="24"/>
          <w:highlight w:val="none"/>
          <w:shd w:val="clear"/>
          <w:lang w:val="en-US" w:eastAsia="zh-CN"/>
        </w:rPr>
        <w:t>5</w:t>
      </w:r>
      <w:r>
        <w:rPr>
          <w:rFonts w:hint="eastAsia" w:ascii="新宋体" w:hAnsi="新宋体" w:eastAsia="新宋体" w:cs="新宋体"/>
          <w:color w:val="auto"/>
          <w:kern w:val="2"/>
          <w:sz w:val="24"/>
          <w:szCs w:val="24"/>
          <w:highlight w:val="none"/>
          <w:shd w:val="clear"/>
        </w:rPr>
        <w:t>.特别提示：</w:t>
      </w:r>
      <w:r>
        <w:rPr>
          <w:rFonts w:hint="eastAsia" w:ascii="新宋体" w:hAnsi="新宋体" w:eastAsia="新宋体" w:cs="新宋体"/>
          <w:color w:val="auto"/>
          <w:kern w:val="2"/>
          <w:sz w:val="24"/>
          <w:szCs w:val="24"/>
          <w:highlight w:val="none"/>
          <w:shd w:val="clear"/>
          <w:lang w:val="en-US" w:eastAsia="zh-CN"/>
        </w:rPr>
        <w:t>标的的合格竞价人,应</w:t>
      </w:r>
      <w:r>
        <w:rPr>
          <w:rFonts w:hint="eastAsia" w:asciiTheme="minorEastAsia" w:hAnsiTheme="minorEastAsia" w:eastAsiaTheme="minorEastAsia" w:cstheme="minorEastAsia"/>
          <w:b/>
          <w:bCs/>
          <w:color w:val="auto"/>
          <w:kern w:val="2"/>
          <w:sz w:val="24"/>
          <w:szCs w:val="24"/>
          <w:shd w:val="clear"/>
          <w:lang w:val="en-US" w:eastAsia="zh-CN"/>
        </w:rPr>
        <w:t>在规定的报价区间</w:t>
      </w:r>
      <w:r>
        <w:rPr>
          <w:rFonts w:hint="eastAsia" w:ascii="新宋体" w:hAnsi="新宋体" w:eastAsia="新宋体" w:cs="新宋体"/>
          <w:color w:val="auto"/>
          <w:kern w:val="2"/>
          <w:sz w:val="24"/>
          <w:szCs w:val="24"/>
          <w:highlight w:val="none"/>
          <w:shd w:val="clear"/>
          <w:lang w:val="en-US" w:eastAsia="zh-CN"/>
        </w:rPr>
        <w:t>进行报价，同时成交人应签署《竞价结果通知书》等相关文件，否则视同为违约。</w:t>
      </w:r>
    </w:p>
    <w:p w14:paraId="789D0F97">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lang w:val="en-US" w:eastAsia="zh-CN"/>
        </w:rPr>
        <w:t>6</w:t>
      </w:r>
      <w:r>
        <w:rPr>
          <w:rFonts w:hint="eastAsia" w:asciiTheme="minorEastAsia" w:hAnsiTheme="minorEastAsia" w:eastAsiaTheme="minorEastAsia" w:cstheme="minorEastAsia"/>
          <w:color w:val="auto"/>
          <w:kern w:val="2"/>
          <w:sz w:val="24"/>
          <w:szCs w:val="24"/>
          <w:shd w:val="clear"/>
        </w:rPr>
        <w:t>.本公司有权就竞价时间做出调整，如有调整将在本公司网站进行公告。</w:t>
      </w:r>
    </w:p>
    <w:p w14:paraId="215F11C1">
      <w:pPr>
        <w:snapToGrid/>
        <w:spacing w:line="520" w:lineRule="exact"/>
        <w:ind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shd w:val="clear"/>
        </w:rPr>
        <w:t>七、</w:t>
      </w:r>
      <w:r>
        <w:rPr>
          <w:rFonts w:hint="eastAsia" w:asciiTheme="minorEastAsia" w:hAnsiTheme="minorEastAsia" w:eastAsiaTheme="minorEastAsia" w:cstheme="minorEastAsia"/>
          <w:b/>
          <w:bCs/>
          <w:color w:val="auto"/>
          <w:sz w:val="24"/>
          <w:szCs w:val="24"/>
          <w:shd w:val="clear"/>
          <w:lang w:val="en-US" w:eastAsia="zh-CN"/>
        </w:rPr>
        <w:t>招标代理</w:t>
      </w:r>
      <w:r>
        <w:rPr>
          <w:rFonts w:hint="eastAsia" w:asciiTheme="minorEastAsia" w:hAnsiTheme="minorEastAsia" w:eastAsiaTheme="minorEastAsia" w:cstheme="minorEastAsia"/>
          <w:b/>
          <w:bCs/>
          <w:color w:val="auto"/>
          <w:sz w:val="24"/>
          <w:szCs w:val="24"/>
          <w:shd w:val="clear"/>
        </w:rPr>
        <w:t>服务费</w:t>
      </w:r>
    </w:p>
    <w:p w14:paraId="54001F44">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竞价成交后，向成交人（或中标人）收取代理服务费。代理服务费以成交价（或中标价）为基数乘以1.5%计费。当成交（或中标）金额低于3万元时，代理费按实际金额计收；成交（或中标）金额大于等于3万元且代理费不足3000元时，按3000元收取。</w:t>
      </w:r>
    </w:p>
    <w:p w14:paraId="5048F0D1">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代理服务费直接由本公司从成交人缴纳的竞价保证金中扣收，不足的，成交人必须在成交之日起2个工作日内补齐。代理服务费未按期付清的，视成交人根本违约，竞价保证金不予退回。</w:t>
      </w:r>
    </w:p>
    <w:p w14:paraId="3AC4EC51">
      <w:pPr>
        <w:widowControl/>
        <w:shd w:val="clear"/>
        <w:snapToGrid/>
        <w:spacing w:before="0" w:line="520" w:lineRule="exact"/>
        <w:ind w:left="0" w:firstLine="482" w:firstLineChars="200"/>
        <w:rPr>
          <w:rFonts w:hint="default" w:asciiTheme="minorEastAsia" w:hAnsiTheme="minorEastAsia" w:eastAsiaTheme="minorEastAsia" w:cstheme="minorEastAsia"/>
          <w:b/>
          <w:bCs/>
          <w:color w:val="auto"/>
          <w:kern w:val="2"/>
          <w:sz w:val="24"/>
          <w:szCs w:val="24"/>
          <w:shd w:val="clear"/>
          <w:lang w:val="en-US" w:eastAsia="zh-CN"/>
        </w:rPr>
      </w:pPr>
      <w:r>
        <w:rPr>
          <w:rFonts w:hint="eastAsia" w:asciiTheme="minorEastAsia" w:hAnsiTheme="minorEastAsia" w:eastAsiaTheme="minorEastAsia" w:cstheme="minorEastAsia"/>
          <w:b/>
          <w:bCs/>
          <w:color w:val="auto"/>
          <w:kern w:val="2"/>
          <w:sz w:val="24"/>
          <w:szCs w:val="24"/>
          <w:shd w:val="clear"/>
        </w:rPr>
        <w:t>八、税费承担</w:t>
      </w:r>
    </w:p>
    <w:p w14:paraId="36058118">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1.竞价人自行承担参加竞价会有关的全部费用（包括但不限于差旅费、邮寄费、资料费等）。</w:t>
      </w:r>
    </w:p>
    <w:p w14:paraId="66239C34">
      <w:pPr>
        <w:widowControl/>
        <w:shd w:val="clear"/>
        <w:snapToGrid/>
        <w:spacing w:before="0" w:line="520" w:lineRule="exact"/>
        <w:ind w:left="0" w:firstLine="480" w:firstLineChars="200"/>
        <w:rPr>
          <w:rFonts w:hint="eastAsia" w:asciiTheme="minorEastAsia" w:hAnsiTheme="minorEastAsia" w:eastAsiaTheme="minorEastAsia" w:cstheme="minorEastAsia"/>
          <w:b/>
          <w:bCs/>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lang w:val="en-US" w:eastAsia="zh-CN" w:bidi="ar-SA"/>
        </w:rPr>
        <w:t xml:space="preserve"> 2.成交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76021D68">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lang w:val="en-US" w:eastAsia="zh-CN"/>
        </w:rPr>
        <w:t>九</w:t>
      </w:r>
      <w:r>
        <w:rPr>
          <w:rFonts w:hint="eastAsia" w:asciiTheme="minorEastAsia" w:hAnsiTheme="minorEastAsia" w:eastAsiaTheme="minorEastAsia" w:cstheme="minorEastAsia"/>
          <w:b/>
          <w:bCs/>
          <w:color w:val="auto"/>
          <w:kern w:val="2"/>
          <w:sz w:val="24"/>
          <w:szCs w:val="24"/>
          <w:shd w:val="clear"/>
        </w:rPr>
        <w:t>、违约责任</w:t>
      </w:r>
    </w:p>
    <w:p w14:paraId="44E8FB52">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成交人应价后反悔的，或不即时签订</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kern w:val="2"/>
          <w:sz w:val="24"/>
          <w:szCs w:val="24"/>
          <w:shd w:val="clear"/>
        </w:rPr>
        <w:t>竞价结果通知书</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kern w:val="2"/>
          <w:sz w:val="24"/>
          <w:szCs w:val="24"/>
          <w:shd w:val="clear"/>
        </w:rPr>
        <w:t>，或逾期未缴纳</w:t>
      </w:r>
      <w:r>
        <w:rPr>
          <w:rFonts w:hint="eastAsia" w:asciiTheme="minorEastAsia" w:hAnsiTheme="minorEastAsia" w:eastAsiaTheme="minorEastAsia" w:cstheme="minorEastAsia"/>
          <w:color w:val="auto"/>
          <w:kern w:val="2"/>
          <w:sz w:val="24"/>
          <w:szCs w:val="24"/>
          <w:shd w:val="clear"/>
          <w:lang w:val="en-US" w:eastAsia="zh-CN"/>
        </w:rPr>
        <w:t>招标代理</w:t>
      </w:r>
      <w:r>
        <w:rPr>
          <w:rFonts w:hint="eastAsia" w:asciiTheme="minorEastAsia" w:hAnsiTheme="minorEastAsia" w:eastAsiaTheme="minorEastAsia" w:cstheme="minorEastAsia"/>
          <w:color w:val="auto"/>
          <w:kern w:val="2"/>
          <w:sz w:val="24"/>
          <w:szCs w:val="24"/>
          <w:shd w:val="clear"/>
        </w:rPr>
        <w:t>服务费，本公司按违约处理，保证金不予退回，同时《竞价结果通知书》自动失效，并视情对竞价标的再次竞价或处理，本公司将保留向该成交人提起赔偿诉讼的权利。</w:t>
      </w:r>
    </w:p>
    <w:p w14:paraId="35FF9DF9">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十、注意事项</w:t>
      </w:r>
    </w:p>
    <w:p w14:paraId="4910B9E9">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1.因不可预见的原因导致上述竞价交易方式不能正常进行的，本公司有权中止交易或临时决定采用其它竞价方式和竞价交易规则，</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对此不得有异议。</w:t>
      </w:r>
    </w:p>
    <w:p w14:paraId="6C1DCCCB">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2.</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应妥善保管好用户名及密码，用户名为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参加网络竞价的唯一合法身份，所有用户登录后的报价均视为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本人真实意愿的表示。如用户名丢失或被他人盗用所造成的一切后果均由</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负责。</w:t>
      </w:r>
    </w:p>
    <w:p w14:paraId="5612992B">
      <w:pPr>
        <w:snapToGrid/>
        <w:spacing w:line="520" w:lineRule="exact"/>
        <w:ind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3.成交后，成交人应当与委托人签订《</w:t>
      </w:r>
      <w:r>
        <w:rPr>
          <w:rFonts w:hint="eastAsia" w:asciiTheme="minorEastAsia" w:hAnsiTheme="minorEastAsia" w:eastAsiaTheme="minorEastAsia" w:cstheme="minorEastAsia"/>
          <w:b/>
          <w:bCs/>
          <w:color w:val="auto"/>
          <w:kern w:val="28"/>
          <w:sz w:val="24"/>
          <w:szCs w:val="24"/>
          <w:lang w:val="en-US" w:eastAsia="zh-CN" w:bidi="ar-SA"/>
        </w:rPr>
        <w:t>供货合同</w:t>
      </w:r>
      <w:r>
        <w:rPr>
          <w:rFonts w:hint="eastAsia" w:asciiTheme="minorEastAsia" w:hAnsiTheme="minorEastAsia" w:eastAsiaTheme="minorEastAsia" w:cstheme="minorEastAsia"/>
          <w:color w:val="auto"/>
          <w:kern w:val="2"/>
          <w:sz w:val="24"/>
          <w:szCs w:val="24"/>
          <w:shd w:val="clear"/>
          <w:lang w:val="en-US" w:eastAsia="zh-CN"/>
        </w:rPr>
        <w:t>》，并严格履行，双方的权利、义务以《</w:t>
      </w:r>
      <w:r>
        <w:rPr>
          <w:rFonts w:hint="eastAsia" w:asciiTheme="minorEastAsia" w:hAnsiTheme="minorEastAsia" w:eastAsiaTheme="minorEastAsia" w:cstheme="minorEastAsia"/>
          <w:b/>
          <w:bCs/>
          <w:color w:val="auto"/>
          <w:kern w:val="28"/>
          <w:sz w:val="24"/>
          <w:szCs w:val="24"/>
          <w:lang w:val="en-US" w:eastAsia="zh-CN" w:bidi="ar-SA"/>
        </w:rPr>
        <w:t>供货合同</w:t>
      </w:r>
      <w:r>
        <w:rPr>
          <w:rFonts w:hint="eastAsia" w:asciiTheme="minorEastAsia" w:hAnsiTheme="minorEastAsia" w:eastAsiaTheme="minorEastAsia" w:cstheme="minorEastAsia"/>
          <w:color w:val="auto"/>
          <w:kern w:val="2"/>
          <w:sz w:val="24"/>
          <w:szCs w:val="24"/>
          <w:shd w:val="clear"/>
          <w:lang w:val="en-US" w:eastAsia="zh-CN"/>
        </w:rPr>
        <w:t>》约定为准。</w:t>
      </w:r>
    </w:p>
    <w:p w14:paraId="0DB860DE">
      <w:pPr>
        <w:snapToGrid/>
        <w:spacing w:line="520" w:lineRule="exact"/>
        <w:ind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4.因委托人、成交人的原因造成不能签订相应的合同或解除合同、合同无效的，我司不承担任何责任。签订《竞价结果通知书》视为我司对成交人的合同义务履行完毕。</w:t>
      </w:r>
    </w:p>
    <w:p w14:paraId="5168DF7E">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十</w:t>
      </w:r>
      <w:r>
        <w:rPr>
          <w:rFonts w:hint="eastAsia" w:asciiTheme="minorEastAsia" w:hAnsiTheme="minorEastAsia" w:eastAsiaTheme="minorEastAsia" w:cstheme="minorEastAsia"/>
          <w:b/>
          <w:bCs/>
          <w:color w:val="auto"/>
          <w:kern w:val="2"/>
          <w:sz w:val="24"/>
          <w:szCs w:val="24"/>
          <w:shd w:val="clear"/>
          <w:lang w:val="en-US" w:eastAsia="zh-CN"/>
        </w:rPr>
        <w:t>一</w:t>
      </w:r>
      <w:r>
        <w:rPr>
          <w:rFonts w:hint="eastAsia" w:asciiTheme="minorEastAsia" w:hAnsiTheme="minorEastAsia" w:eastAsiaTheme="minorEastAsia" w:cstheme="minorEastAsia"/>
          <w:b/>
          <w:bCs/>
          <w:color w:val="auto"/>
          <w:kern w:val="2"/>
          <w:sz w:val="24"/>
          <w:szCs w:val="24"/>
          <w:shd w:val="clear"/>
        </w:rPr>
        <w:t>、特别提示</w:t>
      </w:r>
    </w:p>
    <w:tbl>
      <w:tblPr>
        <w:tblStyle w:val="17"/>
        <w:tblW w:w="9071" w:type="dxa"/>
        <w:jc w:val="center"/>
        <w:shd w:val="clear" w:color="auto" w:fill="FFFFFF"/>
        <w:tblLayout w:type="fixed"/>
        <w:tblCellMar>
          <w:top w:w="0" w:type="dxa"/>
          <w:left w:w="0" w:type="dxa"/>
          <w:bottom w:w="0" w:type="dxa"/>
          <w:right w:w="0" w:type="dxa"/>
        </w:tblCellMar>
      </w:tblPr>
      <w:tblGrid>
        <w:gridCol w:w="9071"/>
      </w:tblGrid>
      <w:tr w14:paraId="2E151479">
        <w:tblPrEx>
          <w:shd w:val="clear" w:color="auto" w:fill="FFFFFF"/>
          <w:tblCellMar>
            <w:top w:w="0" w:type="dxa"/>
            <w:left w:w="0" w:type="dxa"/>
            <w:bottom w:w="0" w:type="dxa"/>
            <w:right w:w="0" w:type="dxa"/>
          </w:tblCellMar>
        </w:tblPrEx>
        <w:trPr>
          <w:jc w:val="center"/>
        </w:trPr>
        <w:tc>
          <w:tcPr>
            <w:tcW w:w="90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28CC3770">
            <w:pPr>
              <w:widowControl/>
              <w:snapToGrid/>
              <w:spacing w:before="0"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rPr>
              <w:t>1.申请人必须对本项目情况及竞价流程进行充分的咨询和了解，一旦参与竞价，视为无异议，并对项目存在或可能存在的瑕疵表示认可，自行承担由此造成的风险。</w:t>
            </w:r>
          </w:p>
          <w:p w14:paraId="10B3385A">
            <w:pPr>
              <w:keepNext w:val="0"/>
              <w:keepLines/>
              <w:pageBreakBefore w:val="0"/>
              <w:widowControl/>
              <w:shd w:val="clear"/>
              <w:kinsoku/>
              <w:wordWrap/>
              <w:overflowPunct/>
              <w:topLinePunct w:val="0"/>
              <w:autoSpaceDE/>
              <w:autoSpaceDN/>
              <w:bidi w:val="0"/>
              <w:adjustRightInd/>
              <w:snapToGrid/>
              <w:spacing w:before="0" w:line="520" w:lineRule="exact"/>
              <w:ind w:left="0" w:firstLine="480" w:firstLineChars="200"/>
              <w:textAlignment w:val="auto"/>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rPr>
              <w:t>2.竞价文件如有更正修改，公告将在</w:t>
            </w:r>
            <w:r>
              <w:rPr>
                <w:rFonts w:hint="eastAsia" w:asciiTheme="minorEastAsia" w:hAnsiTheme="minorEastAsia" w:eastAsiaTheme="minorEastAsia" w:cstheme="minorEastAsia"/>
                <w:b w:val="0"/>
                <w:bCs w:val="0"/>
                <w:color w:val="auto"/>
                <w:sz w:val="24"/>
                <w:szCs w:val="24"/>
              </w:rPr>
              <w:t>连城产权交易网（网址：</w:t>
            </w:r>
            <w:r>
              <w:rPr>
                <w:rFonts w:hint="eastAsia" w:asciiTheme="minorEastAsia" w:hAnsiTheme="minorEastAsia" w:eastAsiaTheme="minorEastAsia" w:cstheme="minorEastAsia"/>
                <w:b/>
                <w:bCs/>
                <w:color w:val="auto"/>
                <w:sz w:val="24"/>
                <w:szCs w:val="24"/>
              </w:rPr>
              <w:t>http://www.lcxcqjy.com/</w:t>
            </w:r>
            <w:r>
              <w:rPr>
                <w:rFonts w:hint="eastAsia" w:asciiTheme="minorEastAsia" w:hAnsiTheme="minorEastAsia" w:eastAsiaTheme="minorEastAsia" w:cstheme="minorEastAsia"/>
                <w:b w:val="0"/>
                <w:bCs w:val="0"/>
                <w:color w:val="auto"/>
                <w:sz w:val="24"/>
                <w:szCs w:val="24"/>
              </w:rPr>
              <w:t>）、</w:t>
            </w:r>
            <w:r>
              <w:rPr>
                <w:rFonts w:hint="eastAsia" w:asciiTheme="minorEastAsia" w:hAnsiTheme="minorEastAsia" w:eastAsiaTheme="minorEastAsia" w:cstheme="minorEastAsia"/>
                <w:color w:val="auto"/>
                <w:sz w:val="24"/>
                <w:szCs w:val="24"/>
              </w:rPr>
              <w:t>连城县招标投标交易平台(</w:t>
            </w:r>
            <w:r>
              <w:rPr>
                <w:rFonts w:hint="eastAsia" w:asciiTheme="minorEastAsia" w:hAnsiTheme="minorEastAsia" w:eastAsiaTheme="minorEastAsia" w:cstheme="minorEastAsia"/>
                <w:b w:val="0"/>
                <w:bCs w:val="0"/>
                <w:color w:val="auto"/>
                <w:sz w:val="24"/>
                <w:szCs w:val="24"/>
              </w:rPr>
              <w:t>网址：</w:t>
            </w:r>
            <w:r>
              <w:rPr>
                <w:rFonts w:hint="eastAsia" w:asciiTheme="minorEastAsia" w:hAnsiTheme="minorEastAsia" w:eastAsiaTheme="minorEastAsia" w:cstheme="minorEastAsia"/>
                <w:color w:val="auto"/>
                <w:sz w:val="24"/>
                <w:szCs w:val="24"/>
              </w:rPr>
              <w:t>https://lcyjy.enjoy5191.com/home</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kern w:val="2"/>
                <w:sz w:val="24"/>
                <w:szCs w:val="24"/>
              </w:rPr>
              <w:t>上</w:t>
            </w:r>
            <w:r>
              <w:rPr>
                <w:rFonts w:hint="eastAsia" w:asciiTheme="minorEastAsia" w:hAnsiTheme="minorEastAsia" w:eastAsiaTheme="minorEastAsia" w:cstheme="minorEastAsia"/>
                <w:color w:val="auto"/>
                <w:kern w:val="2"/>
                <w:sz w:val="24"/>
                <w:szCs w:val="24"/>
                <w:shd w:val="clear"/>
              </w:rPr>
              <w:t>发布，请潜在</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随时密切关注上述网站并下载相关信息，本公司不再另行通知（相同内容如有多次修改，以最后一次修改为准）。潜在</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未查看、下载修改内容的，后果自行承担。</w:t>
            </w:r>
          </w:p>
          <w:p w14:paraId="6CAA14B0">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3.有需要通知事项时，本公司以</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报名时载明的联系电话、联系地址（未另外注明的以身份证为准）作为联系依据，通过邮件或语音、短信的方式通知</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，即使</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不签收或未收到通知，均视为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已收到通知，由此造成的后果由</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自行负责。</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成为成交人参照此条款执行。</w:t>
            </w:r>
          </w:p>
        </w:tc>
      </w:tr>
    </w:tbl>
    <w:p w14:paraId="7F9DCE9B">
      <w:pPr>
        <w:widowControl/>
        <w:shd w:val="clear"/>
        <w:snapToGrid/>
        <w:spacing w:before="0" w:line="240" w:lineRule="auto"/>
        <w:ind w:firstLine="0" w:firstLineChars="0"/>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color w:val="auto"/>
          <w:kern w:val="2"/>
          <w:sz w:val="24"/>
          <w:szCs w:val="24"/>
          <w:shd w:val="clear"/>
        </w:rPr>
        <w:t xml:space="preserve">       </w:t>
      </w:r>
      <w:r>
        <w:rPr>
          <w:rFonts w:hint="eastAsia" w:asciiTheme="minorEastAsia" w:hAnsiTheme="minorEastAsia" w:eastAsiaTheme="minorEastAsia" w:cstheme="minorEastAsia"/>
          <w:color w:val="auto"/>
          <w:sz w:val="24"/>
          <w:szCs w:val="24"/>
          <w:lang w:val="en-US" w:eastAsia="zh-CN"/>
        </w:rPr>
        <w:drawing>
          <wp:inline distT="0" distB="0" distL="114300" distR="114300">
            <wp:extent cx="934085" cy="934085"/>
            <wp:effectExtent l="0" t="0" r="18415" b="18415"/>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6"/>
                    <a:stretch>
                      <a:fillRect/>
                    </a:stretch>
                  </pic:blipFill>
                  <pic:spPr>
                    <a:xfrm>
                      <a:off x="0" y="0"/>
                      <a:ext cx="934085" cy="934085"/>
                    </a:xfrm>
                    <a:prstGeom prst="rect">
                      <a:avLst/>
                    </a:prstGeom>
                  </pic:spPr>
                </pic:pic>
              </a:graphicData>
            </a:graphic>
          </wp:inline>
        </w:drawing>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连城县国有资产产权交易服务有限公司</w:t>
      </w:r>
    </w:p>
    <w:p w14:paraId="5E7BC90E">
      <w:pPr>
        <w:widowControl/>
        <w:shd w:val="clear"/>
        <w:wordWrap/>
        <w:snapToGrid/>
        <w:spacing w:before="0" w:line="240" w:lineRule="auto"/>
        <w:ind w:firstLine="480" w:firstLineChars="200"/>
        <w:jc w:val="right"/>
        <w:rPr>
          <w:rFonts w:hint="default"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2026年5月13日</w:t>
      </w:r>
    </w:p>
    <w:p w14:paraId="4F81559E">
      <w:pP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br w:type="page"/>
      </w:r>
    </w:p>
    <w:p w14:paraId="069E452A">
      <w:pPr>
        <w:spacing w:line="360" w:lineRule="auto"/>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承 诺 书</w:t>
      </w:r>
    </w:p>
    <w:p w14:paraId="5C8F455B">
      <w:pPr>
        <w:spacing w:line="360" w:lineRule="auto"/>
        <w:ind w:firstLine="5040" w:firstLineChars="2100"/>
        <w:jc w:val="left"/>
        <w:rPr>
          <w:rFonts w:hint="eastAsia" w:asciiTheme="minorEastAsia" w:hAnsiTheme="minorEastAsia" w:eastAsiaTheme="minorEastAsia" w:cstheme="minorEastAsia"/>
          <w:color w:val="auto"/>
          <w:sz w:val="24"/>
          <w:szCs w:val="24"/>
        </w:rPr>
      </w:pPr>
    </w:p>
    <w:p w14:paraId="5136763C">
      <w:pPr>
        <w:spacing w:beforeLines="50" w:line="360" w:lineRule="auto"/>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b/>
          <w:bCs/>
          <w:color w:val="auto"/>
          <w:sz w:val="24"/>
          <w:szCs w:val="24"/>
        </w:rPr>
        <w:t>连城县国有资产产权交易服务有限公司</w:t>
      </w:r>
      <w:r>
        <w:rPr>
          <w:rFonts w:hint="eastAsia" w:asciiTheme="minorEastAsia" w:hAnsiTheme="minorEastAsia" w:eastAsiaTheme="minorEastAsia" w:cstheme="minorEastAsia"/>
          <w:color w:val="auto"/>
          <w:sz w:val="24"/>
          <w:szCs w:val="24"/>
        </w:rPr>
        <w:t>：</w:t>
      </w:r>
    </w:p>
    <w:p w14:paraId="5F24B104">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本人（公司）承诺提供的报名材料真实、合法、有效，自愿报名参加贵司于</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2026</w:t>
      </w:r>
      <w:r>
        <w:rPr>
          <w:rFonts w:hint="eastAsia" w:asciiTheme="minorEastAsia" w:hAnsiTheme="minorEastAsia" w:eastAsiaTheme="minorEastAsia" w:cstheme="minorEastAsia"/>
          <w:color w:val="auto"/>
          <w:sz w:val="24"/>
          <w:szCs w:val="24"/>
          <w:u w:val="single"/>
        </w:rPr>
        <w:t>年</w:t>
      </w:r>
      <w:r>
        <w:rPr>
          <w:rFonts w:hint="eastAsia" w:asciiTheme="minorEastAsia" w:hAnsiTheme="minorEastAsia" w:eastAsiaTheme="minorEastAsia" w:cstheme="minorEastAsia"/>
          <w:color w:val="auto"/>
          <w:sz w:val="24"/>
          <w:szCs w:val="24"/>
          <w:u w:val="single"/>
          <w:lang w:val="en-US" w:eastAsia="zh-CN"/>
        </w:rPr>
        <w:t>5月19日</w:t>
      </w:r>
      <w:r>
        <w:rPr>
          <w:rFonts w:hint="eastAsia" w:asciiTheme="minorEastAsia" w:hAnsiTheme="minorEastAsia" w:eastAsiaTheme="minorEastAsia" w:cstheme="minorEastAsia"/>
          <w:color w:val="auto"/>
          <w:sz w:val="24"/>
          <w:szCs w:val="24"/>
        </w:rPr>
        <w:t>上午举行的 “连城县招标投标交易平台</w:t>
      </w:r>
      <w:r>
        <w:rPr>
          <w:rFonts w:hint="eastAsia" w:asciiTheme="minorEastAsia" w:hAnsiTheme="minorEastAsia" w:eastAsiaTheme="minorEastAsia" w:cstheme="minorEastAsia"/>
          <w:color w:val="auto"/>
          <w:sz w:val="24"/>
          <w:szCs w:val="24"/>
          <w:lang w:val="en-US" w:eastAsia="zh-CN"/>
        </w:rPr>
        <w:t>反</w:t>
      </w:r>
      <w:r>
        <w:rPr>
          <w:rFonts w:hint="eastAsia" w:asciiTheme="minorEastAsia" w:hAnsiTheme="minorEastAsia" w:eastAsiaTheme="minorEastAsia" w:cstheme="minorEastAsia"/>
          <w:color w:val="auto"/>
          <w:sz w:val="24"/>
          <w:szCs w:val="24"/>
        </w:rPr>
        <w:t>向一次报价”</w:t>
      </w:r>
      <w:r>
        <w:rPr>
          <w:rFonts w:hint="eastAsia" w:asciiTheme="minorEastAsia" w:hAnsiTheme="minorEastAsia" w:eastAsiaTheme="minorEastAsia" w:cstheme="minorEastAsia"/>
          <w:color w:val="auto"/>
          <w:sz w:val="24"/>
          <w:szCs w:val="24"/>
          <w:u w:val="single"/>
          <w:lang w:val="en-US" w:eastAsia="zh-CN"/>
        </w:rPr>
        <w:t>福建连城国有投资集团有限公司办公家具采购</w:t>
      </w:r>
      <w:r>
        <w:rPr>
          <w:rFonts w:hint="eastAsia" w:asciiTheme="minorEastAsia" w:hAnsiTheme="minorEastAsia" w:eastAsiaTheme="minorEastAsia" w:cstheme="minorEastAsia"/>
          <w:color w:val="auto"/>
          <w:sz w:val="24"/>
          <w:szCs w:val="24"/>
        </w:rPr>
        <w:t>竞价。收悉项目编号为</w:t>
      </w:r>
      <w:r>
        <w:rPr>
          <w:rFonts w:hint="eastAsia" w:asciiTheme="minorEastAsia" w:hAnsiTheme="minorEastAsia" w:eastAsiaTheme="minorEastAsia" w:cstheme="minorEastAsia"/>
          <w:color w:val="auto"/>
          <w:sz w:val="24"/>
          <w:szCs w:val="24"/>
          <w:u w:val="single"/>
          <w:lang w:eastAsia="zh-CN"/>
        </w:rPr>
        <w:t>LCCQJJ202</w:t>
      </w:r>
      <w:r>
        <w:rPr>
          <w:rFonts w:hint="eastAsia" w:asciiTheme="minorEastAsia" w:hAnsiTheme="minorEastAsia" w:eastAsiaTheme="minorEastAsia" w:cstheme="minorEastAsia"/>
          <w:color w:val="auto"/>
          <w:sz w:val="24"/>
          <w:szCs w:val="24"/>
          <w:u w:val="single"/>
          <w:lang w:val="en-US" w:eastAsia="zh-CN"/>
        </w:rPr>
        <w:t xml:space="preserve">60519-2 </w:t>
      </w:r>
      <w:r>
        <w:rPr>
          <w:rFonts w:hint="eastAsia" w:asciiTheme="minorEastAsia" w:hAnsiTheme="minorEastAsia" w:eastAsiaTheme="minorEastAsia" w:cstheme="minorEastAsia"/>
          <w:color w:val="auto"/>
          <w:sz w:val="24"/>
          <w:szCs w:val="24"/>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1427DA1B">
      <w:pPr>
        <w:spacing w:line="440" w:lineRule="exact"/>
        <w:rPr>
          <w:rFonts w:hint="eastAsia" w:asciiTheme="minorEastAsia" w:hAnsiTheme="minorEastAsia" w:eastAsiaTheme="minorEastAsia" w:cstheme="minorEastAsia"/>
          <w:color w:val="auto"/>
          <w:sz w:val="24"/>
          <w:szCs w:val="24"/>
        </w:rPr>
      </w:pPr>
    </w:p>
    <w:p w14:paraId="7DE930F7">
      <w:pPr>
        <w:spacing w:line="440" w:lineRule="exact"/>
        <w:rPr>
          <w:rFonts w:hint="eastAsia" w:asciiTheme="minorEastAsia" w:hAnsiTheme="minorEastAsia" w:eastAsiaTheme="minorEastAsia" w:cstheme="minorEastAsia"/>
          <w:color w:val="auto"/>
          <w:sz w:val="24"/>
          <w:szCs w:val="24"/>
        </w:rPr>
      </w:pPr>
    </w:p>
    <w:p w14:paraId="6470FDC5">
      <w:pPr>
        <w:spacing w:line="440" w:lineRule="exac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w:t>
      </w:r>
    </w:p>
    <w:p w14:paraId="4B50D42D">
      <w:pPr>
        <w:spacing w:line="440" w:lineRule="exact"/>
        <w:rPr>
          <w:rFonts w:hint="eastAsia" w:asciiTheme="minorEastAsia" w:hAnsiTheme="minorEastAsia" w:eastAsiaTheme="minorEastAsia" w:cstheme="minorEastAsia"/>
          <w:color w:val="auto"/>
          <w:sz w:val="24"/>
          <w:szCs w:val="24"/>
        </w:rPr>
      </w:pPr>
    </w:p>
    <w:p w14:paraId="3350AF5A">
      <w:pPr>
        <w:spacing w:line="440" w:lineRule="exact"/>
        <w:ind w:firstLine="3840" w:firstLineChars="1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承诺人（申请人签章）：</w:t>
      </w:r>
    </w:p>
    <w:p w14:paraId="7797D90F">
      <w:pPr>
        <w:spacing w:line="440" w:lineRule="exact"/>
        <w:rPr>
          <w:rFonts w:hint="eastAsia" w:asciiTheme="minorEastAsia" w:hAnsiTheme="minorEastAsia" w:eastAsiaTheme="minorEastAsia" w:cstheme="minorEastAsia"/>
          <w:color w:val="auto"/>
          <w:sz w:val="24"/>
          <w:szCs w:val="24"/>
        </w:rPr>
      </w:pPr>
    </w:p>
    <w:p w14:paraId="1110A9A5">
      <w:pPr>
        <w:spacing w:line="440" w:lineRule="exact"/>
        <w:ind w:firstLine="3840" w:firstLineChars="1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法定代表人或授权代理人（签章）： </w:t>
      </w:r>
    </w:p>
    <w:p w14:paraId="63E9A290">
      <w:pPr>
        <w:spacing w:line="440" w:lineRule="exact"/>
        <w:rPr>
          <w:rFonts w:hint="eastAsia" w:asciiTheme="minorEastAsia" w:hAnsiTheme="minorEastAsia" w:eastAsiaTheme="minorEastAsia" w:cstheme="minorEastAsia"/>
          <w:color w:val="auto"/>
          <w:sz w:val="24"/>
          <w:szCs w:val="24"/>
        </w:rPr>
      </w:pPr>
    </w:p>
    <w:p w14:paraId="50F7F8D1">
      <w:pPr>
        <w:spacing w:line="440" w:lineRule="exact"/>
        <w:ind w:firstLine="3840" w:firstLineChars="1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联系电话：</w:t>
      </w:r>
    </w:p>
    <w:p w14:paraId="1F985B46">
      <w:pPr>
        <w:spacing w:line="440" w:lineRule="exact"/>
        <w:rPr>
          <w:rFonts w:hint="eastAsia" w:asciiTheme="minorEastAsia" w:hAnsiTheme="minorEastAsia" w:eastAsiaTheme="minorEastAsia" w:cstheme="minorEastAsia"/>
          <w:color w:val="auto"/>
          <w:sz w:val="24"/>
          <w:szCs w:val="24"/>
        </w:rPr>
      </w:pPr>
    </w:p>
    <w:p w14:paraId="376BFED5">
      <w:pPr>
        <w:spacing w:line="440" w:lineRule="exact"/>
        <w:ind w:firstLine="0" w:firstLineChars="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年    月    日</w:t>
      </w:r>
    </w:p>
    <w:p w14:paraId="6A56E320">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br w:type="page"/>
      </w:r>
    </w:p>
    <w:p w14:paraId="68830884">
      <w:pPr>
        <w:keepNext w:val="0"/>
        <w:keepLines w:val="0"/>
        <w:pageBreakBefore w:val="0"/>
        <w:kinsoku/>
        <w:wordWrap/>
        <w:overflowPunct/>
        <w:topLinePunct w:val="0"/>
        <w:autoSpaceDE/>
        <w:autoSpaceDN/>
        <w:bidi w:val="0"/>
        <w:adjustRightInd/>
        <w:spacing w:beforeAutospacing="0" w:afterAutospacing="0" w:line="560" w:lineRule="exact"/>
        <w:ind w:right="0" w:rightChars="0"/>
        <w:jc w:val="center"/>
        <w:rPr>
          <w:rFonts w:hint="eastAsia" w:eastAsia="宋体"/>
          <w:color w:val="auto"/>
          <w:sz w:val="32"/>
          <w:szCs w:val="32"/>
        </w:rPr>
      </w:pPr>
      <w:r>
        <w:rPr>
          <w:rStyle w:val="20"/>
          <w:rFonts w:hint="eastAsia" w:ascii="方正小标宋简体" w:hAnsi="方正小标宋简体" w:eastAsia="方正小标宋简体" w:cs="方正小标宋简体"/>
          <w:b w:val="0"/>
          <w:bCs w:val="0"/>
          <w:color w:val="auto"/>
          <w:sz w:val="32"/>
          <w:szCs w:val="32"/>
          <w:lang w:val="en-US" w:eastAsia="zh-CN"/>
        </w:rPr>
        <w:t>供货</w:t>
      </w:r>
      <w:r>
        <w:rPr>
          <w:rStyle w:val="20"/>
          <w:rFonts w:hint="eastAsia" w:ascii="方正小标宋简体" w:hAnsi="方正小标宋简体" w:eastAsia="方正小标宋简体" w:cs="方正小标宋简体"/>
          <w:b w:val="0"/>
          <w:bCs w:val="0"/>
          <w:color w:val="auto"/>
          <w:sz w:val="32"/>
          <w:szCs w:val="32"/>
        </w:rPr>
        <w:t>合同</w:t>
      </w:r>
    </w:p>
    <w:p w14:paraId="4E1ECF95">
      <w:pPr>
        <w:spacing w:line="360" w:lineRule="exact"/>
        <w:ind w:firstLine="593" w:firstLineChars="246"/>
        <w:rPr>
          <w:rFonts w:hint="eastAsia" w:ascii="宋体" w:hAnsi="宋体" w:eastAsia="宋体" w:cs="宋体"/>
          <w:b/>
          <w:color w:val="auto"/>
          <w:sz w:val="24"/>
          <w:szCs w:val="24"/>
        </w:rPr>
      </w:pPr>
    </w:p>
    <w:p w14:paraId="40EB81A7">
      <w:pPr>
        <w:spacing w:line="360" w:lineRule="auto"/>
        <w:ind w:firstLine="593" w:firstLineChars="246"/>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第一条 本合同签订依据</w:t>
      </w:r>
    </w:p>
    <w:p w14:paraId="32278C07">
      <w:pPr>
        <w:spacing w:before="240" w:after="240" w:line="360" w:lineRule="auto"/>
        <w:ind w:firstLine="480" w:firstLineChars="200"/>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依照《中华人民共和国</w:t>
      </w:r>
      <w:r>
        <w:rPr>
          <w:rFonts w:hint="eastAsia" w:asciiTheme="minorEastAsia" w:hAnsiTheme="minorEastAsia" w:eastAsiaTheme="minorEastAsia" w:cstheme="minorEastAsia"/>
          <w:color w:val="auto"/>
          <w:sz w:val="24"/>
          <w:szCs w:val="24"/>
          <w:lang w:val="en-US" w:eastAsia="zh-CN"/>
        </w:rPr>
        <w:t>民法典</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合同编</w:t>
      </w:r>
      <w:r>
        <w:rPr>
          <w:rFonts w:hint="eastAsia" w:asciiTheme="minorEastAsia" w:hAnsiTheme="minorEastAsia" w:eastAsiaTheme="minorEastAsia" w:cstheme="minorEastAsia"/>
          <w:color w:val="auto"/>
          <w:sz w:val="24"/>
          <w:szCs w:val="24"/>
          <w:lang w:eastAsia="zh-CN"/>
        </w:rPr>
        <w:t>及其他有关法律、行政法规，遵循平等、自愿、公平和诚实信用的原则，双方就本采购项目的有关事项协商一致，订立本合同。</w:t>
      </w:r>
    </w:p>
    <w:p w14:paraId="1B2632B1">
      <w:pPr>
        <w:spacing w:before="240" w:after="240" w:line="360" w:lineRule="auto"/>
        <w:ind w:firstLine="480" w:firstLineChars="200"/>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甲方：</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lang w:eastAsia="zh-CN"/>
        </w:rPr>
        <w:t xml:space="preserve">  </w:t>
      </w:r>
    </w:p>
    <w:p w14:paraId="25E54FE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default" w:asciiTheme="minorEastAsia" w:hAnsiTheme="minorEastAsia" w:eastAsiaTheme="minorEastAsia" w:cstheme="minorEastAsia"/>
          <w:color w:val="auto"/>
          <w:sz w:val="24"/>
          <w:szCs w:val="24"/>
          <w:u w:val="single"/>
          <w:lang w:val="en-US" w:eastAsia="zh-CN"/>
        </w:rPr>
      </w:pPr>
      <w:r>
        <w:rPr>
          <w:rFonts w:hint="eastAsia" w:asciiTheme="minorEastAsia" w:hAnsiTheme="minorEastAsia" w:eastAsiaTheme="minorEastAsia" w:cstheme="minorEastAsia"/>
          <w:color w:val="auto"/>
          <w:sz w:val="24"/>
          <w:szCs w:val="24"/>
          <w:lang w:eastAsia="zh-CN"/>
        </w:rPr>
        <w:t>乙方：</w:t>
      </w:r>
      <w:r>
        <w:rPr>
          <w:rFonts w:hint="eastAsia" w:asciiTheme="minorEastAsia" w:hAnsiTheme="minorEastAsia" w:eastAsiaTheme="minorEastAsia" w:cstheme="minorEastAsia"/>
          <w:color w:val="auto"/>
          <w:sz w:val="24"/>
          <w:szCs w:val="24"/>
          <w:u w:val="single"/>
          <w:lang w:val="en-US" w:eastAsia="zh-CN"/>
        </w:rPr>
        <w:t xml:space="preserve">                             </w:t>
      </w:r>
    </w:p>
    <w:p w14:paraId="63063DFE">
      <w:pPr>
        <w:numPr>
          <w:ilvl w:val="0"/>
          <w:numId w:val="2"/>
        </w:numPr>
        <w:spacing w:line="360" w:lineRule="auto"/>
        <w:ind w:firstLine="472" w:firstLineChars="196"/>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合同标的、价款</w:t>
      </w:r>
    </w:p>
    <w:p w14:paraId="4EA40A18">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产品名称、型号、数量、金额</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报价含运输费、税费</w:t>
      </w:r>
      <w:r>
        <w:rPr>
          <w:rFonts w:hint="eastAsia" w:asciiTheme="minorEastAsia" w:hAnsiTheme="minorEastAsia" w:eastAsiaTheme="minorEastAsia" w:cstheme="minorEastAsia"/>
          <w:color w:val="auto"/>
          <w:sz w:val="24"/>
          <w:szCs w:val="24"/>
          <w:lang w:eastAsia="zh-CN"/>
        </w:rPr>
        <w:t>）：</w:t>
      </w:r>
    </w:p>
    <w:tbl>
      <w:tblPr>
        <w:tblStyle w:val="17"/>
        <w:tblW w:w="4747" w:type="pct"/>
        <w:tblInd w:w="0" w:type="dxa"/>
        <w:shd w:val="clear" w:color="auto" w:fill="auto"/>
        <w:tblLayout w:type="fixed"/>
        <w:tblCellMar>
          <w:top w:w="0" w:type="dxa"/>
          <w:left w:w="108" w:type="dxa"/>
          <w:bottom w:w="0" w:type="dxa"/>
          <w:right w:w="108" w:type="dxa"/>
        </w:tblCellMar>
      </w:tblPr>
      <w:tblGrid>
        <w:gridCol w:w="730"/>
        <w:gridCol w:w="1641"/>
        <w:gridCol w:w="1500"/>
        <w:gridCol w:w="916"/>
        <w:gridCol w:w="1017"/>
        <w:gridCol w:w="829"/>
        <w:gridCol w:w="1458"/>
      </w:tblGrid>
      <w:tr w14:paraId="109E53C6">
        <w:tblPrEx>
          <w:shd w:val="clear" w:color="auto" w:fill="auto"/>
          <w:tblCellMar>
            <w:top w:w="0" w:type="dxa"/>
            <w:left w:w="108" w:type="dxa"/>
            <w:bottom w:w="0" w:type="dxa"/>
            <w:right w:w="108" w:type="dxa"/>
          </w:tblCellMar>
        </w:tblPrEx>
        <w:trPr>
          <w:trHeight w:val="822"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8704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序号</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7457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品名</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D298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val="0"/>
                <w:bCs w:val="0"/>
                <w:color w:val="auto"/>
                <w:kern w:val="0"/>
                <w:sz w:val="24"/>
                <w:szCs w:val="24"/>
              </w:rPr>
              <w:t>技术参数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7001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数量</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D42E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单位</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1F5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单价（元）</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C2B7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合计（元）</w:t>
            </w:r>
          </w:p>
        </w:tc>
      </w:tr>
      <w:tr w14:paraId="1B55A9A6">
        <w:tblPrEx>
          <w:tblCellMar>
            <w:top w:w="0" w:type="dxa"/>
            <w:left w:w="108" w:type="dxa"/>
            <w:bottom w:w="0" w:type="dxa"/>
            <w:right w:w="108" w:type="dxa"/>
          </w:tblCellMar>
        </w:tblPrEx>
        <w:trPr>
          <w:trHeight w:val="731"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8AD7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top"/>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1</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7C170">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color w:val="auto"/>
                <w:kern w:val="0"/>
                <w:sz w:val="24"/>
                <w:szCs w:val="24"/>
                <w:lang w:eastAsia="zh-CN"/>
              </w:rPr>
              <w:t>办公桌、</w:t>
            </w:r>
            <w:r>
              <w:rPr>
                <w:rFonts w:hint="eastAsia" w:ascii="宋体" w:hAnsi="宋体" w:eastAsia="宋体" w:cs="宋体"/>
                <w:color w:val="auto"/>
                <w:sz w:val="24"/>
                <w:szCs w:val="24"/>
                <w:lang w:eastAsia="zh-CN"/>
              </w:rPr>
              <w:t>椅</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AC0CA">
            <w:pPr>
              <w:keepNext w:val="0"/>
              <w:keepLines w:val="0"/>
              <w:pageBreakBefore w:val="0"/>
              <w:widowControl/>
              <w:kinsoku/>
              <w:wordWrap/>
              <w:overflowPunct/>
              <w:topLinePunct w:val="0"/>
              <w:autoSpaceDE/>
              <w:autoSpaceDN/>
              <w:bidi w:val="0"/>
              <w:adjustRightInd/>
              <w:snapToGrid/>
              <w:spacing w:line="500" w:lineRule="exact"/>
              <w:contextualSpacing/>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1.6米常规办公桌、常规弓字椅</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98867">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4"/>
                <w:szCs w:val="24"/>
                <w:u w:val="none"/>
                <w:lang w:val="en-US"/>
              </w:rPr>
            </w:pPr>
            <w:r>
              <w:rPr>
                <w:rFonts w:hint="eastAsia" w:ascii="宋体" w:hAnsi="宋体" w:eastAsia="宋体" w:cs="宋体"/>
                <w:color w:val="auto"/>
                <w:kern w:val="0"/>
                <w:sz w:val="24"/>
                <w:szCs w:val="24"/>
                <w:lang w:val="en-US" w:eastAsia="zh-CN"/>
              </w:rPr>
              <w:t>2</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D02EF">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lang w:val="en-US"/>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A1B3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auto"/>
                <w:sz w:val="24"/>
                <w:szCs w:val="24"/>
                <w:u w:val="none"/>
                <w:lang w:val="en-US"/>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6CB4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auto"/>
                <w:sz w:val="24"/>
                <w:szCs w:val="24"/>
                <w:u w:val="none"/>
                <w:lang w:val="en-US"/>
              </w:rPr>
            </w:pPr>
          </w:p>
        </w:tc>
      </w:tr>
      <w:tr w14:paraId="16C8F94D">
        <w:tblPrEx>
          <w:tblCellMar>
            <w:top w:w="0" w:type="dxa"/>
            <w:left w:w="108" w:type="dxa"/>
            <w:bottom w:w="0" w:type="dxa"/>
            <w:right w:w="108" w:type="dxa"/>
          </w:tblCellMar>
        </w:tblPrEx>
        <w:trPr>
          <w:trHeight w:val="746"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08DF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top"/>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2</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946A">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color w:val="auto"/>
                <w:kern w:val="0"/>
                <w:sz w:val="24"/>
                <w:szCs w:val="24"/>
                <w:lang w:eastAsia="zh-CN"/>
              </w:rPr>
              <w:t>办公桌、</w:t>
            </w:r>
            <w:r>
              <w:rPr>
                <w:rFonts w:hint="eastAsia" w:ascii="宋体" w:hAnsi="宋体" w:eastAsia="宋体" w:cs="宋体"/>
                <w:color w:val="auto"/>
                <w:sz w:val="24"/>
                <w:szCs w:val="24"/>
                <w:lang w:eastAsia="zh-CN"/>
              </w:rPr>
              <w:t>椅</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A1F90">
            <w:pPr>
              <w:keepNext w:val="0"/>
              <w:keepLines w:val="0"/>
              <w:pageBreakBefore w:val="0"/>
              <w:widowControl/>
              <w:kinsoku/>
              <w:wordWrap/>
              <w:overflowPunct/>
              <w:topLinePunct w:val="0"/>
              <w:autoSpaceDE/>
              <w:autoSpaceDN/>
              <w:bidi w:val="0"/>
              <w:adjustRightInd/>
              <w:snapToGrid/>
              <w:spacing w:line="500" w:lineRule="exact"/>
              <w:contextualSpacing/>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1.8米常规办公桌、常规弓字椅</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D4906">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4"/>
                <w:szCs w:val="24"/>
                <w:u w:val="none"/>
                <w:lang w:val="en-US"/>
              </w:rPr>
            </w:pPr>
            <w:r>
              <w:rPr>
                <w:rFonts w:hint="eastAsia" w:ascii="宋体" w:hAnsi="宋体" w:eastAsia="宋体" w:cs="宋体"/>
                <w:color w:val="auto"/>
                <w:kern w:val="0"/>
                <w:sz w:val="24"/>
                <w:szCs w:val="24"/>
                <w:lang w:val="en-US" w:eastAsia="zh-CN"/>
              </w:rPr>
              <w:t>1</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129D7">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lang w:val="en-US"/>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9842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auto"/>
                <w:sz w:val="24"/>
                <w:szCs w:val="24"/>
                <w:u w:val="none"/>
                <w:lang w:val="en-US"/>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A11E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auto"/>
                <w:sz w:val="24"/>
                <w:szCs w:val="24"/>
                <w:u w:val="none"/>
                <w:lang w:val="en-US"/>
              </w:rPr>
            </w:pPr>
          </w:p>
        </w:tc>
      </w:tr>
      <w:tr w14:paraId="3E7F3B04">
        <w:tblPrEx>
          <w:shd w:val="clear" w:color="auto" w:fill="auto"/>
          <w:tblCellMar>
            <w:top w:w="0" w:type="dxa"/>
            <w:left w:w="108" w:type="dxa"/>
            <w:bottom w:w="0" w:type="dxa"/>
            <w:right w:w="108" w:type="dxa"/>
          </w:tblCellMar>
        </w:tblPrEx>
        <w:trPr>
          <w:trHeight w:val="731"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A972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top"/>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3</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D72B4">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color w:val="auto"/>
                <w:kern w:val="0"/>
                <w:sz w:val="24"/>
                <w:szCs w:val="24"/>
                <w:lang w:eastAsia="zh-CN"/>
              </w:rPr>
              <w:t>三人沙发</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67C45">
            <w:pPr>
              <w:keepNext w:val="0"/>
              <w:keepLines w:val="0"/>
              <w:pageBreakBefore w:val="0"/>
              <w:widowControl/>
              <w:kinsoku/>
              <w:wordWrap/>
              <w:overflowPunct/>
              <w:topLinePunct w:val="0"/>
              <w:autoSpaceDE/>
              <w:autoSpaceDN/>
              <w:bidi w:val="0"/>
              <w:adjustRightInd/>
              <w:snapToGrid/>
              <w:spacing w:line="500" w:lineRule="exact"/>
              <w:contextualSpacing/>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1.85cm*0.76cm*0.8cm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D1A37">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4"/>
                <w:szCs w:val="24"/>
                <w:u w:val="none"/>
                <w:lang w:val="en-US"/>
              </w:rPr>
            </w:pPr>
            <w:r>
              <w:rPr>
                <w:rFonts w:hint="eastAsia" w:ascii="宋体" w:hAnsi="宋体" w:eastAsia="宋体" w:cs="宋体"/>
                <w:color w:val="auto"/>
                <w:kern w:val="0"/>
                <w:sz w:val="24"/>
                <w:szCs w:val="24"/>
                <w:lang w:val="en-US" w:eastAsia="zh-CN"/>
              </w:rPr>
              <w:t>1</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7451C">
            <w:pPr>
              <w:keepNext w:val="0"/>
              <w:keepLines w:val="0"/>
              <w:widowControl/>
              <w:suppressLineNumbers w:val="0"/>
              <w:snapToGrid w:val="0"/>
              <w:jc w:val="center"/>
              <w:textAlignment w:val="center"/>
              <w:rPr>
                <w:rFonts w:hint="eastAsia" w:ascii="宋体" w:hAnsi="宋体" w:eastAsia="宋体" w:cs="宋体"/>
                <w:i w:val="0"/>
                <w:iCs w:val="0"/>
                <w:color w:val="auto"/>
                <w:sz w:val="24"/>
                <w:szCs w:val="24"/>
                <w:u w:val="none"/>
                <w:lang w:val="en-US"/>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CC2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auto"/>
                <w:sz w:val="24"/>
                <w:szCs w:val="24"/>
                <w:u w:val="none"/>
                <w:lang w:val="en-US"/>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9895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auto"/>
                <w:sz w:val="24"/>
                <w:szCs w:val="24"/>
                <w:u w:val="none"/>
                <w:lang w:val="en-US"/>
              </w:rPr>
            </w:pPr>
          </w:p>
        </w:tc>
      </w:tr>
      <w:tr w14:paraId="6D299B5A">
        <w:tblPrEx>
          <w:tblCellMar>
            <w:top w:w="0" w:type="dxa"/>
            <w:left w:w="108" w:type="dxa"/>
            <w:bottom w:w="0" w:type="dxa"/>
            <w:right w:w="108" w:type="dxa"/>
          </w:tblCellMar>
        </w:tblPrEx>
        <w:trPr>
          <w:trHeight w:val="731"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ED02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top"/>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4</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95580">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color w:val="auto"/>
                <w:kern w:val="0"/>
                <w:sz w:val="24"/>
                <w:szCs w:val="24"/>
                <w:lang w:eastAsia="zh-CN"/>
              </w:rPr>
              <w:t>茶几</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5783C">
            <w:pPr>
              <w:keepNext w:val="0"/>
              <w:keepLines w:val="0"/>
              <w:pageBreakBefore w:val="0"/>
              <w:widowControl/>
              <w:kinsoku/>
              <w:wordWrap/>
              <w:overflowPunct/>
              <w:topLinePunct w:val="0"/>
              <w:autoSpaceDE/>
              <w:autoSpaceDN/>
              <w:bidi w:val="0"/>
              <w:adjustRightInd/>
              <w:snapToGrid/>
              <w:spacing w:line="500" w:lineRule="exact"/>
              <w:contextualSpacing/>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1.2cm*0.6cm*0.48cm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DE38D">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color w:val="auto"/>
                <w:kern w:val="0"/>
                <w:sz w:val="24"/>
                <w:szCs w:val="24"/>
                <w:lang w:val="en-US" w:eastAsia="zh-CN"/>
              </w:rPr>
              <w:t>1</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D5E0F">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CDB9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auto"/>
                <w:sz w:val="24"/>
                <w:szCs w:val="24"/>
                <w:u w:val="none"/>
                <w:lang w:val="en-US"/>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DE4F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auto"/>
                <w:sz w:val="24"/>
                <w:szCs w:val="24"/>
                <w:u w:val="none"/>
                <w:lang w:val="en-US"/>
              </w:rPr>
            </w:pPr>
          </w:p>
        </w:tc>
      </w:tr>
      <w:tr w14:paraId="0C942447">
        <w:tblPrEx>
          <w:shd w:val="clear" w:color="auto" w:fill="auto"/>
          <w:tblCellMar>
            <w:top w:w="0" w:type="dxa"/>
            <w:left w:w="108" w:type="dxa"/>
            <w:bottom w:w="0" w:type="dxa"/>
            <w:right w:w="108" w:type="dxa"/>
          </w:tblCellMar>
        </w:tblPrEx>
        <w:trPr>
          <w:trHeight w:val="731"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9DB8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top"/>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5</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E7485">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color w:val="auto"/>
                <w:kern w:val="0"/>
                <w:sz w:val="24"/>
                <w:szCs w:val="24"/>
                <w:lang w:eastAsia="zh-CN"/>
              </w:rPr>
              <w:t>工作茶桌</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B5317">
            <w:pPr>
              <w:keepNext w:val="0"/>
              <w:keepLines w:val="0"/>
              <w:pageBreakBefore w:val="0"/>
              <w:widowControl/>
              <w:kinsoku/>
              <w:wordWrap/>
              <w:overflowPunct/>
              <w:topLinePunct w:val="0"/>
              <w:autoSpaceDE/>
              <w:autoSpaceDN/>
              <w:bidi w:val="0"/>
              <w:adjustRightInd/>
              <w:snapToGrid/>
              <w:spacing w:line="500" w:lineRule="exact"/>
              <w:contextualSpacing/>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130*65*70</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3D6F5">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color w:val="auto"/>
                <w:kern w:val="0"/>
                <w:sz w:val="24"/>
                <w:szCs w:val="24"/>
                <w:lang w:val="en-US" w:eastAsia="zh-CN"/>
              </w:rPr>
              <w:t>3</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ABEC2">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8BB5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auto"/>
                <w:sz w:val="24"/>
                <w:szCs w:val="24"/>
                <w:u w:val="none"/>
                <w:lang w:val="en-US"/>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8FCB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auto"/>
                <w:sz w:val="24"/>
                <w:szCs w:val="24"/>
                <w:u w:val="none"/>
                <w:lang w:val="en-US"/>
              </w:rPr>
            </w:pPr>
          </w:p>
        </w:tc>
      </w:tr>
      <w:tr w14:paraId="6A257F27">
        <w:tblPrEx>
          <w:tblCellMar>
            <w:top w:w="0" w:type="dxa"/>
            <w:left w:w="108" w:type="dxa"/>
            <w:bottom w:w="0" w:type="dxa"/>
            <w:right w:w="108" w:type="dxa"/>
          </w:tblCellMar>
        </w:tblPrEx>
        <w:trPr>
          <w:trHeight w:val="731"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68F8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top"/>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6</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9E10D">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color w:val="auto"/>
                <w:kern w:val="0"/>
                <w:sz w:val="24"/>
                <w:szCs w:val="24"/>
                <w:lang w:eastAsia="zh-CN"/>
              </w:rPr>
              <w:t>书柜</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E5ED6">
            <w:pPr>
              <w:keepNext w:val="0"/>
              <w:keepLines w:val="0"/>
              <w:pageBreakBefore w:val="0"/>
              <w:widowControl/>
              <w:kinsoku/>
              <w:wordWrap/>
              <w:overflowPunct/>
              <w:topLinePunct w:val="0"/>
              <w:autoSpaceDE/>
              <w:autoSpaceDN/>
              <w:bidi w:val="0"/>
              <w:adjustRightInd/>
              <w:snapToGrid/>
              <w:spacing w:line="500" w:lineRule="exact"/>
              <w:contextualSpacing/>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三门书柜</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95A67">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color w:val="auto"/>
                <w:kern w:val="0"/>
                <w:sz w:val="24"/>
                <w:szCs w:val="24"/>
                <w:lang w:val="en-US" w:eastAsia="zh-CN"/>
              </w:rPr>
              <w:t>1</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436BE">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BEE3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auto"/>
                <w:sz w:val="24"/>
                <w:szCs w:val="24"/>
                <w:u w:val="none"/>
                <w:lang w:val="en-US"/>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BA6A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auto"/>
                <w:sz w:val="24"/>
                <w:szCs w:val="24"/>
                <w:u w:val="none"/>
                <w:lang w:val="en-US"/>
              </w:rPr>
            </w:pPr>
          </w:p>
        </w:tc>
      </w:tr>
      <w:tr w14:paraId="45A9AA4E">
        <w:tblPrEx>
          <w:tblCellMar>
            <w:top w:w="0" w:type="dxa"/>
            <w:left w:w="108" w:type="dxa"/>
            <w:bottom w:w="0" w:type="dxa"/>
            <w:right w:w="108" w:type="dxa"/>
          </w:tblCellMar>
        </w:tblPrEx>
        <w:trPr>
          <w:trHeight w:val="731"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19EA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top"/>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7</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34403">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color w:val="auto"/>
                <w:kern w:val="0"/>
                <w:sz w:val="24"/>
                <w:szCs w:val="24"/>
                <w:lang w:eastAsia="zh-CN"/>
              </w:rPr>
              <w:t>铁皮柜</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7EFE2">
            <w:pPr>
              <w:keepNext w:val="0"/>
              <w:keepLines w:val="0"/>
              <w:pageBreakBefore w:val="0"/>
              <w:widowControl/>
              <w:kinsoku/>
              <w:wordWrap/>
              <w:overflowPunct/>
              <w:topLinePunct w:val="0"/>
              <w:autoSpaceDE/>
              <w:autoSpaceDN/>
              <w:bidi w:val="0"/>
              <w:adjustRightInd/>
              <w:snapToGrid/>
              <w:spacing w:line="500" w:lineRule="exact"/>
              <w:contextualSpacing/>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230mm*850mm*360mm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07583">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color w:val="auto"/>
                <w:kern w:val="0"/>
                <w:sz w:val="24"/>
                <w:szCs w:val="24"/>
                <w:lang w:val="en-US" w:eastAsia="zh-CN"/>
              </w:rPr>
              <w:t>5</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DE465">
            <w:pPr>
              <w:keepNext w:val="0"/>
              <w:keepLines w:val="0"/>
              <w:widowControl/>
              <w:suppressLineNumbers w:val="0"/>
              <w:snapToGrid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9BE3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auto"/>
                <w:sz w:val="24"/>
                <w:szCs w:val="24"/>
                <w:u w:val="none"/>
                <w:lang w:val="en-US"/>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EF25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auto"/>
                <w:sz w:val="24"/>
                <w:szCs w:val="24"/>
                <w:u w:val="none"/>
                <w:lang w:val="en-US"/>
              </w:rPr>
            </w:pPr>
          </w:p>
        </w:tc>
      </w:tr>
      <w:tr w14:paraId="02EBA76B">
        <w:tblPrEx>
          <w:tblCellMar>
            <w:top w:w="0" w:type="dxa"/>
            <w:left w:w="108" w:type="dxa"/>
            <w:bottom w:w="0" w:type="dxa"/>
            <w:right w:w="108" w:type="dxa"/>
          </w:tblCellMar>
        </w:tblPrEx>
        <w:trPr>
          <w:trHeight w:val="866" w:hRule="atLeast"/>
        </w:trPr>
        <w:tc>
          <w:tcPr>
            <w:tcW w:w="66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A04FAA7">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合计：</w:t>
            </w:r>
            <w:r>
              <w:rPr>
                <w:rFonts w:hint="eastAsia" w:ascii="宋体" w:hAnsi="宋体" w:eastAsia="宋体" w:cs="宋体"/>
                <w:i w:val="0"/>
                <w:iCs w:val="0"/>
                <w:color w:val="auto"/>
                <w:kern w:val="0"/>
                <w:sz w:val="24"/>
                <w:szCs w:val="24"/>
                <w:u w:val="single"/>
                <w:lang w:val="en-US" w:eastAsia="zh-CN" w:bidi="ar"/>
              </w:rPr>
              <w:t>大写：    元整小写￥    .00</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7B5BF">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auto"/>
                <w:kern w:val="0"/>
                <w:sz w:val="24"/>
                <w:szCs w:val="24"/>
                <w:u w:val="none"/>
                <w:lang w:val="en-US" w:eastAsia="zh-CN" w:bidi="ar"/>
              </w:rPr>
            </w:pPr>
          </w:p>
        </w:tc>
      </w:tr>
    </w:tbl>
    <w:p w14:paraId="20E3E6A2">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二、供货要求：乙方根据</w:t>
      </w:r>
      <w:r>
        <w:rPr>
          <w:rFonts w:hint="eastAsia" w:asciiTheme="minorEastAsia" w:hAnsiTheme="minorEastAsia" w:eastAsiaTheme="minorEastAsia" w:cstheme="minorEastAsia"/>
          <w:color w:val="auto"/>
          <w:sz w:val="24"/>
          <w:szCs w:val="24"/>
          <w:lang w:val="en-US" w:eastAsia="zh-CN"/>
        </w:rPr>
        <w:t>甲方供货</w:t>
      </w:r>
      <w:r>
        <w:rPr>
          <w:rFonts w:hint="eastAsia" w:asciiTheme="minorEastAsia" w:hAnsiTheme="minorEastAsia" w:eastAsiaTheme="minorEastAsia" w:cstheme="minorEastAsia"/>
          <w:color w:val="auto"/>
          <w:sz w:val="24"/>
          <w:szCs w:val="24"/>
        </w:rPr>
        <w:t>要求</w:t>
      </w:r>
      <w:r>
        <w:rPr>
          <w:rFonts w:hint="eastAsia" w:asciiTheme="minorEastAsia" w:hAnsiTheme="minorEastAsia" w:eastAsiaTheme="minorEastAsia" w:cstheme="minorEastAsia"/>
          <w:color w:val="auto"/>
          <w:sz w:val="24"/>
          <w:szCs w:val="24"/>
          <w:lang w:eastAsia="zh-CN"/>
        </w:rPr>
        <w:t>，在</w:t>
      </w:r>
      <w:r>
        <w:rPr>
          <w:rFonts w:hint="eastAsia" w:asciiTheme="minorEastAsia" w:hAnsiTheme="minorEastAsia" w:eastAsiaTheme="minorEastAsia" w:cstheme="minorEastAsia"/>
          <w:b/>
          <w:bCs/>
          <w:color w:val="auto"/>
          <w:sz w:val="24"/>
          <w:szCs w:val="24"/>
          <w:u w:val="single"/>
          <w:lang w:val="en-US" w:eastAsia="zh-CN"/>
        </w:rPr>
        <w:t>15</w:t>
      </w:r>
      <w:r>
        <w:rPr>
          <w:rFonts w:hint="eastAsia" w:asciiTheme="minorEastAsia" w:hAnsiTheme="minorEastAsia" w:eastAsiaTheme="minorEastAsia" w:cstheme="minorEastAsia"/>
          <w:color w:val="auto"/>
          <w:sz w:val="24"/>
          <w:szCs w:val="24"/>
          <w:lang w:eastAsia="zh-CN"/>
        </w:rPr>
        <w:t>日内</w:t>
      </w:r>
      <w:r>
        <w:rPr>
          <w:rFonts w:hint="eastAsia" w:asciiTheme="minorEastAsia" w:hAnsiTheme="minorEastAsia" w:eastAsiaTheme="minorEastAsia" w:cstheme="minorEastAsia"/>
          <w:color w:val="auto"/>
          <w:sz w:val="24"/>
          <w:szCs w:val="24"/>
        </w:rPr>
        <w:t>及时将货物送达指定地点并</w:t>
      </w:r>
      <w:r>
        <w:rPr>
          <w:rFonts w:hint="eastAsia" w:asciiTheme="minorEastAsia" w:hAnsiTheme="minorEastAsia" w:eastAsiaTheme="minorEastAsia" w:cstheme="minorEastAsia"/>
          <w:color w:val="auto"/>
          <w:sz w:val="24"/>
          <w:szCs w:val="24"/>
          <w:lang w:val="en-US" w:eastAsia="zh-CN"/>
        </w:rPr>
        <w:t>交付正常使用</w:t>
      </w:r>
      <w:r>
        <w:rPr>
          <w:rFonts w:hint="eastAsia" w:asciiTheme="minorEastAsia" w:hAnsiTheme="minorEastAsia" w:eastAsiaTheme="minorEastAsia" w:cstheme="minorEastAsia"/>
          <w:color w:val="auto"/>
          <w:sz w:val="24"/>
          <w:szCs w:val="24"/>
        </w:rPr>
        <w:t>。</w:t>
      </w:r>
    </w:p>
    <w:p w14:paraId="40B1B8E3">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三、质量标准</w:t>
      </w:r>
    </w:p>
    <w:p w14:paraId="397F394D">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乙方所提供的货物必须符合国家质量、安全、行业标准和原厂出厂标准。</w:t>
      </w:r>
    </w:p>
    <w:p w14:paraId="7BE233FA">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乙方所提供的货物必须</w:t>
      </w:r>
      <w:r>
        <w:rPr>
          <w:rFonts w:hint="eastAsia" w:asciiTheme="minorEastAsia" w:hAnsiTheme="minorEastAsia" w:eastAsiaTheme="minorEastAsia" w:cstheme="minorEastAsia"/>
          <w:color w:val="auto"/>
          <w:sz w:val="24"/>
          <w:szCs w:val="24"/>
          <w:lang w:eastAsia="zh-CN"/>
        </w:rPr>
        <w:t>符合</w:t>
      </w:r>
      <w:r>
        <w:rPr>
          <w:rFonts w:hint="eastAsia" w:asciiTheme="minorEastAsia" w:hAnsiTheme="minorEastAsia" w:eastAsiaTheme="minorEastAsia" w:cstheme="minorEastAsia"/>
          <w:color w:val="auto"/>
          <w:sz w:val="24"/>
          <w:szCs w:val="24"/>
          <w:lang w:val="en-US" w:eastAsia="zh-CN"/>
        </w:rPr>
        <w:t>《供货清单》</w:t>
      </w:r>
      <w:r>
        <w:rPr>
          <w:rFonts w:hint="eastAsia" w:asciiTheme="minorEastAsia" w:hAnsiTheme="minorEastAsia" w:eastAsiaTheme="minorEastAsia" w:cstheme="minorEastAsia"/>
          <w:color w:val="auto"/>
          <w:sz w:val="24"/>
          <w:szCs w:val="24"/>
          <w:lang w:eastAsia="zh-CN"/>
        </w:rPr>
        <w:t>的参数</w:t>
      </w:r>
      <w:r>
        <w:rPr>
          <w:rFonts w:hint="eastAsia" w:asciiTheme="minorEastAsia" w:hAnsiTheme="minorEastAsia" w:eastAsiaTheme="minorEastAsia" w:cstheme="minorEastAsia"/>
          <w:color w:val="auto"/>
          <w:sz w:val="24"/>
          <w:szCs w:val="24"/>
        </w:rPr>
        <w:t>标准。</w:t>
      </w:r>
    </w:p>
    <w:p w14:paraId="099C0E37">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提供的货物必须是全新的、包装完好的产品，并运送到指定交货地点后才能拆封。</w:t>
      </w:r>
    </w:p>
    <w:p w14:paraId="205C7A42">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四、验收：由甲方负责组织验收，甲乙双方必须按本合同所约定的清单及要求对</w:t>
      </w:r>
      <w:r>
        <w:rPr>
          <w:rFonts w:hint="eastAsia" w:asciiTheme="minorEastAsia" w:hAnsiTheme="minorEastAsia" w:eastAsiaTheme="minorEastAsia" w:cstheme="minorEastAsia"/>
          <w:color w:val="auto"/>
          <w:sz w:val="24"/>
          <w:szCs w:val="24"/>
          <w:lang w:val="en-US" w:eastAsia="zh-CN"/>
        </w:rPr>
        <w:t>货物</w:t>
      </w:r>
      <w:r>
        <w:rPr>
          <w:rFonts w:hint="eastAsia" w:asciiTheme="minorEastAsia" w:hAnsiTheme="minorEastAsia" w:eastAsiaTheme="minorEastAsia" w:cstheme="minorEastAsia"/>
          <w:color w:val="auto"/>
          <w:sz w:val="24"/>
          <w:szCs w:val="24"/>
        </w:rPr>
        <w:t>的品牌、外观、配件及安装调试后的使用性能等进行验收，乙方必须在验收现场提供必要的技术支持。甲方应在产品安装调试合格后的</w:t>
      </w:r>
      <w:r>
        <w:rPr>
          <w:rFonts w:hint="eastAsia" w:asciiTheme="minorEastAsia" w:hAnsiTheme="minorEastAsia" w:eastAsiaTheme="minorEastAsia" w:cstheme="minorEastAsia"/>
          <w:b/>
          <w:bCs/>
          <w:color w:val="auto"/>
          <w:sz w:val="24"/>
          <w:szCs w:val="24"/>
          <w:u w:val="single"/>
        </w:rPr>
        <w:t>七</w:t>
      </w:r>
      <w:r>
        <w:rPr>
          <w:rFonts w:hint="eastAsia" w:asciiTheme="minorEastAsia" w:hAnsiTheme="minorEastAsia" w:eastAsiaTheme="minorEastAsia" w:cstheme="minorEastAsia"/>
          <w:color w:val="auto"/>
          <w:sz w:val="24"/>
          <w:szCs w:val="24"/>
        </w:rPr>
        <w:t>个工作日内验收完华。</w:t>
      </w:r>
    </w:p>
    <w:p w14:paraId="4114F123">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color w:val="auto"/>
          <w:sz w:val="24"/>
          <w:szCs w:val="24"/>
        </w:rPr>
        <w:t>五、付款条件及方式：</w:t>
      </w:r>
    </w:p>
    <w:p w14:paraId="0BCF4C31">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rightChars="0" w:firstLine="480" w:firstLineChars="200"/>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货到验收合格后，由</w:t>
      </w:r>
      <w:r>
        <w:rPr>
          <w:rFonts w:hint="eastAsia" w:asciiTheme="minorEastAsia" w:hAnsiTheme="minorEastAsia" w:eastAsiaTheme="minorEastAsia" w:cstheme="minorEastAsia"/>
          <w:bCs/>
          <w:color w:val="auto"/>
          <w:sz w:val="24"/>
          <w:szCs w:val="24"/>
          <w:highlight w:val="none"/>
        </w:rPr>
        <w:t>甲方</w:t>
      </w:r>
      <w:r>
        <w:rPr>
          <w:rFonts w:hint="eastAsia" w:asciiTheme="minorEastAsia" w:hAnsiTheme="minorEastAsia" w:eastAsiaTheme="minorEastAsia" w:cstheme="minorEastAsia"/>
          <w:color w:val="auto"/>
          <w:sz w:val="24"/>
          <w:szCs w:val="24"/>
          <w:highlight w:val="none"/>
        </w:rPr>
        <w:t>通知</w:t>
      </w:r>
      <w:r>
        <w:rPr>
          <w:rFonts w:hint="eastAsia" w:asciiTheme="minorEastAsia" w:hAnsiTheme="minorEastAsia" w:eastAsiaTheme="minorEastAsia" w:cstheme="minorEastAsia"/>
          <w:bCs/>
          <w:color w:val="auto"/>
          <w:sz w:val="24"/>
          <w:szCs w:val="24"/>
          <w:highlight w:val="none"/>
        </w:rPr>
        <w:t>乙方</w:t>
      </w:r>
      <w:r>
        <w:rPr>
          <w:rFonts w:hint="eastAsia" w:asciiTheme="minorEastAsia" w:hAnsiTheme="minorEastAsia" w:eastAsiaTheme="minorEastAsia" w:cstheme="minorEastAsia"/>
          <w:color w:val="auto"/>
          <w:sz w:val="24"/>
          <w:szCs w:val="24"/>
          <w:highlight w:val="none"/>
        </w:rPr>
        <w:t>出具增值税普通发票。凭乙方提供的增值税普通发票和甲方</w:t>
      </w:r>
      <w:r>
        <w:rPr>
          <w:rFonts w:hint="eastAsia" w:asciiTheme="minorEastAsia" w:hAnsiTheme="minorEastAsia" w:eastAsiaTheme="minorEastAsia" w:cstheme="minorEastAsia"/>
          <w:bCs/>
          <w:color w:val="auto"/>
          <w:sz w:val="24"/>
          <w:szCs w:val="24"/>
          <w:highlight w:val="none"/>
        </w:rPr>
        <w:t>提供的实际数量、质量、供货时间的验收资料（商品入库验收单），</w:t>
      </w:r>
      <w:r>
        <w:rPr>
          <w:rFonts w:hint="eastAsia" w:asciiTheme="minorEastAsia" w:hAnsiTheme="minorEastAsia" w:eastAsiaTheme="minorEastAsia" w:cstheme="minorEastAsia"/>
          <w:b w:val="0"/>
          <w:bCs/>
          <w:color w:val="auto"/>
          <w:sz w:val="24"/>
          <w:szCs w:val="24"/>
          <w:highlight w:val="none"/>
        </w:rPr>
        <w:t>货物经甲方验收合格后</w:t>
      </w:r>
      <w:r>
        <w:rPr>
          <w:rFonts w:hint="eastAsia" w:asciiTheme="minorEastAsia" w:hAnsiTheme="minorEastAsia" w:eastAsiaTheme="minorEastAsia" w:cstheme="minorEastAsia"/>
          <w:b w:val="0"/>
          <w:bCs/>
          <w:color w:val="auto"/>
          <w:sz w:val="24"/>
          <w:szCs w:val="24"/>
          <w:highlight w:val="none"/>
          <w:u w:val="single"/>
          <w:lang w:val="en-US" w:eastAsia="zh-CN"/>
        </w:rPr>
        <w:t>30</w:t>
      </w:r>
      <w:r>
        <w:rPr>
          <w:rFonts w:hint="eastAsia" w:asciiTheme="minorEastAsia" w:hAnsiTheme="minorEastAsia" w:eastAsiaTheme="minorEastAsia" w:cstheme="minorEastAsia"/>
          <w:b w:val="0"/>
          <w:bCs/>
          <w:color w:val="auto"/>
          <w:sz w:val="24"/>
          <w:szCs w:val="24"/>
          <w:highlight w:val="none"/>
          <w:lang w:val="en-US" w:eastAsia="zh-CN"/>
        </w:rPr>
        <w:t>个工作</w:t>
      </w:r>
      <w:r>
        <w:rPr>
          <w:rFonts w:hint="eastAsia" w:asciiTheme="minorEastAsia" w:hAnsiTheme="minorEastAsia" w:eastAsiaTheme="minorEastAsia" w:cstheme="minorEastAsia"/>
          <w:b w:val="0"/>
          <w:bCs/>
          <w:color w:val="auto"/>
          <w:sz w:val="24"/>
          <w:szCs w:val="24"/>
          <w:highlight w:val="none"/>
        </w:rPr>
        <w:t>日内，甲方凭有关验收手续</w:t>
      </w:r>
      <w:r>
        <w:rPr>
          <w:rFonts w:hint="eastAsia" w:asciiTheme="minorEastAsia" w:hAnsiTheme="minorEastAsia" w:eastAsiaTheme="minorEastAsia" w:cstheme="minorEastAsia"/>
          <w:b w:val="0"/>
          <w:bCs/>
          <w:color w:val="auto"/>
          <w:sz w:val="24"/>
          <w:szCs w:val="24"/>
          <w:highlight w:val="none"/>
          <w:u w:val="single"/>
          <w:lang w:eastAsia="zh-CN"/>
        </w:rPr>
        <w:t>按合同价款的</w:t>
      </w:r>
      <w:r>
        <w:rPr>
          <w:rFonts w:hint="eastAsia" w:asciiTheme="minorEastAsia" w:hAnsiTheme="minorEastAsia" w:eastAsiaTheme="minorEastAsia" w:cstheme="minorEastAsia"/>
          <w:b w:val="0"/>
          <w:bCs/>
          <w:color w:val="auto"/>
          <w:sz w:val="24"/>
          <w:szCs w:val="24"/>
          <w:highlight w:val="none"/>
          <w:u w:val="single"/>
          <w:lang w:val="en-US" w:eastAsia="zh-CN"/>
        </w:rPr>
        <w:t>95%</w:t>
      </w:r>
      <w:r>
        <w:rPr>
          <w:rFonts w:hint="eastAsia" w:asciiTheme="minorEastAsia" w:hAnsiTheme="minorEastAsia" w:eastAsiaTheme="minorEastAsia" w:cstheme="minorEastAsia"/>
          <w:b w:val="0"/>
          <w:bCs/>
          <w:color w:val="auto"/>
          <w:sz w:val="24"/>
          <w:szCs w:val="24"/>
          <w:highlight w:val="none"/>
        </w:rPr>
        <w:t>以银行转账形式支付</w:t>
      </w:r>
      <w:r>
        <w:rPr>
          <w:rFonts w:hint="eastAsia" w:asciiTheme="minorEastAsia" w:hAnsiTheme="minorEastAsia" w:eastAsiaTheme="minorEastAsia" w:cstheme="minorEastAsia"/>
          <w:b w:val="0"/>
          <w:bCs/>
          <w:color w:val="auto"/>
          <w:sz w:val="24"/>
          <w:szCs w:val="24"/>
          <w:highlight w:val="none"/>
          <w:lang w:eastAsia="zh-CN"/>
        </w:rPr>
        <w:t>货</w:t>
      </w:r>
      <w:r>
        <w:rPr>
          <w:rFonts w:hint="eastAsia" w:asciiTheme="minorEastAsia" w:hAnsiTheme="minorEastAsia" w:eastAsiaTheme="minorEastAsia" w:cstheme="minorEastAsia"/>
          <w:b w:val="0"/>
          <w:bCs/>
          <w:color w:val="auto"/>
          <w:sz w:val="24"/>
          <w:szCs w:val="24"/>
          <w:highlight w:val="none"/>
        </w:rPr>
        <w:t>款。</w:t>
      </w:r>
      <w:r>
        <w:rPr>
          <w:rFonts w:hint="eastAsia" w:asciiTheme="minorEastAsia" w:hAnsiTheme="minorEastAsia" w:eastAsiaTheme="minorEastAsia" w:cstheme="minorEastAsia"/>
          <w:b w:val="0"/>
          <w:bCs/>
          <w:color w:val="auto"/>
          <w:sz w:val="24"/>
          <w:szCs w:val="24"/>
          <w:highlight w:val="none"/>
          <w:lang w:eastAsia="zh-CN"/>
        </w:rPr>
        <w:t>剩余的</w:t>
      </w:r>
      <w:r>
        <w:rPr>
          <w:rFonts w:hint="eastAsia" w:asciiTheme="minorEastAsia" w:hAnsiTheme="minorEastAsia" w:eastAsiaTheme="minorEastAsia" w:cstheme="minorEastAsia"/>
          <w:b w:val="0"/>
          <w:bCs/>
          <w:color w:val="auto"/>
          <w:sz w:val="24"/>
          <w:szCs w:val="24"/>
          <w:highlight w:val="none"/>
          <w:lang w:val="en-US" w:eastAsia="zh-CN"/>
        </w:rPr>
        <w:t>5%的货款作为质量保证金，以验收日期起6个月内，无质量问题，再予以支付。</w:t>
      </w:r>
    </w:p>
    <w:p w14:paraId="6E399D2F">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left="0" w:leftChars="0" w:right="0" w:rightChars="0" w:firstLine="480" w:firstLineChars="200"/>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2.乙方不能提供甲方要求提供的正式发票的，甲方有权拒付货款。</w:t>
      </w:r>
    </w:p>
    <w:p w14:paraId="71E6E277">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货款支付方式：双方同意以银行转账方式将本合同项下的合同款项，支付至乙方指定的如下银行账户：</w:t>
      </w:r>
    </w:p>
    <w:p w14:paraId="60CBD3AA">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户名：</w:t>
      </w:r>
      <w:r>
        <w:rPr>
          <w:rFonts w:hint="eastAsia" w:asciiTheme="minorEastAsia" w:hAnsiTheme="minorEastAsia" w:eastAsiaTheme="minorEastAsia" w:cstheme="minorEastAsia"/>
          <w:color w:val="auto"/>
          <w:sz w:val="24"/>
          <w:szCs w:val="24"/>
          <w:u w:val="single"/>
        </w:rPr>
        <w:t xml:space="preserve">                                  </w:t>
      </w:r>
    </w:p>
    <w:p w14:paraId="6C8F22A2">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开户行：</w:t>
      </w:r>
      <w:r>
        <w:rPr>
          <w:rFonts w:hint="eastAsia" w:asciiTheme="minorEastAsia" w:hAnsiTheme="minorEastAsia" w:eastAsiaTheme="minorEastAsia" w:cstheme="minorEastAsia"/>
          <w:color w:val="auto"/>
          <w:sz w:val="24"/>
          <w:szCs w:val="24"/>
          <w:u w:val="single"/>
        </w:rPr>
        <w:t xml:space="preserve">                                </w:t>
      </w:r>
    </w:p>
    <w:p w14:paraId="0B2D32FD">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银行帐号：</w:t>
      </w:r>
      <w:r>
        <w:rPr>
          <w:rFonts w:hint="eastAsia" w:asciiTheme="minorEastAsia" w:hAnsiTheme="minorEastAsia" w:eastAsiaTheme="minorEastAsia" w:cstheme="minorEastAsia"/>
          <w:color w:val="auto"/>
          <w:sz w:val="24"/>
          <w:szCs w:val="24"/>
          <w:u w:val="single"/>
        </w:rPr>
        <w:t xml:space="preserve">                              </w:t>
      </w:r>
    </w:p>
    <w:p w14:paraId="5F18EE5B">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付款条件。</w:t>
      </w:r>
    </w:p>
    <w:p w14:paraId="6577FA4C">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甲方付款前，乙方应先提交下列单证和文件：发票原件一份；已履行完相应义务的证明材料</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发票</w:t>
      </w:r>
      <w:r>
        <w:rPr>
          <w:rFonts w:hint="eastAsia" w:asciiTheme="minorEastAsia" w:hAnsiTheme="minorEastAsia" w:eastAsiaTheme="minorEastAsia" w:cstheme="minorEastAsia"/>
          <w:color w:val="auto"/>
          <w:sz w:val="24"/>
          <w:szCs w:val="24"/>
          <w:lang w:val="en-US" w:eastAsia="zh-CN"/>
        </w:rPr>
        <w:t>备注信息根据甲方财务制度要求填写</w:t>
      </w:r>
      <w:r>
        <w:rPr>
          <w:rFonts w:hint="eastAsia" w:asciiTheme="minorEastAsia" w:hAnsiTheme="minorEastAsia" w:eastAsiaTheme="minorEastAsia" w:cstheme="minorEastAsia"/>
          <w:color w:val="auto"/>
          <w:sz w:val="24"/>
          <w:szCs w:val="24"/>
          <w:lang w:eastAsia="zh-CN"/>
        </w:rPr>
        <w:t>）。</w:t>
      </w:r>
    </w:p>
    <w:p w14:paraId="654A0468">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5.如</w:t>
      </w:r>
      <w:r>
        <w:rPr>
          <w:rFonts w:hint="eastAsia" w:asciiTheme="minorEastAsia" w:hAnsiTheme="minorEastAsia" w:eastAsiaTheme="minorEastAsia" w:cstheme="minorEastAsia"/>
          <w:color w:val="auto"/>
          <w:sz w:val="24"/>
          <w:szCs w:val="24"/>
        </w:rPr>
        <w:t>乙方</w:t>
      </w:r>
      <w:r>
        <w:rPr>
          <w:rFonts w:hint="eastAsia" w:asciiTheme="minorEastAsia" w:hAnsiTheme="minorEastAsia" w:eastAsiaTheme="minorEastAsia" w:cstheme="minorEastAsia"/>
          <w:color w:val="auto"/>
          <w:sz w:val="24"/>
          <w:szCs w:val="24"/>
          <w:lang w:eastAsia="zh-CN"/>
        </w:rPr>
        <w:t>有</w:t>
      </w:r>
      <w:r>
        <w:rPr>
          <w:rFonts w:hint="eastAsia" w:asciiTheme="minorEastAsia" w:hAnsiTheme="minorEastAsia" w:eastAsiaTheme="minorEastAsia" w:cstheme="minorEastAsia"/>
          <w:color w:val="auto"/>
          <w:sz w:val="24"/>
          <w:szCs w:val="24"/>
        </w:rPr>
        <w:t>违约</w:t>
      </w:r>
      <w:r>
        <w:rPr>
          <w:rFonts w:hint="eastAsia" w:asciiTheme="minorEastAsia" w:hAnsiTheme="minorEastAsia" w:eastAsiaTheme="minorEastAsia" w:cstheme="minorEastAsia"/>
          <w:color w:val="auto"/>
          <w:sz w:val="24"/>
          <w:szCs w:val="24"/>
          <w:lang w:eastAsia="zh-CN"/>
        </w:rPr>
        <w:t>行为，违约</w:t>
      </w:r>
      <w:r>
        <w:rPr>
          <w:rFonts w:hint="eastAsia" w:asciiTheme="minorEastAsia" w:hAnsiTheme="minorEastAsia" w:eastAsiaTheme="minorEastAsia" w:cstheme="minorEastAsia"/>
          <w:color w:val="auto"/>
          <w:sz w:val="24"/>
          <w:szCs w:val="24"/>
        </w:rPr>
        <w:t>金及赔偿金，甲方可以在合同款项中直接扣除。</w:t>
      </w:r>
    </w:p>
    <w:p w14:paraId="15E2ECBD">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 xml:space="preserve"> 本合同项下的货币币种为人民币。</w:t>
      </w:r>
    </w:p>
    <w:p w14:paraId="4DD94A13">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六、服务承诺</w:t>
      </w:r>
    </w:p>
    <w:p w14:paraId="00C92A6D">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乙方对甲方所采购的设备按国家有关规定进行保修，保修期内非因操作不当造成需要更换零配件及设备的由乙方负责包修、包换</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对所售产品主机的非人为性能故障提供为期一年的免费保修。乙方可以根据自身情况提供更优惠的保修承诺。</w:t>
      </w:r>
    </w:p>
    <w:p w14:paraId="1B987C9D">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在质量保证期内，乙方对维修响应的时间不得超过</w:t>
      </w: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小时。</w:t>
      </w:r>
    </w:p>
    <w:p w14:paraId="5A225C8F">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七、</w:t>
      </w:r>
      <w:r>
        <w:rPr>
          <w:rFonts w:hint="eastAsia" w:asciiTheme="minorEastAsia" w:hAnsiTheme="minorEastAsia" w:eastAsiaTheme="minorEastAsia" w:cstheme="minorEastAsia"/>
          <w:color w:val="auto"/>
          <w:sz w:val="24"/>
          <w:szCs w:val="24"/>
        </w:rPr>
        <w:t>违约责任</w:t>
      </w:r>
    </w:p>
    <w:p w14:paraId="06A708E1">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1.甲方</w:t>
      </w:r>
      <w:r>
        <w:rPr>
          <w:rFonts w:hint="eastAsia" w:asciiTheme="minorEastAsia" w:hAnsiTheme="minorEastAsia" w:eastAsiaTheme="minorEastAsia" w:cstheme="minorEastAsia"/>
          <w:color w:val="auto"/>
          <w:sz w:val="24"/>
          <w:szCs w:val="24"/>
        </w:rPr>
        <w:t>无正当理由不接收或不及时验收的，乙方有权提请连城县</w:t>
      </w:r>
      <w:r>
        <w:rPr>
          <w:rFonts w:hint="eastAsia" w:asciiTheme="minorEastAsia" w:hAnsiTheme="minorEastAsia" w:eastAsiaTheme="minorEastAsia" w:cstheme="minorEastAsia"/>
          <w:color w:val="auto"/>
          <w:sz w:val="24"/>
          <w:szCs w:val="24"/>
          <w:lang w:eastAsia="zh-CN"/>
        </w:rPr>
        <w:t>产权交易中心</w:t>
      </w:r>
      <w:r>
        <w:rPr>
          <w:rFonts w:hint="eastAsia" w:asciiTheme="minorEastAsia" w:hAnsiTheme="minorEastAsia" w:eastAsiaTheme="minorEastAsia" w:cstheme="minorEastAsia"/>
          <w:color w:val="auto"/>
          <w:sz w:val="24"/>
          <w:szCs w:val="24"/>
        </w:rPr>
        <w:t>协调处理。</w:t>
      </w:r>
    </w:p>
    <w:p w14:paraId="05E9E854">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乙方所</w:t>
      </w:r>
      <w:r>
        <w:rPr>
          <w:rFonts w:hint="eastAsia" w:asciiTheme="minorEastAsia" w:hAnsiTheme="minorEastAsia" w:eastAsiaTheme="minorEastAsia" w:cstheme="minorEastAsia"/>
          <w:color w:val="auto"/>
          <w:sz w:val="24"/>
          <w:szCs w:val="24"/>
          <w:lang w:eastAsia="zh-CN"/>
        </w:rPr>
        <w:t>提供</w:t>
      </w:r>
      <w:r>
        <w:rPr>
          <w:rFonts w:hint="eastAsia" w:asciiTheme="minorEastAsia" w:hAnsiTheme="minorEastAsia" w:eastAsiaTheme="minorEastAsia" w:cstheme="minorEastAsia"/>
          <w:color w:val="auto"/>
          <w:sz w:val="24"/>
          <w:szCs w:val="24"/>
        </w:rPr>
        <w:t>的商品、规格不符合</w:t>
      </w:r>
      <w:r>
        <w:rPr>
          <w:rFonts w:hint="eastAsia" w:asciiTheme="minorEastAsia" w:hAnsiTheme="minorEastAsia" w:eastAsiaTheme="minorEastAsia" w:cstheme="minorEastAsia"/>
          <w:color w:val="auto"/>
          <w:sz w:val="24"/>
          <w:szCs w:val="24"/>
          <w:lang w:val="en-US" w:eastAsia="zh-CN"/>
        </w:rPr>
        <w:t>竞价</w:t>
      </w:r>
      <w:r>
        <w:rPr>
          <w:rFonts w:hint="eastAsia" w:asciiTheme="minorEastAsia" w:hAnsiTheme="minorEastAsia" w:eastAsiaTheme="minorEastAsia" w:cstheme="minorEastAsia"/>
          <w:color w:val="auto"/>
          <w:sz w:val="24"/>
          <w:szCs w:val="24"/>
        </w:rPr>
        <w:t>文件中成交的商品，</w:t>
      </w:r>
      <w:r>
        <w:rPr>
          <w:rFonts w:hint="eastAsia" w:asciiTheme="minorEastAsia" w:hAnsiTheme="minorEastAsia" w:eastAsiaTheme="minorEastAsia" w:cstheme="minorEastAsia"/>
          <w:color w:val="auto"/>
          <w:sz w:val="24"/>
          <w:szCs w:val="24"/>
          <w:lang w:val="en-US" w:eastAsia="zh-CN"/>
        </w:rPr>
        <w:t>甲方</w:t>
      </w:r>
      <w:r>
        <w:rPr>
          <w:rFonts w:hint="eastAsia" w:asciiTheme="minorEastAsia" w:hAnsiTheme="minorEastAsia" w:eastAsiaTheme="minorEastAsia" w:cstheme="minorEastAsia"/>
          <w:color w:val="auto"/>
          <w:sz w:val="24"/>
          <w:szCs w:val="24"/>
        </w:rPr>
        <w:t>有权拒收。</w:t>
      </w:r>
    </w:p>
    <w:p w14:paraId="1369D3B2">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逾期交货违约责任：乙方逾期交货的，应按照逾期交货金额</w:t>
      </w:r>
      <w:r>
        <w:rPr>
          <w:rFonts w:hint="eastAsia" w:asciiTheme="minorEastAsia" w:hAnsiTheme="minorEastAsia" w:eastAsiaTheme="minorEastAsia" w:cstheme="minorEastAsia"/>
          <w:color w:val="auto"/>
          <w:sz w:val="24"/>
          <w:szCs w:val="24"/>
          <w:highlight w:val="none"/>
          <w:u w:val="single"/>
        </w:rPr>
        <w:t>每日</w:t>
      </w:r>
      <w:r>
        <w:rPr>
          <w:rFonts w:hint="eastAsia" w:asciiTheme="minorEastAsia" w:hAnsiTheme="minorEastAsia" w:eastAsiaTheme="minorEastAsia" w:cstheme="minorEastAsia"/>
          <w:color w:val="auto"/>
          <w:sz w:val="24"/>
          <w:szCs w:val="24"/>
          <w:highlight w:val="none"/>
          <w:u w:val="single"/>
          <w:lang w:val="en-US" w:eastAsia="zh-CN"/>
        </w:rPr>
        <w:t>1</w:t>
      </w:r>
      <w:r>
        <w:rPr>
          <w:rFonts w:hint="eastAsia" w:asciiTheme="minorEastAsia" w:hAnsiTheme="minorEastAsia" w:eastAsiaTheme="minorEastAsia" w:cstheme="minorEastAsia"/>
          <w:color w:val="auto"/>
          <w:sz w:val="24"/>
          <w:szCs w:val="24"/>
          <w:highlight w:val="none"/>
          <w:u w:val="single"/>
        </w:rPr>
        <w:t>00</w:t>
      </w:r>
      <w:r>
        <w:rPr>
          <w:rFonts w:hint="eastAsia" w:asciiTheme="minorEastAsia" w:hAnsiTheme="minorEastAsia" w:eastAsiaTheme="minorEastAsia" w:cstheme="minorEastAsia"/>
          <w:color w:val="auto"/>
          <w:sz w:val="24"/>
          <w:szCs w:val="24"/>
          <w:highlight w:val="none"/>
        </w:rPr>
        <w:t>元计算，向甲方支付逾期交货的违约金，并赔偿甲方因此所遭受的损失。如逾期超过</w:t>
      </w:r>
      <w:r>
        <w:rPr>
          <w:rFonts w:hint="eastAsia" w:asciiTheme="minorEastAsia" w:hAnsiTheme="minorEastAsia" w:eastAsiaTheme="minorEastAsia" w:cstheme="minorEastAsia"/>
          <w:color w:val="auto"/>
          <w:sz w:val="24"/>
          <w:szCs w:val="24"/>
          <w:highlight w:val="none"/>
          <w:u w:val="single"/>
        </w:rPr>
        <w:t>15</w:t>
      </w:r>
      <w:r>
        <w:rPr>
          <w:rFonts w:hint="eastAsia" w:asciiTheme="minorEastAsia" w:hAnsiTheme="minorEastAsia" w:eastAsiaTheme="minorEastAsia" w:cstheme="minorEastAsia"/>
          <w:color w:val="auto"/>
          <w:sz w:val="24"/>
          <w:szCs w:val="24"/>
          <w:highlight w:val="none"/>
        </w:rPr>
        <w:t>日，甲方有权解除合同，就遭受的损失向乙方索赔</w:t>
      </w:r>
      <w:r>
        <w:rPr>
          <w:rFonts w:hint="eastAsia" w:asciiTheme="minorEastAsia" w:hAnsiTheme="minorEastAsia" w:eastAsiaTheme="minorEastAsia" w:cstheme="minorEastAsia"/>
          <w:color w:val="auto"/>
          <w:sz w:val="24"/>
          <w:szCs w:val="24"/>
          <w:highlight w:val="none"/>
          <w:lang w:eastAsia="zh-CN"/>
        </w:rPr>
        <w:t>合同价款的</w:t>
      </w:r>
      <w:r>
        <w:rPr>
          <w:rFonts w:hint="eastAsia" w:asciiTheme="minorEastAsia" w:hAnsiTheme="minorEastAsia" w:eastAsiaTheme="minorEastAsia" w:cstheme="minorEastAsia"/>
          <w:color w:val="auto"/>
          <w:sz w:val="24"/>
          <w:szCs w:val="24"/>
          <w:highlight w:val="none"/>
          <w:lang w:val="en-US" w:eastAsia="zh-CN"/>
        </w:rPr>
        <w:t>50%。</w:t>
      </w:r>
    </w:p>
    <w:p w14:paraId="7F516FA0">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因不可抗力造成违约的，可以免责。</w:t>
      </w:r>
    </w:p>
    <w:p w14:paraId="5A969669">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八</w:t>
      </w:r>
      <w:r>
        <w:rPr>
          <w:rFonts w:hint="eastAsia" w:asciiTheme="minorEastAsia" w:hAnsiTheme="minorEastAsia" w:eastAsiaTheme="minorEastAsia" w:cstheme="minorEastAsia"/>
          <w:color w:val="auto"/>
          <w:sz w:val="24"/>
          <w:szCs w:val="24"/>
        </w:rPr>
        <w:t>、合同的相关事项：有关本次协议采购项目的</w:t>
      </w:r>
      <w:r>
        <w:rPr>
          <w:rFonts w:hint="eastAsia" w:asciiTheme="minorEastAsia" w:hAnsiTheme="minorEastAsia" w:eastAsiaTheme="minorEastAsia" w:cstheme="minorEastAsia"/>
          <w:color w:val="auto"/>
          <w:sz w:val="24"/>
          <w:szCs w:val="24"/>
          <w:lang w:eastAsia="zh-CN"/>
        </w:rPr>
        <w:t>竞价文件</w:t>
      </w:r>
      <w:r>
        <w:rPr>
          <w:rFonts w:hint="eastAsia" w:asciiTheme="minorEastAsia" w:hAnsiTheme="minorEastAsia" w:eastAsiaTheme="minorEastAsia" w:cstheme="minorEastAsia"/>
          <w:color w:val="auto"/>
          <w:sz w:val="24"/>
          <w:szCs w:val="24"/>
        </w:rPr>
        <w:t>及相关的承诺函件等均视为本合同不可分割的部分。</w:t>
      </w:r>
    </w:p>
    <w:p w14:paraId="25DE1C12">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九</w:t>
      </w:r>
      <w:r>
        <w:rPr>
          <w:rFonts w:hint="eastAsia" w:asciiTheme="minorEastAsia" w:hAnsiTheme="minorEastAsia" w:eastAsiaTheme="minorEastAsia" w:cstheme="minorEastAsia"/>
          <w:color w:val="auto"/>
          <w:sz w:val="24"/>
          <w:szCs w:val="24"/>
        </w:rPr>
        <w:t>、合同争议处理方式：本合同由各方在平等的基础上，经友好协商共同起草而成。对本合同的解释不应考虑任何要求作出对起草合同一方不利解释的规则。若发生争议，由双方友好协商解决，如协商不成，由合同签订地人民法院管辖。</w:t>
      </w:r>
    </w:p>
    <w:p w14:paraId="319B082B">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十、本合同未尽事宜由甲、乙双方另行协商。</w:t>
      </w:r>
    </w:p>
    <w:p w14:paraId="4A57722C">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本合同一式</w:t>
      </w:r>
      <w:r>
        <w:rPr>
          <w:rFonts w:hint="eastAsia" w:asciiTheme="minorEastAsia" w:hAnsiTheme="minorEastAsia" w:eastAsiaTheme="minorEastAsia" w:cstheme="minorEastAsia"/>
          <w:color w:val="auto"/>
          <w:sz w:val="24"/>
          <w:szCs w:val="24"/>
          <w:lang w:eastAsia="zh-CN"/>
        </w:rPr>
        <w:t>三</w:t>
      </w:r>
      <w:r>
        <w:rPr>
          <w:rFonts w:hint="eastAsia" w:asciiTheme="minorEastAsia" w:hAnsiTheme="minorEastAsia" w:eastAsiaTheme="minorEastAsia" w:cstheme="minorEastAsia"/>
          <w:color w:val="auto"/>
          <w:sz w:val="24"/>
          <w:szCs w:val="24"/>
        </w:rPr>
        <w:t>份，甲</w:t>
      </w:r>
      <w:r>
        <w:rPr>
          <w:rFonts w:hint="eastAsia" w:asciiTheme="minorEastAsia" w:hAnsiTheme="minorEastAsia" w:eastAsiaTheme="minorEastAsia" w:cstheme="minorEastAsia"/>
          <w:color w:val="auto"/>
          <w:sz w:val="24"/>
          <w:szCs w:val="24"/>
          <w:lang w:eastAsia="zh-CN"/>
        </w:rPr>
        <w:t>方执二份，</w:t>
      </w:r>
      <w:r>
        <w:rPr>
          <w:rFonts w:hint="eastAsia" w:asciiTheme="minorEastAsia" w:hAnsiTheme="minorEastAsia" w:eastAsiaTheme="minorEastAsia" w:cstheme="minorEastAsia"/>
          <w:color w:val="auto"/>
          <w:sz w:val="24"/>
          <w:szCs w:val="24"/>
        </w:rPr>
        <w:t>乙</w:t>
      </w:r>
      <w:r>
        <w:rPr>
          <w:rFonts w:hint="eastAsia" w:asciiTheme="minorEastAsia" w:hAnsiTheme="minorEastAsia" w:eastAsiaTheme="minorEastAsia" w:cstheme="minorEastAsia"/>
          <w:color w:val="auto"/>
          <w:sz w:val="24"/>
          <w:szCs w:val="24"/>
          <w:lang w:eastAsia="zh-CN"/>
        </w:rPr>
        <w:t>方</w:t>
      </w:r>
      <w:r>
        <w:rPr>
          <w:rFonts w:hint="eastAsia" w:asciiTheme="minorEastAsia" w:hAnsiTheme="minorEastAsia" w:eastAsiaTheme="minorEastAsia" w:cstheme="minorEastAsia"/>
          <w:color w:val="auto"/>
          <w:sz w:val="24"/>
          <w:szCs w:val="24"/>
        </w:rPr>
        <w:t>执一份</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经甲、乙双方签字并盖章后即时生效。</w:t>
      </w:r>
    </w:p>
    <w:p w14:paraId="35ACF66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color w:val="auto"/>
          <w:sz w:val="24"/>
          <w:szCs w:val="24"/>
        </w:rPr>
      </w:pPr>
    </w:p>
    <w:p w14:paraId="35B96AA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甲方（公章）：</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 xml:space="preserve">      乙方（公章）： </w:t>
      </w:r>
    </w:p>
    <w:p w14:paraId="2AF8644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p>
    <w:p w14:paraId="11B85F4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单位地址：                           地址：</w:t>
      </w:r>
    </w:p>
    <w:p w14:paraId="0B58548B">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rPr>
      </w:pPr>
    </w:p>
    <w:p w14:paraId="618445F9">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法定代表人（签字或盖章）：</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 xml:space="preserve">  法定代表人（签字或盖章）：</w:t>
      </w:r>
    </w:p>
    <w:p w14:paraId="33A2F599">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p>
    <w:p w14:paraId="04B3F8F7">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联系人：</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 xml:space="preserve">                 联系人：</w:t>
      </w:r>
    </w:p>
    <w:p w14:paraId="4B074071">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联系电话：</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 xml:space="preserve">                        联系电话：</w:t>
      </w:r>
    </w:p>
    <w:p w14:paraId="711E2F7E">
      <w:pPr>
        <w:keepNext w:val="0"/>
        <w:keepLines w:val="0"/>
        <w:pageBreakBefore w:val="0"/>
        <w:tabs>
          <w:tab w:val="left" w:pos="4980"/>
        </w:tabs>
        <w:kinsoku/>
        <w:wordWrap/>
        <w:overflowPunct/>
        <w:topLinePunct w:val="0"/>
        <w:autoSpaceDE/>
        <w:autoSpaceDN/>
        <w:bidi w:val="0"/>
        <w:adjustRightInd/>
        <w:spacing w:beforeAutospacing="0" w:afterAutospacing="0" w:line="360" w:lineRule="auto"/>
        <w:ind w:left="0" w:leftChars="0" w:right="0" w:rightChars="0" w:firstLine="48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zCs w:val="24"/>
        </w:rPr>
        <w:t>日期：</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年   月   日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 日期：</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年   月   日</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altName w:val="宋体"/>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E1DFB">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17440D">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917440D">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E9C95">
    <w:pPr>
      <w:widowControl/>
      <w:shd w:val="clear" w:color="auto" w:fill="FFFFFF"/>
      <w:snapToGrid w:val="0"/>
      <w:spacing w:line="58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D4BA4E"/>
    <w:multiLevelType w:val="singleLevel"/>
    <w:tmpl w:val="DFD4BA4E"/>
    <w:lvl w:ilvl="0" w:tentative="0">
      <w:start w:val="2"/>
      <w:numFmt w:val="chineseCounting"/>
      <w:suff w:val="space"/>
      <w:lvlText w:val="第%1条"/>
      <w:lvlJc w:val="left"/>
      <w:rPr>
        <w:rFonts w:hint="eastAsia"/>
      </w:rPr>
    </w:lvl>
  </w:abstractNum>
  <w:abstractNum w:abstractNumId="1">
    <w:nsid w:val="EF5B853A"/>
    <w:multiLevelType w:val="singleLevel"/>
    <w:tmpl w:val="EF5B853A"/>
    <w:lvl w:ilvl="0" w:tentative="0">
      <w:start w:val="1"/>
      <w:numFmt w:val="chineseCounting"/>
      <w:suff w:val="nothing"/>
      <w:lvlText w:val="%1、"/>
      <w:lvlJc w:val="left"/>
      <w:rPr>
        <w:rFonts w:hint="eastAsia"/>
      </w:rPr>
    </w:lvl>
  </w:abstractNum>
  <w:abstractNum w:abstractNumId="2">
    <w:nsid w:val="00000004"/>
    <w:multiLevelType w:val="multilevel"/>
    <w:tmpl w:val="00000004"/>
    <w:lvl w:ilvl="0" w:tentative="0">
      <w:start w:val="1"/>
      <w:numFmt w:val="chineseCounting"/>
      <w:lvlText w:val="第%1章 "/>
      <w:lvlJc w:val="left"/>
      <w:pPr>
        <w:ind w:left="420" w:hanging="420"/>
      </w:pPr>
      <w:rPr>
        <w:rFonts w:hint="eastAsia" w:ascii="宋体" w:hAnsi="宋体" w:eastAsia="宋体" w:cs="宋体"/>
      </w:rPr>
    </w:lvl>
    <w:lvl w:ilvl="1" w:tentative="0">
      <w:start w:val="1"/>
      <w:numFmt w:val="chineseCounting"/>
      <w:lvlText w:val="%2"/>
      <w:lvlJc w:val="left"/>
      <w:pPr>
        <w:tabs>
          <w:tab w:val="left" w:pos="567"/>
        </w:tabs>
        <w:ind w:left="992" w:hanging="992"/>
      </w:pPr>
      <w:rPr>
        <w:rFonts w:hint="eastAsia" w:ascii="宋体" w:hAnsi="宋体" w:eastAsia="宋体" w:cs="宋体"/>
      </w:rPr>
    </w:lvl>
    <w:lvl w:ilvl="2" w:tentative="0">
      <w:start w:val="1"/>
      <w:numFmt w:val="decimal"/>
      <w:pStyle w:val="2"/>
      <w:lvlText w:val="%3"/>
      <w:lvlJc w:val="left"/>
      <w:pPr>
        <w:tabs>
          <w:tab w:val="left" w:pos="567"/>
        </w:tabs>
        <w:ind w:left="1628" w:hanging="1418"/>
      </w:pPr>
      <w:rPr>
        <w:rFonts w:hint="eastAsia" w:ascii="宋体" w:hAnsi="宋体" w:eastAsia="宋体" w:cs="宋体"/>
      </w:rPr>
    </w:lvl>
    <w:lvl w:ilvl="3" w:tentative="0">
      <w:start w:val="1"/>
      <w:numFmt w:val="decimal"/>
      <w:lvlText w:val="%3.%4"/>
      <w:lvlJc w:val="left"/>
      <w:pPr>
        <w:tabs>
          <w:tab w:val="left" w:pos="567"/>
        </w:tabs>
        <w:ind w:left="0" w:firstLine="0"/>
      </w:pPr>
      <w:rPr>
        <w:rFonts w:hint="eastAsia" w:ascii="宋体" w:hAnsi="宋体" w:eastAsia="宋体" w:cs="宋体"/>
      </w:rPr>
    </w:lvl>
    <w:lvl w:ilvl="4" w:tentative="0">
      <w:start w:val="1"/>
      <w:numFmt w:val="decimal"/>
      <w:lvlText w:val="%3.%4.%5"/>
      <w:lvlJc w:val="left"/>
      <w:pPr>
        <w:tabs>
          <w:tab w:val="left" w:pos="5529"/>
        </w:tabs>
        <w:ind w:left="5529" w:firstLine="0"/>
      </w:pPr>
      <w:rPr>
        <w:rFonts w:hint="eastAsia" w:ascii="宋体" w:hAnsi="宋体" w:eastAsia="宋体" w:cs="宋体"/>
      </w:rPr>
    </w:lvl>
    <w:lvl w:ilvl="5" w:tentative="0">
      <w:start w:val="1"/>
      <w:numFmt w:val="decimal"/>
      <w:lvlText w:val="%3.%4.%5.%6"/>
      <w:lvlJc w:val="left"/>
      <w:pPr>
        <w:ind w:left="3260" w:hanging="1134"/>
      </w:pPr>
      <w:rPr>
        <w:rFonts w:hint="eastAsia" w:ascii="宋体" w:hAnsi="宋体" w:eastAsia="宋体" w:cs="宋体"/>
      </w:rPr>
    </w:lvl>
    <w:lvl w:ilvl="6" w:tentative="0">
      <w:start w:val="1"/>
      <w:numFmt w:val="decimal"/>
      <w:lvlText w:val="%3.%4.%5.%6.%7"/>
      <w:lvlJc w:val="left"/>
      <w:pPr>
        <w:ind w:left="3827" w:hanging="1276"/>
      </w:pPr>
      <w:rPr>
        <w:rFonts w:hint="eastAsia" w:ascii="宋体" w:hAnsi="宋体" w:eastAsia="宋体" w:cs="宋体"/>
      </w:rPr>
    </w:lvl>
    <w:lvl w:ilvl="7" w:tentative="0">
      <w:start w:val="1"/>
      <w:numFmt w:val="decimal"/>
      <w:lvlText w:val="%3.%4.%5.%6.%7.%8"/>
      <w:lvlJc w:val="left"/>
      <w:pPr>
        <w:ind w:left="4394" w:hanging="1418"/>
      </w:pPr>
      <w:rPr>
        <w:rFonts w:hint="eastAsia" w:ascii="宋体" w:hAnsi="宋体" w:eastAsia="宋体" w:cs="宋体"/>
      </w:rPr>
    </w:lvl>
    <w:lvl w:ilvl="8" w:tentative="0">
      <w:start w:val="1"/>
      <w:numFmt w:val="decimal"/>
      <w:lvlText w:val="%3.%4.%5.%6.%7.%8.%9"/>
      <w:lvlJc w:val="left"/>
      <w:pPr>
        <w:ind w:left="5102" w:hanging="1700"/>
      </w:pPr>
      <w:rPr>
        <w:rFonts w:hint="eastAsia" w:ascii="宋体" w:hAnsi="宋体" w:eastAsia="宋体" w:cs="宋体"/>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1MDAzMWJmMzEyMjg5OTQyNjFkNDcyNDU5ZGM1Y2YifQ=="/>
    <w:docVar w:name="KSO_WPS_MARK_KEY" w:val="36b8acbf-cf64-4cd1-b9a6-4edb4ecc0d53"/>
  </w:docVars>
  <w:rsids>
    <w:rsidRoot w:val="1F986481"/>
    <w:rsid w:val="000B44D3"/>
    <w:rsid w:val="003D6656"/>
    <w:rsid w:val="005104F7"/>
    <w:rsid w:val="00654D7D"/>
    <w:rsid w:val="0114696D"/>
    <w:rsid w:val="01253372"/>
    <w:rsid w:val="01FE3E1C"/>
    <w:rsid w:val="025874A5"/>
    <w:rsid w:val="02AE00E7"/>
    <w:rsid w:val="030671D3"/>
    <w:rsid w:val="032D650E"/>
    <w:rsid w:val="034677B9"/>
    <w:rsid w:val="03653EFA"/>
    <w:rsid w:val="038A1BB2"/>
    <w:rsid w:val="039B541A"/>
    <w:rsid w:val="04CB4231"/>
    <w:rsid w:val="0543026B"/>
    <w:rsid w:val="0580501B"/>
    <w:rsid w:val="05DA79C7"/>
    <w:rsid w:val="0616597F"/>
    <w:rsid w:val="063D2F0C"/>
    <w:rsid w:val="07100621"/>
    <w:rsid w:val="07174993"/>
    <w:rsid w:val="073315E1"/>
    <w:rsid w:val="074107DA"/>
    <w:rsid w:val="07577FFE"/>
    <w:rsid w:val="07D50D0A"/>
    <w:rsid w:val="08174AFA"/>
    <w:rsid w:val="088E7A4F"/>
    <w:rsid w:val="08D01082"/>
    <w:rsid w:val="08F12A2E"/>
    <w:rsid w:val="09554A11"/>
    <w:rsid w:val="0992531D"/>
    <w:rsid w:val="09C63218"/>
    <w:rsid w:val="0A2F0DBE"/>
    <w:rsid w:val="0AB17A25"/>
    <w:rsid w:val="0B3643CE"/>
    <w:rsid w:val="0BBF6171"/>
    <w:rsid w:val="0C9876E7"/>
    <w:rsid w:val="0CF839A8"/>
    <w:rsid w:val="0D2F33D6"/>
    <w:rsid w:val="0D4D63F1"/>
    <w:rsid w:val="0E97237F"/>
    <w:rsid w:val="0FE577B4"/>
    <w:rsid w:val="0FFC33FA"/>
    <w:rsid w:val="1001144E"/>
    <w:rsid w:val="104430E9"/>
    <w:rsid w:val="112F3D99"/>
    <w:rsid w:val="11DB182B"/>
    <w:rsid w:val="11F33019"/>
    <w:rsid w:val="12437AFC"/>
    <w:rsid w:val="125C0BBE"/>
    <w:rsid w:val="126B2BAF"/>
    <w:rsid w:val="127B18D3"/>
    <w:rsid w:val="13182D37"/>
    <w:rsid w:val="1323348A"/>
    <w:rsid w:val="13761663"/>
    <w:rsid w:val="14117786"/>
    <w:rsid w:val="144813FA"/>
    <w:rsid w:val="14A10B0A"/>
    <w:rsid w:val="14F13AEF"/>
    <w:rsid w:val="14F90946"/>
    <w:rsid w:val="15DF5D8E"/>
    <w:rsid w:val="166C0A45"/>
    <w:rsid w:val="169B0C29"/>
    <w:rsid w:val="176302F9"/>
    <w:rsid w:val="18D019BE"/>
    <w:rsid w:val="192A37C4"/>
    <w:rsid w:val="193A3E6B"/>
    <w:rsid w:val="19467ED2"/>
    <w:rsid w:val="19C85E8A"/>
    <w:rsid w:val="1A07140F"/>
    <w:rsid w:val="1AA80E44"/>
    <w:rsid w:val="1AC612CA"/>
    <w:rsid w:val="1B067919"/>
    <w:rsid w:val="1B900D63"/>
    <w:rsid w:val="1BCC2910"/>
    <w:rsid w:val="1C450915"/>
    <w:rsid w:val="1C6E4E9F"/>
    <w:rsid w:val="1CD75A11"/>
    <w:rsid w:val="1CE41EDC"/>
    <w:rsid w:val="1E3D18A3"/>
    <w:rsid w:val="1E813C7F"/>
    <w:rsid w:val="1F986481"/>
    <w:rsid w:val="204C2272"/>
    <w:rsid w:val="20C462AC"/>
    <w:rsid w:val="21A15EC2"/>
    <w:rsid w:val="21BF6A73"/>
    <w:rsid w:val="21E169EA"/>
    <w:rsid w:val="21E77118"/>
    <w:rsid w:val="2277734E"/>
    <w:rsid w:val="22837AA1"/>
    <w:rsid w:val="22B440FE"/>
    <w:rsid w:val="239F6B5C"/>
    <w:rsid w:val="242B219E"/>
    <w:rsid w:val="245B413D"/>
    <w:rsid w:val="24E72569"/>
    <w:rsid w:val="257A518B"/>
    <w:rsid w:val="25896995"/>
    <w:rsid w:val="25D36F91"/>
    <w:rsid w:val="264F6618"/>
    <w:rsid w:val="27AA5AD0"/>
    <w:rsid w:val="27B8643F"/>
    <w:rsid w:val="27C46B92"/>
    <w:rsid w:val="27C70430"/>
    <w:rsid w:val="27CB7F20"/>
    <w:rsid w:val="290520D8"/>
    <w:rsid w:val="29CE1F49"/>
    <w:rsid w:val="2A225DF1"/>
    <w:rsid w:val="2A685950"/>
    <w:rsid w:val="2A8820F8"/>
    <w:rsid w:val="2AEB24EE"/>
    <w:rsid w:val="2B45623B"/>
    <w:rsid w:val="2BD4136D"/>
    <w:rsid w:val="2BDB5197"/>
    <w:rsid w:val="2C680433"/>
    <w:rsid w:val="2CE43832"/>
    <w:rsid w:val="2CFF5994"/>
    <w:rsid w:val="2D7626DC"/>
    <w:rsid w:val="2DEA4E78"/>
    <w:rsid w:val="2E0C5223"/>
    <w:rsid w:val="2E4E18AB"/>
    <w:rsid w:val="2E821554"/>
    <w:rsid w:val="2EA63495"/>
    <w:rsid w:val="2EB536D8"/>
    <w:rsid w:val="2ED2428A"/>
    <w:rsid w:val="2F1877C3"/>
    <w:rsid w:val="2F464330"/>
    <w:rsid w:val="303411DC"/>
    <w:rsid w:val="306727B0"/>
    <w:rsid w:val="30EC0F07"/>
    <w:rsid w:val="31BC6B2B"/>
    <w:rsid w:val="31D67EB0"/>
    <w:rsid w:val="32250B75"/>
    <w:rsid w:val="33136E97"/>
    <w:rsid w:val="334E5EA9"/>
    <w:rsid w:val="349B2064"/>
    <w:rsid w:val="35944047"/>
    <w:rsid w:val="36323860"/>
    <w:rsid w:val="368340BC"/>
    <w:rsid w:val="3699743B"/>
    <w:rsid w:val="371D1E1A"/>
    <w:rsid w:val="37DB1BF5"/>
    <w:rsid w:val="3802063D"/>
    <w:rsid w:val="38763ED8"/>
    <w:rsid w:val="38B60778"/>
    <w:rsid w:val="38BE762D"/>
    <w:rsid w:val="3AEC222F"/>
    <w:rsid w:val="3AF410E4"/>
    <w:rsid w:val="3C3A6FCB"/>
    <w:rsid w:val="3CA60B04"/>
    <w:rsid w:val="3CC179FF"/>
    <w:rsid w:val="3CE37662"/>
    <w:rsid w:val="3E467EA9"/>
    <w:rsid w:val="3E7A4524"/>
    <w:rsid w:val="3EA03A5D"/>
    <w:rsid w:val="3EAF3CA0"/>
    <w:rsid w:val="406B3BF6"/>
    <w:rsid w:val="411B561D"/>
    <w:rsid w:val="428B1739"/>
    <w:rsid w:val="42F851B8"/>
    <w:rsid w:val="43BD0C0D"/>
    <w:rsid w:val="43E052CD"/>
    <w:rsid w:val="44A21BB1"/>
    <w:rsid w:val="44EE4DF6"/>
    <w:rsid w:val="455530C7"/>
    <w:rsid w:val="457E43CC"/>
    <w:rsid w:val="45FB5A1D"/>
    <w:rsid w:val="460F3276"/>
    <w:rsid w:val="46244F73"/>
    <w:rsid w:val="4645313C"/>
    <w:rsid w:val="47412E3C"/>
    <w:rsid w:val="475A5FE3"/>
    <w:rsid w:val="47737835"/>
    <w:rsid w:val="48496F13"/>
    <w:rsid w:val="487B1097"/>
    <w:rsid w:val="487E46E3"/>
    <w:rsid w:val="48DC7D87"/>
    <w:rsid w:val="492B728C"/>
    <w:rsid w:val="49583186"/>
    <w:rsid w:val="49A37071"/>
    <w:rsid w:val="4A174A8F"/>
    <w:rsid w:val="4A3414FD"/>
    <w:rsid w:val="4A3961AC"/>
    <w:rsid w:val="4A99652F"/>
    <w:rsid w:val="4AD86409"/>
    <w:rsid w:val="4B614574"/>
    <w:rsid w:val="4B92297F"/>
    <w:rsid w:val="4BA426B2"/>
    <w:rsid w:val="4C0D3FFB"/>
    <w:rsid w:val="4CDE39A2"/>
    <w:rsid w:val="4D9B7394"/>
    <w:rsid w:val="4DDD3C5A"/>
    <w:rsid w:val="4DE91067"/>
    <w:rsid w:val="4E4D5283"/>
    <w:rsid w:val="4E5263F6"/>
    <w:rsid w:val="4EC5306C"/>
    <w:rsid w:val="4EFB4CDF"/>
    <w:rsid w:val="4FC32A8F"/>
    <w:rsid w:val="500E459E"/>
    <w:rsid w:val="502618E8"/>
    <w:rsid w:val="50BA005B"/>
    <w:rsid w:val="50DB0924"/>
    <w:rsid w:val="51316796"/>
    <w:rsid w:val="51BD6537"/>
    <w:rsid w:val="523D0E4F"/>
    <w:rsid w:val="52623FB6"/>
    <w:rsid w:val="527E3C5D"/>
    <w:rsid w:val="52896FF7"/>
    <w:rsid w:val="52BB6C5F"/>
    <w:rsid w:val="534F31D7"/>
    <w:rsid w:val="538A6ABE"/>
    <w:rsid w:val="53DF1EC4"/>
    <w:rsid w:val="54424CE4"/>
    <w:rsid w:val="547551B7"/>
    <w:rsid w:val="550A7A2A"/>
    <w:rsid w:val="55197C6D"/>
    <w:rsid w:val="558570B1"/>
    <w:rsid w:val="558C043F"/>
    <w:rsid w:val="55DF2C65"/>
    <w:rsid w:val="563B1BAA"/>
    <w:rsid w:val="56637DF2"/>
    <w:rsid w:val="56777AE0"/>
    <w:rsid w:val="57167B89"/>
    <w:rsid w:val="572B0584"/>
    <w:rsid w:val="57AD436E"/>
    <w:rsid w:val="57B167FE"/>
    <w:rsid w:val="57CA34A1"/>
    <w:rsid w:val="58393655"/>
    <w:rsid w:val="5866766D"/>
    <w:rsid w:val="588B2C30"/>
    <w:rsid w:val="59637709"/>
    <w:rsid w:val="59C52172"/>
    <w:rsid w:val="59E940B2"/>
    <w:rsid w:val="5A2A6479"/>
    <w:rsid w:val="5A3B0686"/>
    <w:rsid w:val="5A8D4B2E"/>
    <w:rsid w:val="5AB3646E"/>
    <w:rsid w:val="5BED3C02"/>
    <w:rsid w:val="5C732614"/>
    <w:rsid w:val="5CB0535B"/>
    <w:rsid w:val="5CD56B70"/>
    <w:rsid w:val="5D081E82"/>
    <w:rsid w:val="5D177188"/>
    <w:rsid w:val="5D1C319C"/>
    <w:rsid w:val="5D211DB5"/>
    <w:rsid w:val="5DB93D9B"/>
    <w:rsid w:val="5DFD637E"/>
    <w:rsid w:val="5F8B79B9"/>
    <w:rsid w:val="6138147B"/>
    <w:rsid w:val="61AF4C4A"/>
    <w:rsid w:val="62830E1C"/>
    <w:rsid w:val="62982EC7"/>
    <w:rsid w:val="63095CF2"/>
    <w:rsid w:val="6361115D"/>
    <w:rsid w:val="63EE0517"/>
    <w:rsid w:val="64151F48"/>
    <w:rsid w:val="646023AE"/>
    <w:rsid w:val="654A0B5E"/>
    <w:rsid w:val="65A92B46"/>
    <w:rsid w:val="65FC516D"/>
    <w:rsid w:val="660C7EBD"/>
    <w:rsid w:val="66154481"/>
    <w:rsid w:val="67393D61"/>
    <w:rsid w:val="67B850C4"/>
    <w:rsid w:val="68833924"/>
    <w:rsid w:val="68DE0B5A"/>
    <w:rsid w:val="68FE539B"/>
    <w:rsid w:val="692F7608"/>
    <w:rsid w:val="69913E1E"/>
    <w:rsid w:val="699D27C3"/>
    <w:rsid w:val="6A9C2A7B"/>
    <w:rsid w:val="6B4A616F"/>
    <w:rsid w:val="6B916358"/>
    <w:rsid w:val="6BA22313"/>
    <w:rsid w:val="6BC80F6B"/>
    <w:rsid w:val="6C164AAF"/>
    <w:rsid w:val="6C327132"/>
    <w:rsid w:val="6CC85DA9"/>
    <w:rsid w:val="6D45564C"/>
    <w:rsid w:val="6D9E4D5C"/>
    <w:rsid w:val="6DB12B4C"/>
    <w:rsid w:val="6E1A0886"/>
    <w:rsid w:val="6E6C6C08"/>
    <w:rsid w:val="6EA63EC8"/>
    <w:rsid w:val="6FA523D2"/>
    <w:rsid w:val="6FA63AB6"/>
    <w:rsid w:val="6FAA3E8C"/>
    <w:rsid w:val="703D085C"/>
    <w:rsid w:val="70FC0717"/>
    <w:rsid w:val="7160340E"/>
    <w:rsid w:val="728B4E57"/>
    <w:rsid w:val="72CA214F"/>
    <w:rsid w:val="731F249B"/>
    <w:rsid w:val="73625832"/>
    <w:rsid w:val="73C372CA"/>
    <w:rsid w:val="73E57241"/>
    <w:rsid w:val="740022CC"/>
    <w:rsid w:val="743C0C33"/>
    <w:rsid w:val="748051BB"/>
    <w:rsid w:val="75B01893"/>
    <w:rsid w:val="75B06567"/>
    <w:rsid w:val="761756AB"/>
    <w:rsid w:val="76B40C43"/>
    <w:rsid w:val="76FB6D7B"/>
    <w:rsid w:val="77B04009"/>
    <w:rsid w:val="77FE6B23"/>
    <w:rsid w:val="785E5813"/>
    <w:rsid w:val="78D635FC"/>
    <w:rsid w:val="7916483D"/>
    <w:rsid w:val="7A2F491E"/>
    <w:rsid w:val="7A460C55"/>
    <w:rsid w:val="7AA5772A"/>
    <w:rsid w:val="7B0643C9"/>
    <w:rsid w:val="7B385575"/>
    <w:rsid w:val="7C2A25D8"/>
    <w:rsid w:val="7E483361"/>
    <w:rsid w:val="7E5E656D"/>
    <w:rsid w:val="7E790340"/>
    <w:rsid w:val="7F0361DD"/>
    <w:rsid w:val="7F9C651C"/>
    <w:rsid w:val="7FAA567E"/>
    <w:rsid w:val="7FC54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3"/>
    <w:basedOn w:val="1"/>
    <w:next w:val="1"/>
    <w:qFormat/>
    <w:uiPriority w:val="9"/>
    <w:pPr>
      <w:keepNext/>
      <w:keepLines/>
      <w:numPr>
        <w:ilvl w:val="2"/>
        <w:numId w:val="1"/>
      </w:numPr>
      <w:spacing w:before="120" w:after="120" w:line="360" w:lineRule="auto"/>
      <w:outlineLvl w:val="2"/>
    </w:pPr>
    <w:rPr>
      <w:b/>
      <w:bCs/>
      <w:sz w:val="30"/>
      <w:szCs w:val="32"/>
    </w:rPr>
  </w:style>
  <w:style w:type="paragraph" w:styleId="3">
    <w:name w:val="heading 4"/>
    <w:next w:val="1"/>
    <w:qFormat/>
    <w:uiPriority w:val="0"/>
    <w:pPr>
      <w:keepNext/>
      <w:keepLines/>
      <w:widowControl w:val="0"/>
      <w:spacing w:before="280" w:after="290" w:line="376" w:lineRule="auto"/>
      <w:jc w:val="both"/>
      <w:outlineLvl w:val="3"/>
    </w:pPr>
    <w:rPr>
      <w:rFonts w:ascii="Cambria" w:hAnsi="Cambria" w:eastAsia="宋体" w:cs="Times New Roman"/>
      <w:b/>
      <w:bCs/>
      <w:kern w:val="2"/>
      <w:sz w:val="28"/>
      <w:szCs w:val="28"/>
      <w:lang w:val="en-US" w:eastAsia="zh-CN" w:bidi="ar-SA"/>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pPr>
    <w:rPr>
      <w:szCs w:val="20"/>
    </w:rPr>
  </w:style>
  <w:style w:type="paragraph" w:styleId="5">
    <w:name w:val="Body Text"/>
    <w:basedOn w:val="1"/>
    <w:next w:val="6"/>
    <w:qFormat/>
    <w:uiPriority w:val="0"/>
    <w:pPr>
      <w:spacing w:line="380" w:lineRule="exact"/>
    </w:pPr>
    <w:rPr>
      <w:sz w:val="24"/>
    </w:rPr>
  </w:style>
  <w:style w:type="paragraph" w:customStyle="1" w:styleId="6">
    <w:name w:val="样式 表格正文 + 两端对齐"/>
    <w:next w:val="7"/>
    <w:qFormat/>
    <w:uiPriority w:val="0"/>
    <w:pPr>
      <w:widowControl w:val="0"/>
      <w:spacing w:line="300" w:lineRule="auto"/>
      <w:jc w:val="both"/>
    </w:pPr>
    <w:rPr>
      <w:rFonts w:ascii="Calibri" w:hAnsi="Calibri" w:eastAsia="宋体" w:cs="Arial"/>
      <w:kern w:val="2"/>
      <w:sz w:val="21"/>
      <w:szCs w:val="22"/>
      <w:lang w:val="en-US" w:eastAsia="zh-CN" w:bidi="ar-SA"/>
    </w:rPr>
  </w:style>
  <w:style w:type="paragraph" w:customStyle="1" w:styleId="7">
    <w:name w:val="正文1"/>
    <w:qFormat/>
    <w:uiPriority w:val="0"/>
    <w:pPr>
      <w:widowControl w:val="0"/>
      <w:spacing w:line="480" w:lineRule="exact"/>
      <w:ind w:firstLine="567"/>
      <w:jc w:val="both"/>
    </w:pPr>
    <w:rPr>
      <w:rFonts w:ascii="幼圆" w:hAnsi="Calibri" w:eastAsia="幼圆" w:cs="Arial"/>
      <w:kern w:val="2"/>
      <w:sz w:val="28"/>
      <w:szCs w:val="20"/>
      <w:lang w:val="en-US" w:eastAsia="zh-CN" w:bidi="ar-SA"/>
    </w:rPr>
  </w:style>
  <w:style w:type="paragraph" w:styleId="8">
    <w:name w:val="Body Text Indent"/>
    <w:next w:val="1"/>
    <w:qFormat/>
    <w:uiPriority w:val="0"/>
    <w:pPr>
      <w:widowControl w:val="0"/>
      <w:ind w:firstLine="560" w:firstLineChars="200"/>
      <w:jc w:val="both"/>
    </w:pPr>
    <w:rPr>
      <w:rFonts w:ascii="宋体" w:hAnsi="宋体" w:eastAsia="宋体" w:cs="Arial"/>
      <w:kern w:val="2"/>
      <w:sz w:val="28"/>
      <w:szCs w:val="28"/>
      <w:lang w:val="en-US" w:eastAsia="zh-CN" w:bidi="ar-SA"/>
    </w:rPr>
  </w:style>
  <w:style w:type="paragraph" w:styleId="9">
    <w:name w:val="Plain Text"/>
    <w:basedOn w:val="1"/>
    <w:qFormat/>
    <w:uiPriority w:val="0"/>
    <w:rPr>
      <w:rFonts w:ascii="宋体" w:hAnsi="Courier New"/>
      <w:szCs w:val="20"/>
    </w:rPr>
  </w:style>
  <w:style w:type="paragraph" w:styleId="10">
    <w:name w:val="Body Text Indent 2"/>
    <w:basedOn w:val="1"/>
    <w:qFormat/>
    <w:uiPriority w:val="0"/>
    <w:pPr>
      <w:spacing w:line="20" w:lineRule="atLeast"/>
      <w:ind w:firstLine="199" w:firstLineChars="199"/>
      <w:jc w:val="left"/>
    </w:pPr>
    <w:rPr>
      <w:rFonts w:ascii="宋体"/>
      <w:sz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qFormat/>
    <w:uiPriority w:val="0"/>
    <w:pPr>
      <w:widowControl w:val="0"/>
      <w:pBdr>
        <w:bottom w:val="single" w:color="auto" w:sz="6" w:space="1"/>
      </w:pBdr>
      <w:tabs>
        <w:tab w:val="center" w:pos="4153"/>
        <w:tab w:val="right" w:pos="8306"/>
      </w:tabs>
      <w:adjustRightInd w:val="0"/>
      <w:snapToGrid w:val="0"/>
      <w:spacing w:line="360" w:lineRule="atLeast"/>
      <w:jc w:val="center"/>
      <w:textAlignment w:val="baseline"/>
    </w:pPr>
    <w:rPr>
      <w:rFonts w:ascii="Times New Roman" w:hAnsi="Times New Roman" w:eastAsia="宋体" w:cs="Times New Roman"/>
      <w:sz w:val="18"/>
      <w:szCs w:val="18"/>
      <w:lang w:val="en-US" w:eastAsia="zh-CN" w:bidi="ar-SA"/>
    </w:rPr>
  </w:style>
  <w:style w:type="paragraph" w:styleId="13">
    <w:name w:val="toc 1"/>
    <w:basedOn w:val="1"/>
    <w:next w:val="1"/>
    <w:qFormat/>
    <w:uiPriority w:val="39"/>
    <w:pPr>
      <w:spacing w:before="120" w:after="120"/>
      <w:jc w:val="left"/>
    </w:pPr>
    <w:rPr>
      <w:rFonts w:ascii="Calibri" w:hAnsi="Calibri"/>
      <w:b/>
      <w:bCs/>
      <w:caps/>
      <w:sz w:val="20"/>
    </w:rPr>
  </w:style>
  <w:style w:type="paragraph" w:styleId="14">
    <w:name w:val="Body Text Indent 3"/>
    <w:basedOn w:val="1"/>
    <w:unhideWhenUsed/>
    <w:qFormat/>
    <w:uiPriority w:val="99"/>
    <w:pPr>
      <w:spacing w:after="120"/>
      <w:ind w:left="420" w:leftChars="200"/>
    </w:pPr>
    <w:rPr>
      <w:kern w:val="2"/>
      <w:sz w:val="16"/>
      <w:szCs w:val="16"/>
    </w:rPr>
  </w:style>
  <w:style w:type="paragraph" w:styleId="1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
    </w:rPr>
  </w:style>
  <w:style w:type="paragraph" w:styleId="16">
    <w:name w:val="Body Text First Indent 2"/>
    <w:qFormat/>
    <w:uiPriority w:val="99"/>
    <w:pPr>
      <w:widowControl w:val="0"/>
      <w:ind w:firstLine="420" w:firstLineChars="200"/>
      <w:jc w:val="both"/>
    </w:pPr>
    <w:rPr>
      <w:rFonts w:ascii="宋体" w:hAnsi="宋体" w:eastAsia="宋体" w:cs="Arial"/>
      <w:kern w:val="2"/>
      <w:sz w:val="28"/>
      <w:szCs w:val="28"/>
      <w:lang w:val="en-US" w:eastAsia="zh-CN" w:bidi="ar-SA"/>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22"/>
    <w:rPr>
      <w:b/>
      <w:bCs/>
    </w:rPr>
  </w:style>
  <w:style w:type="paragraph" w:customStyle="1" w:styleId="21">
    <w:name w:val="样式 标题 3 + (中文) 黑体 小四 非加粗 段前: 7.8 磅 段后: 0 磅 行距: 固定值 20 磅"/>
    <w:basedOn w:val="2"/>
    <w:qFormat/>
    <w:uiPriority w:val="0"/>
    <w:pPr>
      <w:spacing w:before="0" w:after="0" w:line="400" w:lineRule="exact"/>
    </w:pPr>
    <w:rPr>
      <w:rFonts w:eastAsia="黑体" w:cs="宋体"/>
      <w:b w:val="0"/>
      <w:bCs w:val="0"/>
      <w:sz w:val="24"/>
      <w:szCs w:val="20"/>
    </w:rPr>
  </w:style>
  <w:style w:type="paragraph" w:customStyle="1" w:styleId="22">
    <w:name w:val="Fließtext"/>
    <w:basedOn w:val="1"/>
    <w:qFormat/>
    <w:uiPriority w:val="0"/>
    <w:pPr>
      <w:overflowPunct w:val="0"/>
      <w:autoSpaceDE w:val="0"/>
      <w:autoSpaceDN w:val="0"/>
      <w:adjustRightInd w:val="0"/>
      <w:textAlignment w:val="baseline"/>
    </w:pPr>
    <w:rPr>
      <w:kern w:val="28"/>
      <w:szCs w:val="20"/>
    </w:rPr>
  </w:style>
  <w:style w:type="paragraph" w:customStyle="1" w:styleId="23">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24">
    <w:name w:val="样式3"/>
    <w:basedOn w:val="9"/>
    <w:qFormat/>
    <w:uiPriority w:val="0"/>
    <w:pPr>
      <w:spacing w:line="0" w:lineRule="atLeast"/>
      <w:outlineLvl w:val="0"/>
    </w:pPr>
    <w:rPr>
      <w:sz w:val="28"/>
    </w:rPr>
  </w:style>
  <w:style w:type="paragraph" w:customStyle="1" w:styleId="25">
    <w:name w:val="Other|1"/>
    <w:basedOn w:val="1"/>
    <w:qFormat/>
    <w:uiPriority w:val="0"/>
    <w:pPr>
      <w:widowControl w:val="0"/>
      <w:shd w:val="clear" w:color="auto" w:fill="auto"/>
      <w:spacing w:after="40" w:line="293" w:lineRule="auto"/>
    </w:pPr>
    <w:rPr>
      <w:rFonts w:ascii="宋体" w:hAnsi="宋体" w:eastAsia="宋体" w:cs="宋体"/>
      <w:sz w:val="22"/>
      <w:szCs w:val="22"/>
      <w:u w:val="none"/>
      <w:shd w:val="clear" w:color="auto" w:fill="auto"/>
      <w:lang w:val="zh-TW" w:eastAsia="zh-TW" w:bidi="zh-TW"/>
    </w:rPr>
  </w:style>
  <w:style w:type="paragraph" w:customStyle="1" w:styleId="26">
    <w:name w:val="标题 4_0"/>
    <w:next w:val="27"/>
    <w:qFormat/>
    <w:uiPriority w:val="0"/>
    <w:pPr>
      <w:keepNext/>
      <w:keepLines/>
      <w:widowControl w:val="0"/>
      <w:spacing w:before="280" w:after="290" w:line="372" w:lineRule="auto"/>
      <w:jc w:val="both"/>
      <w:outlineLvl w:val="3"/>
    </w:pPr>
    <w:rPr>
      <w:rFonts w:ascii="Arial" w:hAnsi="Arial" w:eastAsia="黑体" w:cs="Times New Roman"/>
      <w:b/>
      <w:bCs/>
      <w:kern w:val="2"/>
      <w:sz w:val="28"/>
      <w:szCs w:val="28"/>
      <w:lang w:val="en-US" w:eastAsia="zh-CN" w:bidi="ar-SA"/>
    </w:rPr>
  </w:style>
  <w:style w:type="paragraph" w:customStyle="1" w:styleId="2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正文_0_0_0"/>
    <w:qFormat/>
    <w:uiPriority w:val="99"/>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5366</Words>
  <Characters>5963</Characters>
  <Lines>0</Lines>
  <Paragraphs>0</Paragraphs>
  <TotalTime>0</TotalTime>
  <ScaleCrop>false</ScaleCrop>
  <LinksUpToDate>false</LinksUpToDate>
  <CharactersWithSpaces>6326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2023-12-29T03:29:00Z</dcterms:created>
  <dc:creator>土豆排骨的滋味</dc:creator>
  <cp:lastModifiedBy>Administrator</cp:lastModifiedBy>
  <cp:lastPrinted>2024-04-12T07:29:00Z</cp:lastPrinted>
  <dcterms:modified xsi:type="dcterms:W3CDTF">2026-05-13T09:32:26Z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8AEF00998A294AE58A580090F2586342_11</vt:lpwstr>
  </property>
  <property fmtid="{D5CDD505-2E9C-101B-9397-08002B2CF9AE}" pid="4" name="KSOTemplateDocerSaveRecord">
    <vt:lpwstr>eyJoZGlkIjoiOGFjMmU0Yjk5NmUyMjAwNzM3OGEzNzg5ZGMyZDkzOWUiLCJ1c2VySWQiOiIxNTc4Njk4MDQ3In0=</vt:lpwstr>
  </property>
</Properties>
</file>