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2981A">
      <w:pPr>
        <w:widowControl/>
        <w:shd w:val="clear"/>
        <w:snapToGrid/>
        <w:spacing w:before="0" w:line="360" w:lineRule="auto"/>
        <w:ind w:left="0" w:firstLine="560" w:firstLineChars="200"/>
        <w:jc w:val="center"/>
        <w:rPr>
          <w:rFonts w:hint="eastAsia" w:asciiTheme="minorEastAsia" w:hAnsiTheme="minorEastAsia" w:eastAsiaTheme="minorEastAsia" w:cstheme="minorEastAsia"/>
          <w:b/>
          <w:bCs/>
          <w:color w:val="auto"/>
          <w:sz w:val="24"/>
          <w:szCs w:val="24"/>
          <w:highlight w:val="none"/>
        </w:rPr>
      </w:pPr>
      <w:r>
        <w:rPr>
          <w:rFonts w:hint="eastAsia" w:ascii="方正小标宋简体" w:hAnsi="方正小标宋简体" w:eastAsia="方正小标宋简体" w:cs="方正小标宋简体"/>
          <w:b w:val="0"/>
          <w:bCs w:val="0"/>
          <w:color w:val="auto"/>
          <w:kern w:val="2"/>
          <w:sz w:val="28"/>
          <w:szCs w:val="28"/>
          <w:highlight w:val="none"/>
        </w:rPr>
        <w:t>网络竞价须知</w:t>
      </w:r>
    </w:p>
    <w:p w14:paraId="684621EC">
      <w:pPr>
        <w:widowControl/>
        <w:shd w:val="clear"/>
        <w:snapToGrid/>
        <w:spacing w:before="0" w:line="360" w:lineRule="auto"/>
        <w:ind w:left="0"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rPr>
        <w:t>（项目编号:</w:t>
      </w:r>
      <w:r>
        <w:rPr>
          <w:rFonts w:hint="eastAsia" w:asciiTheme="minorEastAsia" w:hAnsiTheme="minorEastAsia" w:eastAsiaTheme="minorEastAsia" w:cstheme="minorEastAsia"/>
          <w:b w:val="0"/>
          <w:bCs w:val="0"/>
          <w:color w:val="auto"/>
          <w:kern w:val="2"/>
          <w:sz w:val="24"/>
          <w:szCs w:val="24"/>
          <w:highlight w:val="none"/>
          <w:shd w:val="clear"/>
          <w:lang w:eastAsia="zh-CN"/>
        </w:rPr>
        <w:t>LCCQJJ2026</w:t>
      </w:r>
      <w:r>
        <w:rPr>
          <w:rFonts w:hint="eastAsia" w:asciiTheme="minorEastAsia" w:hAnsiTheme="minorEastAsia" w:eastAsiaTheme="minorEastAsia" w:cstheme="minorEastAsia"/>
          <w:b w:val="0"/>
          <w:bCs w:val="0"/>
          <w:color w:val="auto"/>
          <w:kern w:val="2"/>
          <w:sz w:val="24"/>
          <w:szCs w:val="24"/>
          <w:highlight w:val="none"/>
          <w:shd w:val="clear"/>
          <w:lang w:val="en-US" w:eastAsia="zh-CN"/>
        </w:rPr>
        <w:t>0615-2</w:t>
      </w:r>
      <w:r>
        <w:rPr>
          <w:rFonts w:hint="eastAsia" w:asciiTheme="minorEastAsia" w:hAnsiTheme="minorEastAsia" w:eastAsiaTheme="minorEastAsia" w:cstheme="minorEastAsia"/>
          <w:b w:val="0"/>
          <w:bCs w:val="0"/>
          <w:color w:val="auto"/>
          <w:kern w:val="2"/>
          <w:sz w:val="24"/>
          <w:szCs w:val="24"/>
          <w:highlight w:val="none"/>
          <w:shd w:val="clear"/>
        </w:rPr>
        <w:t>）</w:t>
      </w:r>
    </w:p>
    <w:p w14:paraId="3DFA4F91">
      <w:pPr>
        <w:widowControl/>
        <w:shd w:val="clear"/>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连城县国有资产产权交易服务有限公司</w:t>
      </w:r>
      <w:r>
        <w:rPr>
          <w:rFonts w:hint="eastAsia" w:asciiTheme="minorEastAsia" w:hAnsiTheme="minorEastAsia" w:eastAsiaTheme="minorEastAsia" w:cstheme="minorEastAsia"/>
          <w:color w:val="auto"/>
          <w:kern w:val="2"/>
          <w:sz w:val="24"/>
          <w:szCs w:val="24"/>
          <w:highlight w:val="none"/>
          <w:shd w:val="clear"/>
        </w:rPr>
        <w:t>（以下简称本公司）遵循“公开、公平、公正、诚实信用”的原则，依照国家法律、法规、政策为本次竞价活动提供服务。现将有关竞价事项告知如下：</w:t>
      </w:r>
    </w:p>
    <w:p w14:paraId="08C9862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一、竞价时间、报名时间</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lang w:val="en-US" w:eastAsia="zh-CN"/>
        </w:rPr>
        <w:t>竞价</w:t>
      </w:r>
      <w:r>
        <w:rPr>
          <w:rFonts w:hint="eastAsia" w:asciiTheme="minorEastAsia" w:hAnsiTheme="minorEastAsia" w:eastAsiaTheme="minorEastAsia" w:cstheme="minorEastAsia"/>
          <w:b/>
          <w:bCs/>
          <w:color w:val="auto"/>
          <w:kern w:val="2"/>
          <w:sz w:val="24"/>
          <w:szCs w:val="24"/>
          <w:highlight w:val="none"/>
          <w:shd w:val="clear"/>
        </w:rPr>
        <w:t>地点</w:t>
      </w:r>
    </w:p>
    <w:p w14:paraId="73914261">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竞价截止时间：2026</w:t>
      </w:r>
      <w:r>
        <w:rPr>
          <w:rFonts w:hint="eastAsia" w:asciiTheme="minorEastAsia" w:hAnsiTheme="minorEastAsia" w:eastAsiaTheme="minorEastAsia" w:cstheme="minorEastAsia"/>
          <w:color w:val="auto"/>
          <w:kern w:val="2"/>
          <w:sz w:val="24"/>
          <w:szCs w:val="24"/>
          <w:highlight w:val="none"/>
          <w:shd w:val="clear"/>
          <w:lang w:val="en-US" w:eastAsia="zh-CN"/>
        </w:rPr>
        <w:t>年6</w:t>
      </w:r>
      <w:r>
        <w:rPr>
          <w:rFonts w:hint="eastAsia" w:asciiTheme="minorEastAsia" w:hAnsiTheme="minorEastAsia" w:eastAsiaTheme="minorEastAsia" w:cstheme="minorEastAsia"/>
          <w:color w:val="auto"/>
          <w:kern w:val="2"/>
          <w:sz w:val="24"/>
          <w:szCs w:val="24"/>
          <w:highlight w:val="none"/>
          <w:shd w:val="clear"/>
          <w:lang w:eastAsia="zh-CN"/>
        </w:rPr>
        <w:t>月</w:t>
      </w:r>
      <w:r>
        <w:rPr>
          <w:rFonts w:hint="eastAsia" w:asciiTheme="minorEastAsia" w:hAnsiTheme="minorEastAsia" w:eastAsiaTheme="minorEastAsia" w:cstheme="minorEastAsia"/>
          <w:color w:val="auto"/>
          <w:kern w:val="2"/>
          <w:sz w:val="24"/>
          <w:szCs w:val="24"/>
          <w:highlight w:val="none"/>
          <w:shd w:val="clear"/>
          <w:lang w:val="en-US" w:eastAsia="zh-CN"/>
        </w:rPr>
        <w:t>15</w:t>
      </w:r>
      <w:r>
        <w:rPr>
          <w:rFonts w:hint="eastAsia" w:asciiTheme="minorEastAsia" w:hAnsiTheme="minorEastAsia" w:eastAsiaTheme="minorEastAsia" w:cstheme="minorEastAsia"/>
          <w:color w:val="auto"/>
          <w:kern w:val="2"/>
          <w:sz w:val="24"/>
          <w:szCs w:val="24"/>
          <w:highlight w:val="none"/>
          <w:shd w:val="clear"/>
          <w:lang w:eastAsia="zh-CN"/>
        </w:rPr>
        <w:t>日</w:t>
      </w:r>
      <w:r>
        <w:rPr>
          <w:rFonts w:hint="eastAsia" w:asciiTheme="minorEastAsia" w:hAnsiTheme="minorEastAsia" w:eastAsiaTheme="minorEastAsia" w:cstheme="minorEastAsia"/>
          <w:color w:val="auto"/>
          <w:kern w:val="2"/>
          <w:sz w:val="24"/>
          <w:szCs w:val="24"/>
          <w:highlight w:val="none"/>
          <w:shd w:val="clear"/>
        </w:rPr>
        <w:t xml:space="preserve"> 上午10:00止</w:t>
      </w:r>
    </w:p>
    <w:p w14:paraId="5A965918">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竞价地点：连城县招标投标交易平台（https://lcyjy.enjoy5191.com/home）</w:t>
      </w:r>
    </w:p>
    <w:p w14:paraId="45422928">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报名截止时间：2026年</w:t>
      </w: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lang w:eastAsia="zh-CN"/>
        </w:rPr>
        <w:t>月</w:t>
      </w:r>
      <w:r>
        <w:rPr>
          <w:rFonts w:hint="eastAsia" w:asciiTheme="minorEastAsia" w:hAnsiTheme="minorEastAsia" w:eastAsiaTheme="minorEastAsia" w:cstheme="minorEastAsia"/>
          <w:color w:val="auto"/>
          <w:kern w:val="2"/>
          <w:sz w:val="24"/>
          <w:szCs w:val="24"/>
          <w:highlight w:val="none"/>
          <w:shd w:val="clear"/>
          <w:lang w:val="en-US" w:eastAsia="zh-CN"/>
        </w:rPr>
        <w:t>15</w:t>
      </w:r>
      <w:r>
        <w:rPr>
          <w:rFonts w:hint="eastAsia" w:asciiTheme="minorEastAsia" w:hAnsiTheme="minorEastAsia" w:eastAsiaTheme="minorEastAsia" w:cstheme="minorEastAsia"/>
          <w:color w:val="auto"/>
          <w:kern w:val="2"/>
          <w:sz w:val="24"/>
          <w:szCs w:val="24"/>
          <w:highlight w:val="none"/>
          <w:shd w:val="clear"/>
          <w:lang w:eastAsia="zh-CN"/>
        </w:rPr>
        <w:t>日</w:t>
      </w:r>
      <w:r>
        <w:rPr>
          <w:rFonts w:hint="eastAsia" w:asciiTheme="minorEastAsia" w:hAnsiTheme="minorEastAsia" w:eastAsiaTheme="minorEastAsia" w:cstheme="minorEastAsia"/>
          <w:color w:val="auto"/>
          <w:kern w:val="2"/>
          <w:sz w:val="24"/>
          <w:szCs w:val="24"/>
          <w:highlight w:val="none"/>
          <w:shd w:val="clear"/>
        </w:rPr>
        <w:t xml:space="preserve"> 上午10:00止</w:t>
      </w:r>
    </w:p>
    <w:p w14:paraId="062764F5">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报名地点：连城县招标投标交易平台（https://lcyjy.enjoy5191.com/home）</w:t>
      </w:r>
    </w:p>
    <w:p w14:paraId="451B532A">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连城产权联系电话：李先生 0597-8911670</w:t>
      </w:r>
    </w:p>
    <w:p w14:paraId="3217ACC7">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（工作日上班时间：08:00-12:00,14:30-17:30）</w:t>
      </w:r>
    </w:p>
    <w:p w14:paraId="1807A17A">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、项目</w:t>
      </w:r>
      <w:r>
        <w:rPr>
          <w:rFonts w:hint="eastAsia" w:asciiTheme="minorEastAsia" w:hAnsiTheme="minorEastAsia" w:eastAsiaTheme="minorEastAsia" w:cstheme="minorEastAsia"/>
          <w:b/>
          <w:bCs/>
          <w:color w:val="auto"/>
          <w:sz w:val="24"/>
          <w:szCs w:val="24"/>
          <w:highlight w:val="none"/>
          <w:lang w:eastAsia="zh-CN"/>
        </w:rPr>
        <w:t>概况</w:t>
      </w:r>
      <w:r>
        <w:rPr>
          <w:rFonts w:hint="eastAsia" w:asciiTheme="minorEastAsia" w:hAnsiTheme="minorEastAsia" w:eastAsiaTheme="minorEastAsia" w:cstheme="minorEastAsia"/>
          <w:b/>
          <w:bCs/>
          <w:color w:val="auto"/>
          <w:sz w:val="24"/>
          <w:szCs w:val="24"/>
          <w:highlight w:val="none"/>
        </w:rPr>
        <w:t>及</w:t>
      </w: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要求</w:t>
      </w:r>
    </w:p>
    <w:p w14:paraId="716A5DA5">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1.项目名称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u w:val="none"/>
          <w:lang w:eastAsia="zh-CN"/>
        </w:rPr>
        <w:t>新能源汽车旅馆筹备期咨询管理服务采购项目（</w:t>
      </w:r>
      <w:r>
        <w:rPr>
          <w:rFonts w:hint="eastAsia" w:asciiTheme="minorEastAsia" w:hAnsiTheme="minorEastAsia" w:eastAsiaTheme="minorEastAsia" w:cstheme="minorEastAsia"/>
          <w:color w:val="auto"/>
          <w:kern w:val="2"/>
          <w:sz w:val="24"/>
          <w:szCs w:val="24"/>
          <w:highlight w:val="none"/>
          <w:u w:val="none"/>
          <w:lang w:val="en-US" w:eastAsia="zh-CN"/>
        </w:rPr>
        <w:t>二次</w:t>
      </w:r>
      <w:r>
        <w:rPr>
          <w:rFonts w:hint="eastAsia" w:asciiTheme="minorEastAsia" w:hAnsiTheme="minorEastAsia" w:eastAsiaTheme="minorEastAsia" w:cstheme="minorEastAsia"/>
          <w:color w:val="auto"/>
          <w:kern w:val="2"/>
          <w:sz w:val="24"/>
          <w:szCs w:val="24"/>
          <w:highlight w:val="none"/>
          <w:u w:val="none"/>
          <w:lang w:eastAsia="zh-CN"/>
        </w:rPr>
        <w:t>）</w:t>
      </w:r>
    </w:p>
    <w:p w14:paraId="0C99C9C8">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2.项目背景与服务目的：</w:t>
      </w:r>
      <w:r>
        <w:rPr>
          <w:rFonts w:hint="eastAsia" w:asciiTheme="minorEastAsia" w:hAnsiTheme="minorEastAsia" w:eastAsiaTheme="minorEastAsia" w:cstheme="minorEastAsia"/>
          <w:b w:val="0"/>
          <w:bCs w:val="0"/>
          <w:color w:val="auto"/>
          <w:kern w:val="2"/>
          <w:sz w:val="24"/>
          <w:szCs w:val="24"/>
          <w:highlight w:val="none"/>
          <w:lang w:val="en-US" w:eastAsia="zh-CN" w:bidi="ar-SA"/>
        </w:rPr>
        <w:t>为推动酒店服务向标准化、专业化、精细化提质升级，实行企业化、市场化运营管理，确保酒店开业后精准适配市场需求，树立良好社会口碑，实现稳定经济效益。鉴于本次新建新能源汽车旅馆定位为高档型酒店，征集服务供应商为我司提供专业酒店筹备开业咨询管理服务及全流程全方位技术支撑。</w:t>
      </w:r>
    </w:p>
    <w:p w14:paraId="242BF4D6">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3.</w:t>
      </w:r>
      <w:r>
        <w:rPr>
          <w:rFonts w:hint="eastAsia" w:asciiTheme="minorEastAsia" w:hAnsiTheme="minorEastAsia" w:eastAsiaTheme="minorEastAsia" w:cstheme="minorEastAsia"/>
          <w:b/>
          <w:bCs/>
          <w:color w:val="auto"/>
          <w:sz w:val="24"/>
          <w:szCs w:val="24"/>
          <w:highlight w:val="none"/>
          <w:lang w:val="en-US" w:eastAsia="zh-CN"/>
        </w:rPr>
        <w:t>服务内容：</w:t>
      </w:r>
    </w:p>
    <w:p w14:paraId="1B0207B9">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（一）开业前工程技术支持</w:t>
      </w:r>
    </w:p>
    <w:p w14:paraId="56089B0E">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咨询管理服务人员应对业主所聘用的设计公司单位所提交的设计要求（包括整体功能布局、内外装修、机电设计、室内外流程等）提出符合国家规范的酒店要求及适应酒店操作与管理的意见，并于具体工程实施阶段咨询管理应派专业人员对施工现场进行检查，对施工质量及进度进行监督。具体工作分阶段如下：</w:t>
      </w:r>
    </w:p>
    <w:p w14:paraId="7A880C9F">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①</w:t>
      </w:r>
      <w:r>
        <w:rPr>
          <w:rFonts w:hint="eastAsia" w:asciiTheme="minorEastAsia" w:hAnsiTheme="minorEastAsia" w:eastAsiaTheme="minorEastAsia" w:cstheme="minorEastAsia"/>
          <w:b w:val="0"/>
          <w:bCs w:val="0"/>
          <w:color w:val="auto"/>
          <w:sz w:val="24"/>
          <w:szCs w:val="24"/>
          <w:highlight w:val="none"/>
          <w:lang w:val="en-US" w:eastAsia="zh-CN"/>
        </w:rPr>
        <w:t>酒店计划建造阶段。</w:t>
      </w:r>
    </w:p>
    <w:p w14:paraId="3CDAF6DF">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⑴</w:t>
      </w:r>
      <w:r>
        <w:rPr>
          <w:rFonts w:hint="eastAsia" w:asciiTheme="minorEastAsia" w:hAnsiTheme="minorEastAsia" w:eastAsiaTheme="minorEastAsia" w:cstheme="minorEastAsia"/>
          <w:b w:val="0"/>
          <w:bCs w:val="0"/>
          <w:color w:val="auto"/>
          <w:sz w:val="24"/>
          <w:szCs w:val="24"/>
          <w:highlight w:val="none"/>
          <w:lang w:val="en-US" w:eastAsia="zh-CN"/>
        </w:rPr>
        <w:t>咨询管理服务人员协助业主确定酒店计划建造的规模、经营模式、定位等工作。</w:t>
      </w:r>
    </w:p>
    <w:p w14:paraId="792A49EC">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⑵</w:t>
      </w:r>
      <w:r>
        <w:rPr>
          <w:rFonts w:hint="eastAsia" w:asciiTheme="minorEastAsia" w:hAnsiTheme="minorEastAsia" w:eastAsiaTheme="minorEastAsia" w:cstheme="minorEastAsia"/>
          <w:b w:val="0"/>
          <w:bCs w:val="0"/>
          <w:color w:val="auto"/>
          <w:sz w:val="24"/>
          <w:szCs w:val="24"/>
          <w:highlight w:val="none"/>
          <w:lang w:val="en-US" w:eastAsia="zh-CN"/>
        </w:rPr>
        <w:t>酒店方案图纸设计及审批阶段。</w:t>
      </w:r>
    </w:p>
    <w:p w14:paraId="07F79619">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⑶</w:t>
      </w:r>
      <w:r>
        <w:rPr>
          <w:rFonts w:hint="eastAsia" w:asciiTheme="minorEastAsia" w:hAnsiTheme="minorEastAsia" w:eastAsiaTheme="minorEastAsia" w:cstheme="minorEastAsia"/>
          <w:b w:val="0"/>
          <w:bCs w:val="0"/>
          <w:color w:val="auto"/>
          <w:sz w:val="24"/>
          <w:szCs w:val="24"/>
          <w:highlight w:val="none"/>
          <w:lang w:val="en-US" w:eastAsia="zh-CN"/>
        </w:rPr>
        <w:t>咨询管理服务人员对方案设计公司提交的方案图提出意见后交业主审核。</w:t>
      </w:r>
    </w:p>
    <w:p w14:paraId="17FB9489">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⑷</w:t>
      </w:r>
      <w:r>
        <w:rPr>
          <w:rFonts w:hint="eastAsia" w:asciiTheme="minorEastAsia" w:hAnsiTheme="minorEastAsia" w:eastAsiaTheme="minorEastAsia" w:cstheme="minorEastAsia"/>
          <w:b w:val="0"/>
          <w:bCs w:val="0"/>
          <w:color w:val="auto"/>
          <w:sz w:val="24"/>
          <w:szCs w:val="24"/>
          <w:highlight w:val="none"/>
          <w:lang w:val="en-US" w:eastAsia="zh-CN"/>
        </w:rPr>
        <w:t>酒店建筑图纸、设备图纸开始设计阶段。</w:t>
      </w:r>
    </w:p>
    <w:p w14:paraId="288FC037">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⑸</w:t>
      </w:r>
      <w:r>
        <w:rPr>
          <w:rFonts w:hint="eastAsia" w:asciiTheme="minorEastAsia" w:hAnsiTheme="minorEastAsia" w:eastAsiaTheme="minorEastAsia" w:cstheme="minorEastAsia"/>
          <w:b w:val="0"/>
          <w:bCs w:val="0"/>
          <w:color w:val="auto"/>
          <w:sz w:val="24"/>
          <w:szCs w:val="24"/>
          <w:highlight w:val="none"/>
          <w:lang w:val="en-US" w:eastAsia="zh-CN"/>
        </w:rPr>
        <w:t>咨询管理服务人员向业主提供酒店布局如大堂、餐厅、宴会厅等公共区域使用面积要求。       </w:t>
      </w:r>
    </w:p>
    <w:p w14:paraId="547F6471">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⑹</w:t>
      </w:r>
      <w:r>
        <w:rPr>
          <w:rFonts w:hint="eastAsia" w:asciiTheme="minorEastAsia" w:hAnsiTheme="minorEastAsia" w:eastAsiaTheme="minorEastAsia" w:cstheme="minorEastAsia"/>
          <w:b w:val="0"/>
          <w:bCs w:val="0"/>
          <w:color w:val="auto"/>
          <w:sz w:val="24"/>
          <w:szCs w:val="24"/>
          <w:highlight w:val="none"/>
          <w:lang w:val="en-US" w:eastAsia="zh-CN"/>
        </w:rPr>
        <w:t>咨询管理服务人员向业主提供客房、客房卫生间，客房外走道使用面积要求。</w:t>
      </w:r>
    </w:p>
    <w:p w14:paraId="1621297C">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⑺</w:t>
      </w:r>
      <w:r>
        <w:rPr>
          <w:rFonts w:hint="eastAsia" w:asciiTheme="minorEastAsia" w:hAnsiTheme="minorEastAsia" w:eastAsiaTheme="minorEastAsia" w:cstheme="minorEastAsia"/>
          <w:b w:val="0"/>
          <w:bCs w:val="0"/>
          <w:color w:val="auto"/>
          <w:sz w:val="24"/>
          <w:szCs w:val="24"/>
          <w:highlight w:val="none"/>
          <w:lang w:val="en-US" w:eastAsia="zh-CN"/>
        </w:rPr>
        <w:t>咨询管理服务人员向业主提供行政办公室、后勤保障部门及后勤服务区域的使用面积要求。</w:t>
      </w:r>
    </w:p>
    <w:p w14:paraId="3ABFCDF7">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⑻</w:t>
      </w:r>
      <w:r>
        <w:rPr>
          <w:rFonts w:hint="eastAsia" w:asciiTheme="minorEastAsia" w:hAnsiTheme="minorEastAsia" w:eastAsiaTheme="minorEastAsia" w:cstheme="minorEastAsia"/>
          <w:b w:val="0"/>
          <w:bCs w:val="0"/>
          <w:color w:val="auto"/>
          <w:sz w:val="24"/>
          <w:szCs w:val="24"/>
          <w:highlight w:val="none"/>
          <w:lang w:val="en-US" w:eastAsia="zh-CN"/>
        </w:rPr>
        <w:t>咨询管理服务人员同业主、建筑设计公司共同就图纸设计要求进行协商，以利图纸设计完成后减少更改内容。</w:t>
      </w:r>
    </w:p>
    <w:p w14:paraId="4B5FA424">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⑼</w:t>
      </w:r>
      <w:r>
        <w:rPr>
          <w:rFonts w:hint="eastAsia" w:asciiTheme="minorEastAsia" w:hAnsiTheme="minorEastAsia" w:eastAsiaTheme="minorEastAsia" w:cstheme="minorEastAsia"/>
          <w:b w:val="0"/>
          <w:bCs w:val="0"/>
          <w:color w:val="auto"/>
          <w:sz w:val="24"/>
          <w:szCs w:val="24"/>
          <w:highlight w:val="none"/>
          <w:lang w:val="en-US" w:eastAsia="zh-CN"/>
        </w:rPr>
        <w:t>咨询管理服务人员对建筑设计公司提交的建筑图纸进行审图，提出更改建议后交业主审核确定。</w:t>
      </w:r>
    </w:p>
    <w:p w14:paraId="4B5CC3E7">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⑽</w:t>
      </w:r>
      <w:r>
        <w:rPr>
          <w:rFonts w:hint="eastAsia" w:asciiTheme="minorEastAsia" w:hAnsiTheme="minorEastAsia" w:eastAsiaTheme="minorEastAsia" w:cstheme="minorEastAsia"/>
          <w:b w:val="0"/>
          <w:bCs w:val="0"/>
          <w:color w:val="auto"/>
          <w:sz w:val="24"/>
          <w:szCs w:val="24"/>
          <w:highlight w:val="none"/>
          <w:lang w:val="en-US" w:eastAsia="zh-CN"/>
        </w:rPr>
        <w:t>咨询管理服务人员对机电设备设计公司提交的机电设备安装图纸进行审图，提出更改建议后交业主审核确定。</w:t>
      </w:r>
    </w:p>
    <w:p w14:paraId="3CAFC3B3">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②</w:t>
      </w:r>
      <w:r>
        <w:rPr>
          <w:rFonts w:hint="eastAsia" w:asciiTheme="minorEastAsia" w:hAnsiTheme="minorEastAsia" w:eastAsiaTheme="minorEastAsia" w:cstheme="minorEastAsia"/>
          <w:b w:val="0"/>
          <w:bCs w:val="0"/>
          <w:color w:val="auto"/>
          <w:sz w:val="24"/>
          <w:szCs w:val="24"/>
          <w:highlight w:val="none"/>
          <w:lang w:val="en-US" w:eastAsia="zh-CN"/>
        </w:rPr>
        <w:t>建筑、机电工程施工阶段。</w:t>
      </w:r>
    </w:p>
    <w:p w14:paraId="7562899C">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⑴</w:t>
      </w:r>
      <w:r>
        <w:rPr>
          <w:rFonts w:hint="eastAsia" w:asciiTheme="minorEastAsia" w:hAnsiTheme="minorEastAsia" w:eastAsiaTheme="minorEastAsia" w:cstheme="minorEastAsia"/>
          <w:b w:val="0"/>
          <w:bCs w:val="0"/>
          <w:color w:val="auto"/>
          <w:sz w:val="24"/>
          <w:szCs w:val="24"/>
          <w:highlight w:val="none"/>
          <w:lang w:val="en-US" w:eastAsia="zh-CN"/>
        </w:rPr>
        <w:t>咨询管理服务人员对建筑施工公司提供的承包工程资质资料提出意见，提交业主审核。</w:t>
      </w:r>
    </w:p>
    <w:p w14:paraId="7603991B">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⑵</w:t>
      </w:r>
      <w:r>
        <w:rPr>
          <w:rFonts w:hint="eastAsia" w:asciiTheme="minorEastAsia" w:hAnsiTheme="minorEastAsia" w:eastAsiaTheme="minorEastAsia" w:cstheme="minorEastAsia"/>
          <w:b w:val="0"/>
          <w:bCs w:val="0"/>
          <w:color w:val="auto"/>
          <w:sz w:val="24"/>
          <w:szCs w:val="24"/>
          <w:highlight w:val="none"/>
          <w:lang w:val="en-US" w:eastAsia="zh-CN"/>
        </w:rPr>
        <w:t>咨询管理服务人员对机电设备安装公司提供的承包工程资质资料提出意见，提交业主审核。</w:t>
      </w:r>
    </w:p>
    <w:p w14:paraId="495F7CC2">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⑶</w:t>
      </w:r>
      <w:r>
        <w:rPr>
          <w:rFonts w:hint="eastAsia" w:asciiTheme="minorEastAsia" w:hAnsiTheme="minorEastAsia" w:eastAsiaTheme="minorEastAsia" w:cstheme="minorEastAsia"/>
          <w:b w:val="0"/>
          <w:bCs w:val="0"/>
          <w:color w:val="auto"/>
          <w:sz w:val="24"/>
          <w:szCs w:val="24"/>
          <w:highlight w:val="none"/>
          <w:lang w:val="en-US" w:eastAsia="zh-CN"/>
        </w:rPr>
        <w:t>咨询管理服务人员定期到现场对设备安装情况及问题进行解决处理。</w:t>
      </w:r>
    </w:p>
    <w:p w14:paraId="6C5CFB94">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⑷</w:t>
      </w:r>
      <w:r>
        <w:rPr>
          <w:rFonts w:hint="eastAsia" w:asciiTheme="minorEastAsia" w:hAnsiTheme="minorEastAsia" w:eastAsiaTheme="minorEastAsia" w:cstheme="minorEastAsia"/>
          <w:b w:val="0"/>
          <w:bCs w:val="0"/>
          <w:color w:val="auto"/>
          <w:sz w:val="24"/>
          <w:szCs w:val="24"/>
          <w:highlight w:val="none"/>
          <w:lang w:val="en-US" w:eastAsia="zh-CN"/>
        </w:rPr>
        <w:t>酒店内部装修图纸开始设计阶段。</w:t>
      </w:r>
    </w:p>
    <w:p w14:paraId="68031AF1">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⑸</w:t>
      </w:r>
      <w:r>
        <w:rPr>
          <w:rFonts w:hint="eastAsia" w:asciiTheme="minorEastAsia" w:hAnsiTheme="minorEastAsia" w:eastAsiaTheme="minorEastAsia" w:cstheme="minorEastAsia"/>
          <w:b w:val="0"/>
          <w:bCs w:val="0"/>
          <w:color w:val="auto"/>
          <w:sz w:val="24"/>
          <w:szCs w:val="24"/>
          <w:highlight w:val="none"/>
          <w:lang w:val="en-US" w:eastAsia="zh-CN"/>
        </w:rPr>
        <w:t>咨询管理服务人员向业主提供关于酒店内部如大堂、餐厅、宴会厅等公共区域装修标准及技术要求。</w:t>
      </w:r>
    </w:p>
    <w:p w14:paraId="570EAED2">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⑹</w:t>
      </w:r>
      <w:r>
        <w:rPr>
          <w:rFonts w:hint="eastAsia" w:asciiTheme="minorEastAsia" w:hAnsiTheme="minorEastAsia" w:eastAsiaTheme="minorEastAsia" w:cstheme="minorEastAsia"/>
          <w:b w:val="0"/>
          <w:bCs w:val="0"/>
          <w:color w:val="auto"/>
          <w:sz w:val="24"/>
          <w:szCs w:val="24"/>
          <w:highlight w:val="none"/>
          <w:lang w:val="en-US" w:eastAsia="zh-CN"/>
        </w:rPr>
        <w:t>咨询管理服务人员向业主提供关于酒店内部客房、客房卫生间、客房外走道等装修标准及技术要求。</w:t>
      </w:r>
    </w:p>
    <w:p w14:paraId="7855B424">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⑺</w:t>
      </w:r>
      <w:r>
        <w:rPr>
          <w:rFonts w:hint="eastAsia" w:asciiTheme="minorEastAsia" w:hAnsiTheme="minorEastAsia" w:eastAsiaTheme="minorEastAsia" w:cstheme="minorEastAsia"/>
          <w:b w:val="0"/>
          <w:bCs w:val="0"/>
          <w:color w:val="auto"/>
          <w:sz w:val="24"/>
          <w:szCs w:val="24"/>
          <w:highlight w:val="none"/>
          <w:lang w:val="en-US" w:eastAsia="zh-CN"/>
        </w:rPr>
        <w:t>咨询管理服务人员同业主、建筑图纸设计公司共同研究酒店内部装修的设计思想，确定设计方案。</w:t>
      </w:r>
    </w:p>
    <w:p w14:paraId="31326B3E">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⑻</w:t>
      </w:r>
      <w:r>
        <w:rPr>
          <w:rFonts w:hint="eastAsia" w:asciiTheme="minorEastAsia" w:hAnsiTheme="minorEastAsia" w:eastAsiaTheme="minorEastAsia" w:cstheme="minorEastAsia"/>
          <w:b w:val="0"/>
          <w:bCs w:val="0"/>
          <w:color w:val="auto"/>
          <w:sz w:val="24"/>
          <w:szCs w:val="24"/>
          <w:highlight w:val="none"/>
          <w:lang w:val="en-US" w:eastAsia="zh-CN"/>
        </w:rPr>
        <w:t>咨询管理服务人员对装修设计公司提供的客房装修图纸进行审查，提出意见供业主审核确定。</w:t>
      </w:r>
    </w:p>
    <w:p w14:paraId="62FD5608">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⑼</w:t>
      </w:r>
      <w:r>
        <w:rPr>
          <w:rFonts w:hint="eastAsia" w:asciiTheme="minorEastAsia" w:hAnsiTheme="minorEastAsia" w:eastAsiaTheme="minorEastAsia" w:cstheme="minorEastAsia"/>
          <w:b w:val="0"/>
          <w:bCs w:val="0"/>
          <w:color w:val="auto"/>
          <w:sz w:val="24"/>
          <w:szCs w:val="24"/>
          <w:highlight w:val="none"/>
          <w:lang w:val="en-US" w:eastAsia="zh-CN"/>
        </w:rPr>
        <w:t>咨询管理服务人员对装修设计公司提供的大堂、餐厅、宴会厅等公共区域装修图纸进行审查，提出意见供业主审核确定。</w:t>
      </w:r>
    </w:p>
    <w:p w14:paraId="7709FD39">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③</w:t>
      </w:r>
      <w:r>
        <w:rPr>
          <w:rFonts w:hint="eastAsia" w:asciiTheme="minorEastAsia" w:hAnsiTheme="minorEastAsia" w:eastAsiaTheme="minorEastAsia" w:cstheme="minorEastAsia"/>
          <w:b w:val="0"/>
          <w:bCs w:val="0"/>
          <w:color w:val="auto"/>
          <w:sz w:val="24"/>
          <w:szCs w:val="24"/>
          <w:highlight w:val="none"/>
          <w:lang w:val="en-US" w:eastAsia="zh-CN"/>
        </w:rPr>
        <w:t>酒店内部装修阶段。</w:t>
      </w:r>
    </w:p>
    <w:p w14:paraId="7BFDAEA6">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⑴</w:t>
      </w:r>
      <w:r>
        <w:rPr>
          <w:rFonts w:hint="eastAsia" w:asciiTheme="minorEastAsia" w:hAnsiTheme="minorEastAsia" w:eastAsiaTheme="minorEastAsia" w:cstheme="minorEastAsia"/>
          <w:b w:val="0"/>
          <w:bCs w:val="0"/>
          <w:color w:val="auto"/>
          <w:sz w:val="24"/>
          <w:szCs w:val="24"/>
          <w:highlight w:val="none"/>
          <w:lang w:val="en-US" w:eastAsia="zh-CN"/>
        </w:rPr>
        <w:t>咨询管理服务人员对内部装修工程公司提供的承包工程资质资料提出意见，提交业主审核。</w:t>
      </w:r>
    </w:p>
    <w:p w14:paraId="533D90B9">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⑵</w:t>
      </w:r>
      <w:r>
        <w:rPr>
          <w:rFonts w:hint="eastAsia" w:asciiTheme="minorEastAsia" w:hAnsiTheme="minorEastAsia" w:eastAsiaTheme="minorEastAsia" w:cstheme="minorEastAsia"/>
          <w:b w:val="0"/>
          <w:bCs w:val="0"/>
          <w:color w:val="auto"/>
          <w:sz w:val="24"/>
          <w:szCs w:val="24"/>
          <w:highlight w:val="none"/>
          <w:lang w:val="en-US" w:eastAsia="zh-CN"/>
        </w:rPr>
        <w:t>咨询管理服务人员对装修工程公司做出的样板间提出修改建议交业主审核确认。</w:t>
      </w:r>
    </w:p>
    <w:p w14:paraId="0A7B969D">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⑶</w:t>
      </w:r>
      <w:r>
        <w:rPr>
          <w:rFonts w:hint="eastAsia" w:asciiTheme="minorEastAsia" w:hAnsiTheme="minorEastAsia" w:eastAsiaTheme="minorEastAsia" w:cstheme="minorEastAsia"/>
          <w:b w:val="0"/>
          <w:bCs w:val="0"/>
          <w:color w:val="auto"/>
          <w:sz w:val="24"/>
          <w:szCs w:val="24"/>
          <w:highlight w:val="none"/>
          <w:lang w:val="en-US" w:eastAsia="zh-CN"/>
        </w:rPr>
        <w:t>咨询管理服务人员对装修公司施工完成的大堂、餐厅、宴会厅等公共区域的装修提出意见交业主审核确认。</w:t>
      </w:r>
    </w:p>
    <w:p w14:paraId="2911DB0F">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⑷</w:t>
      </w:r>
      <w:r>
        <w:rPr>
          <w:rFonts w:hint="eastAsia" w:asciiTheme="minorEastAsia" w:hAnsiTheme="minorEastAsia" w:eastAsiaTheme="minorEastAsia" w:cstheme="minorEastAsia"/>
          <w:b w:val="0"/>
          <w:bCs w:val="0"/>
          <w:color w:val="auto"/>
          <w:sz w:val="24"/>
          <w:szCs w:val="24"/>
          <w:highlight w:val="none"/>
          <w:lang w:val="en-US" w:eastAsia="zh-CN"/>
        </w:rPr>
        <w:t>酒店设备进入安装、试运行、验收阶段。</w:t>
      </w:r>
    </w:p>
    <w:p w14:paraId="02B23FF0">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⑸</w:t>
      </w:r>
      <w:r>
        <w:rPr>
          <w:rFonts w:hint="eastAsia" w:asciiTheme="minorEastAsia" w:hAnsiTheme="minorEastAsia" w:eastAsiaTheme="minorEastAsia" w:cstheme="minorEastAsia"/>
          <w:b w:val="0"/>
          <w:bCs w:val="0"/>
          <w:color w:val="auto"/>
          <w:sz w:val="24"/>
          <w:szCs w:val="24"/>
          <w:highlight w:val="none"/>
          <w:lang w:val="en-US" w:eastAsia="zh-CN"/>
        </w:rPr>
        <w:t>竣工前咨询管理到现场协调设备试运行。</w:t>
      </w:r>
    </w:p>
    <w:p w14:paraId="3C0AD285">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（二）开业前酒店管理结构设置</w:t>
      </w:r>
    </w:p>
    <w:p w14:paraId="1DEBF416">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⑴</w:t>
      </w:r>
      <w:r>
        <w:rPr>
          <w:rFonts w:hint="eastAsia" w:asciiTheme="minorEastAsia" w:hAnsiTheme="minorEastAsia" w:eastAsiaTheme="minorEastAsia" w:cstheme="minorEastAsia"/>
          <w:b w:val="0"/>
          <w:bCs w:val="0"/>
          <w:color w:val="auto"/>
          <w:sz w:val="24"/>
          <w:szCs w:val="24"/>
          <w:highlight w:val="none"/>
          <w:lang w:val="en-US" w:eastAsia="zh-CN"/>
        </w:rPr>
        <w:t>协助业主做好酒店管理构架设置和人力规划及预算审核。</w:t>
      </w:r>
    </w:p>
    <w:p w14:paraId="2884E7D2">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⑵</w:t>
      </w:r>
      <w:r>
        <w:rPr>
          <w:rFonts w:hint="eastAsia" w:asciiTheme="minorEastAsia" w:hAnsiTheme="minorEastAsia" w:eastAsiaTheme="minorEastAsia" w:cstheme="minorEastAsia"/>
          <w:b w:val="0"/>
          <w:bCs w:val="0"/>
          <w:color w:val="auto"/>
          <w:sz w:val="24"/>
          <w:szCs w:val="24"/>
          <w:highlight w:val="none"/>
          <w:lang w:val="en-US" w:eastAsia="zh-CN"/>
        </w:rPr>
        <w:t>协助业主评估确定总经理、财务总监及其他高层管理人员的人选。</w:t>
      </w:r>
    </w:p>
    <w:p w14:paraId="067EEB8A">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（三）开业前酒店用品采购审查</w:t>
      </w:r>
    </w:p>
    <w:p w14:paraId="5C7F1602">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根据酒店筹开的整体进度计划，对酒店开业前物品采购须符合星级或绿色或业主接待标准提供意见，拟定初步的采购清单，主要包括：客用品及清洁用具、办公室用品、工程用具、餐饮用具、会议器材、制服、厨房和洗衣用具等。</w:t>
      </w:r>
    </w:p>
    <w:p w14:paraId="7F7F2DCD">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（四）提供酒店开业后12个月运营咨询管理服务</w:t>
      </w:r>
    </w:p>
    <w:p w14:paraId="04ED51E4">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⑴</w:t>
      </w:r>
      <w:r>
        <w:rPr>
          <w:rFonts w:hint="eastAsia" w:asciiTheme="minorEastAsia" w:hAnsiTheme="minorEastAsia" w:eastAsiaTheme="minorEastAsia" w:cstheme="minorEastAsia"/>
          <w:b w:val="0"/>
          <w:bCs w:val="0"/>
          <w:color w:val="auto"/>
          <w:sz w:val="24"/>
          <w:szCs w:val="24"/>
          <w:highlight w:val="none"/>
          <w:lang w:val="en-US" w:eastAsia="zh-CN"/>
        </w:rPr>
        <w:t>协助业主做好酒店管理业绩指标评估，包括安全管理标准，工程管理与能耗管控标准，市场营销水平，房务与餐饮管理服务标准，厨房成本控制水平，客户满意度测评，员工满意度评估以及财务指标分析。</w:t>
      </w:r>
    </w:p>
    <w:p w14:paraId="740A0814">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⑵</w:t>
      </w:r>
      <w:r>
        <w:rPr>
          <w:rFonts w:hint="eastAsia" w:asciiTheme="minorEastAsia" w:hAnsiTheme="minorEastAsia" w:eastAsiaTheme="minorEastAsia" w:cstheme="minorEastAsia"/>
          <w:b w:val="0"/>
          <w:bCs w:val="0"/>
          <w:color w:val="auto"/>
          <w:sz w:val="24"/>
          <w:szCs w:val="24"/>
          <w:highlight w:val="none"/>
          <w:lang w:val="en-US" w:eastAsia="zh-CN"/>
        </w:rPr>
        <w:t>协助业主考核总经理、财务总监及其他高层管理人员经营水平。并有针对性提出改进建议。</w:t>
      </w:r>
    </w:p>
    <w:p w14:paraId="3D881DBF">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⑶</w:t>
      </w:r>
      <w:r>
        <w:rPr>
          <w:rFonts w:hint="eastAsia" w:asciiTheme="minorEastAsia" w:hAnsiTheme="minorEastAsia" w:eastAsiaTheme="minorEastAsia" w:cstheme="minorEastAsia"/>
          <w:b w:val="0"/>
          <w:bCs w:val="0"/>
          <w:color w:val="auto"/>
          <w:sz w:val="24"/>
          <w:szCs w:val="24"/>
          <w:highlight w:val="none"/>
          <w:lang w:val="en-US" w:eastAsia="zh-CN"/>
        </w:rPr>
        <w:t>评估酒店制度更新与完善。</w:t>
      </w:r>
    </w:p>
    <w:p w14:paraId="599CB8F5">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（五）业主认为有必要的管理层与员工专题培训</w:t>
      </w:r>
    </w:p>
    <w:p w14:paraId="2CF424F1">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4.服务周期：</w:t>
      </w:r>
      <w:r>
        <w:rPr>
          <w:rFonts w:hint="eastAsia" w:asciiTheme="minorEastAsia" w:hAnsiTheme="minorEastAsia" w:eastAsiaTheme="minorEastAsia" w:cstheme="minorEastAsia"/>
          <w:b w:val="0"/>
          <w:bCs w:val="0"/>
          <w:color w:val="auto"/>
          <w:kern w:val="2"/>
          <w:sz w:val="24"/>
          <w:szCs w:val="24"/>
          <w:highlight w:val="none"/>
          <w:lang w:val="en-US" w:eastAsia="zh-CN" w:bidi="ar-SA"/>
        </w:rPr>
        <w:t>合计24 个月：建设期咨询服务 12 个月（以实际竣工为准）；开业后运营咨询服务 12 个月（不含试营业）。</w:t>
      </w:r>
    </w:p>
    <w:p w14:paraId="1498B822">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5.本项目服务费最高限价：</w:t>
      </w:r>
      <w:r>
        <w:rPr>
          <w:rFonts w:hint="eastAsia" w:asciiTheme="minorEastAsia" w:hAnsiTheme="minorEastAsia" w:eastAsiaTheme="minorEastAsia" w:cstheme="minorEastAsia"/>
          <w:b w:val="0"/>
          <w:bCs w:val="0"/>
          <w:color w:val="auto"/>
          <w:kern w:val="2"/>
          <w:sz w:val="24"/>
          <w:szCs w:val="24"/>
          <w:highlight w:val="none"/>
          <w:lang w:val="en-US" w:eastAsia="zh-CN" w:bidi="ar-SA"/>
        </w:rPr>
        <w:t>本项目服务费最高限价：人民币</w:t>
      </w:r>
      <w:r>
        <w:rPr>
          <w:rFonts w:hint="eastAsia" w:asciiTheme="minorEastAsia" w:hAnsiTheme="minorEastAsia" w:eastAsiaTheme="minorEastAsia" w:cstheme="minorEastAsia"/>
          <w:b w:val="0"/>
          <w:bCs w:val="0"/>
          <w:color w:val="0000FF"/>
          <w:kern w:val="2"/>
          <w:sz w:val="24"/>
          <w:szCs w:val="24"/>
          <w:highlight w:val="none"/>
          <w:lang w:val="en-US" w:eastAsia="zh-CN" w:bidi="ar-SA"/>
        </w:rPr>
        <w:t>贰拾陆万叁仟元整（¥263,000.00）</w:t>
      </w:r>
      <w:r>
        <w:rPr>
          <w:rFonts w:hint="eastAsia" w:asciiTheme="minorEastAsia" w:hAnsiTheme="minorEastAsia" w:eastAsiaTheme="minorEastAsia" w:cstheme="minorEastAsia"/>
          <w:b w:val="0"/>
          <w:bCs w:val="0"/>
          <w:color w:val="auto"/>
          <w:kern w:val="2"/>
          <w:sz w:val="24"/>
          <w:szCs w:val="24"/>
          <w:highlight w:val="none"/>
          <w:lang w:val="en-US" w:eastAsia="zh-CN" w:bidi="ar-SA"/>
        </w:rPr>
        <w:t>，为包干总价，包含技术人员差旅、交通、住宿、伙食、税费、管理费、利润及全部服务费用，采购人不再另行支付。</w:t>
      </w:r>
    </w:p>
    <w:p w14:paraId="508A1B78">
      <w:pPr>
        <w:widowControl/>
        <w:shd w:val="clear"/>
        <w:snapToGrid/>
        <w:spacing w:before="0" w:beforeAutospacing="0" w:after="0" w:afterAutospacing="0" w:line="360" w:lineRule="auto"/>
        <w:ind w:firstLine="482" w:firstLineChars="200"/>
        <w:rPr>
          <w:rFonts w:hint="eastAsia" w:cs="宋体"/>
          <w:b w:val="0"/>
          <w:bCs w:val="0"/>
          <w:color w:val="auto"/>
          <w:kern w:val="0"/>
          <w:sz w:val="24"/>
          <w:szCs w:val="24"/>
          <w:highlight w:val="none"/>
          <w:shd w:val="clear" w:fill="FFFFFF"/>
          <w:lang w:val="en-US" w:eastAsia="zh-CN" w:bidi="ar-SA"/>
        </w:rPr>
      </w:pPr>
      <w:r>
        <w:rPr>
          <w:rFonts w:hint="eastAsia" w:cs="宋体"/>
          <w:b/>
          <w:bCs/>
          <w:color w:val="auto"/>
          <w:kern w:val="0"/>
          <w:sz w:val="24"/>
          <w:szCs w:val="24"/>
          <w:highlight w:val="none"/>
          <w:shd w:val="clear" w:fill="FFFFFF"/>
          <w:lang w:val="en-US" w:eastAsia="zh-CN" w:bidi="ar-SA"/>
        </w:rPr>
        <w:t>6.付款方式：</w:t>
      </w:r>
      <w:r>
        <w:rPr>
          <w:rFonts w:hint="eastAsia" w:cs="宋体"/>
          <w:b w:val="0"/>
          <w:bCs w:val="0"/>
          <w:color w:val="auto"/>
          <w:kern w:val="0"/>
          <w:sz w:val="24"/>
          <w:szCs w:val="24"/>
          <w:highlight w:val="none"/>
          <w:shd w:val="clear" w:fill="FFFFFF"/>
          <w:lang w:val="en-US" w:eastAsia="zh-CN" w:bidi="ar-SA"/>
        </w:rPr>
        <w:t>采用分阶段节点银行转账支付。成交人完成对应阶段服务并经委托人书面确认合格、提供合法有效增值税普通发票后，甲方按以下节点付款：</w:t>
      </w:r>
    </w:p>
    <w:p w14:paraId="20C13BD3">
      <w:pPr>
        <w:widowControl/>
        <w:shd w:val="clear"/>
        <w:snapToGrid/>
        <w:spacing w:before="0" w:beforeAutospacing="0" w:after="0" w:afterAutospacing="0" w:line="360" w:lineRule="auto"/>
        <w:ind w:firstLine="480" w:firstLineChars="200"/>
        <w:rPr>
          <w:rFonts w:hint="eastAsia" w:cs="宋体"/>
          <w:b w:val="0"/>
          <w:bCs w:val="0"/>
          <w:color w:val="auto"/>
          <w:kern w:val="0"/>
          <w:sz w:val="24"/>
          <w:szCs w:val="24"/>
          <w:highlight w:val="none"/>
          <w:shd w:val="clear" w:fill="FFFFFF"/>
          <w:lang w:val="en-US" w:eastAsia="zh-CN" w:bidi="ar-SA"/>
        </w:rPr>
      </w:pPr>
      <w:r>
        <w:rPr>
          <w:rFonts w:hint="eastAsia" w:cs="宋体"/>
          <w:b w:val="0"/>
          <w:bCs w:val="0"/>
          <w:color w:val="auto"/>
          <w:kern w:val="0"/>
          <w:sz w:val="24"/>
          <w:szCs w:val="24"/>
          <w:highlight w:val="none"/>
          <w:shd w:val="clear" w:fill="FFFFFF"/>
          <w:lang w:val="en-US" w:eastAsia="zh-CN" w:bidi="ar-SA"/>
        </w:rPr>
        <w:t>中标支付20%，项目开工支付20%，项目竣工支付20%，项目开业支付20%，咨询管理服务结束验收合格支付20%</w:t>
      </w:r>
    </w:p>
    <w:p w14:paraId="23201A7D">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宋体" w:hAnsi="宋体" w:cs="宋体"/>
          <w:b/>
          <w:bCs/>
          <w:color w:val="auto"/>
          <w:kern w:val="0"/>
          <w:sz w:val="24"/>
          <w:szCs w:val="24"/>
          <w:highlight w:val="none"/>
          <w:shd w:val="clear" w:color="auto" w:fill="FFFFFF"/>
          <w:lang w:val="en-US" w:eastAsia="zh-CN" w:bidi="ar-SA"/>
        </w:rPr>
        <w:t>7</w:t>
      </w:r>
      <w:r>
        <w:rPr>
          <w:rFonts w:hint="eastAsia" w:ascii="宋体" w:hAnsi="宋体" w:eastAsia="宋体" w:cs="宋体"/>
          <w:b/>
          <w:bCs/>
          <w:color w:val="auto"/>
          <w:kern w:val="0"/>
          <w:sz w:val="24"/>
          <w:szCs w:val="24"/>
          <w:highlight w:val="none"/>
          <w:shd w:val="clear" w:color="auto" w:fill="FFFFFF"/>
          <w:lang w:val="en-US" w:eastAsia="zh-CN" w:bidi="ar-SA"/>
        </w:rPr>
        <w:t>.特别提示：</w:t>
      </w:r>
      <w:r>
        <w:rPr>
          <w:rFonts w:hint="eastAsia" w:asciiTheme="minorEastAsia" w:hAnsiTheme="minorEastAsia" w:eastAsiaTheme="minorEastAsia" w:cstheme="minorEastAsia"/>
          <w:b w:val="0"/>
          <w:color w:val="auto"/>
          <w:kern w:val="2"/>
          <w:sz w:val="24"/>
          <w:szCs w:val="24"/>
          <w:highlight w:val="none"/>
          <w:u w:val="none"/>
          <w:lang w:val="en-US" w:eastAsia="zh-CN" w:bidi="ar-SA"/>
        </w:rPr>
        <w:t>本项目不集中组织现场踏勘，竞价人可根据本公告所提供的内容要求自行踏勘现场（相关责任由竞价人自行承担），竞价人对本次供货内容应有充分认识，自行判断能够完成本项目所需的费用。中标价含设备费、运输费、装卸费、安装调试费、税费及质保期内售后服务费等一切费用，成交人不得以实际情况与现场不一致而要求采购人给予补偿。</w:t>
      </w:r>
    </w:p>
    <w:p w14:paraId="32943283">
      <w:pPr>
        <w:spacing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三、竞价资格</w:t>
      </w:r>
    </w:p>
    <w:p w14:paraId="0D653FBD">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0000FF"/>
          <w:sz w:val="24"/>
          <w:szCs w:val="24"/>
          <w:highlight w:val="none"/>
          <w:lang w:eastAsia="zh-CN"/>
        </w:rPr>
        <w:t>境内独立法人，持有有效营业执照，经营范围含酒店管理、</w:t>
      </w:r>
      <w:r>
        <w:rPr>
          <w:rFonts w:hint="eastAsia" w:asciiTheme="minorEastAsia" w:hAnsiTheme="minorEastAsia" w:eastAsiaTheme="minorEastAsia" w:cstheme="minorEastAsia"/>
          <w:color w:val="0000FF"/>
          <w:sz w:val="24"/>
          <w:szCs w:val="24"/>
          <w:highlight w:val="none"/>
          <w:lang w:val="en-US" w:eastAsia="zh-CN"/>
        </w:rPr>
        <w:t>企业管理咨询、</w:t>
      </w:r>
      <w:r>
        <w:rPr>
          <w:rFonts w:hint="eastAsia" w:asciiTheme="minorEastAsia" w:hAnsiTheme="minorEastAsia" w:eastAsiaTheme="minorEastAsia" w:cstheme="minorEastAsia"/>
          <w:color w:val="0000FF"/>
          <w:sz w:val="24"/>
          <w:szCs w:val="24"/>
          <w:highlight w:val="none"/>
          <w:lang w:eastAsia="zh-CN"/>
        </w:rPr>
        <w:t>酒店咨询、旅游管理、工程咨询等相关内容</w:t>
      </w:r>
      <w:r>
        <w:rPr>
          <w:rFonts w:hint="eastAsia" w:asciiTheme="minorEastAsia" w:hAnsiTheme="minorEastAsia" w:eastAsiaTheme="minorEastAsia" w:cstheme="minorEastAsia"/>
          <w:color w:val="auto"/>
          <w:sz w:val="24"/>
          <w:szCs w:val="24"/>
          <w:highlight w:val="none"/>
          <w:lang w:eastAsia="zh-CN"/>
        </w:rPr>
        <w:t>。</w:t>
      </w:r>
    </w:p>
    <w:p w14:paraId="2B2D3377">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0000FF"/>
          <w:sz w:val="24"/>
          <w:szCs w:val="24"/>
          <w:highlight w:val="none"/>
          <w:lang w:eastAsia="zh-CN"/>
        </w:rPr>
        <w:t>主要管理人员需具备挂牌星级酒店总经理 10 年以上经验，或省级文旅部门星级评定员专家身份</w:t>
      </w:r>
      <w:r>
        <w:rPr>
          <w:rFonts w:hint="eastAsia" w:asciiTheme="minorEastAsia" w:hAnsiTheme="minorEastAsia" w:eastAsiaTheme="minorEastAsia" w:cstheme="minorEastAsia"/>
          <w:color w:val="auto"/>
          <w:sz w:val="24"/>
          <w:szCs w:val="24"/>
          <w:highlight w:val="none"/>
          <w:lang w:eastAsia="zh-CN"/>
        </w:rPr>
        <w:t>；</w:t>
      </w:r>
    </w:p>
    <w:p w14:paraId="544D12C1">
      <w:pPr>
        <w:widowControl/>
        <w:snapToGrid w:val="0"/>
        <w:spacing w:line="360" w:lineRule="auto"/>
        <w:ind w:left="14" w:firstLine="480" w:firstLineChars="200"/>
        <w:rPr>
          <w:rFonts w:hint="eastAsia" w:asciiTheme="minorEastAsia" w:hAnsiTheme="minorEastAsia" w:eastAsiaTheme="minorEastAsia" w:cstheme="minorEastAsia"/>
          <w:color w:val="0000FF"/>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0000FF"/>
          <w:sz w:val="24"/>
          <w:szCs w:val="24"/>
          <w:highlight w:val="none"/>
          <w:lang w:eastAsia="zh-CN"/>
        </w:rPr>
        <w:t>具备建筑面积 1 万㎡以上国有酒店项目全过程咨询管理案例，且至少提供 1 个业主好评证明。</w:t>
      </w:r>
    </w:p>
    <w:p w14:paraId="6B4DA687">
      <w:pPr>
        <w:pStyle w:val="7"/>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4.投标单位须承诺，在24小时内须派员响应业主的会议要求、沟通要求以及指派任务</w:t>
      </w:r>
    </w:p>
    <w:p w14:paraId="15E9EAC8">
      <w:pPr>
        <w:pStyle w:val="7"/>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5.近3年无重大违法记录、无严重失信行为（信用中国、政府采购网可查）。</w:t>
      </w:r>
    </w:p>
    <w:p w14:paraId="793C2561">
      <w:pPr>
        <w:pStyle w:val="7"/>
        <w:spacing w:line="360" w:lineRule="auto"/>
        <w:ind w:firstLine="56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6.</w:t>
      </w:r>
      <w:r>
        <w:rPr>
          <w:rFonts w:hint="eastAsia" w:asciiTheme="minorEastAsia" w:hAnsiTheme="minorEastAsia" w:eastAsiaTheme="minorEastAsia" w:cstheme="minorEastAsia"/>
          <w:color w:val="0000FF"/>
          <w:kern w:val="2"/>
          <w:sz w:val="24"/>
          <w:szCs w:val="24"/>
          <w:highlight w:val="none"/>
          <w:u w:val="none"/>
          <w:lang w:val="en-US" w:eastAsia="zh-CN" w:bidi="ar-SA"/>
        </w:rPr>
        <w:t>竞价人必须是委托人邀请的单位</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26FA899D">
      <w:pPr>
        <w:pStyle w:val="7"/>
        <w:spacing w:line="360" w:lineRule="auto"/>
        <w:ind w:firstLine="560"/>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t>7.本次竞价须3 家及以上合格供应商参与，不足 3 家按流标处理。</w:t>
      </w:r>
    </w:p>
    <w:p w14:paraId="38BD12B5">
      <w:pPr>
        <w:pStyle w:val="7"/>
        <w:spacing w:line="360" w:lineRule="auto"/>
        <w:ind w:firstLine="560"/>
        <w:rPr>
          <w:rFonts w:hint="default" w:asciiTheme="minorEastAsia" w:hAnsiTheme="minorEastAsia" w:eastAsiaTheme="minorEastAsia" w:cstheme="minorEastAsia"/>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t>8.</w:t>
      </w:r>
      <w:r>
        <w:rPr>
          <w:rFonts w:hint="eastAsia" w:asciiTheme="minorEastAsia" w:hAnsiTheme="minorEastAsia" w:eastAsiaTheme="minorEastAsia" w:cstheme="minorEastAsia"/>
          <w:color w:val="auto"/>
          <w:kern w:val="2"/>
          <w:sz w:val="24"/>
          <w:szCs w:val="24"/>
          <w:lang w:val="en-US" w:eastAsia="zh-CN" w:bidi="ar-SA"/>
        </w:rPr>
        <w:t>竞价资格（及限制性条件）认定由竞价人自行审查,因此产生委托人不予签订合同及其它一切后果由竞价人自行负责。竞价人提供虚假材料或资质不符合条件的，视为恶意竞价，保证金不予退回，按违约处理，委托人可另行选取服务供应商；</w:t>
      </w:r>
    </w:p>
    <w:p w14:paraId="1F0DF9E6">
      <w:pPr>
        <w:spacing w:line="360" w:lineRule="auto"/>
        <w:ind w:firstLine="482" w:firstLineChars="200"/>
        <w:rPr>
          <w:rFonts w:hint="eastAsia" w:asciiTheme="minorEastAsia" w:hAnsiTheme="minorEastAsia" w:eastAsiaTheme="minorEastAsia" w:cstheme="minorEastAsia"/>
          <w:b/>
          <w:bCs/>
          <w:color w:val="auto"/>
          <w:sz w:val="24"/>
          <w:szCs w:val="24"/>
          <w:highlight w:val="none"/>
          <w:shd w:val="clear"/>
        </w:rPr>
      </w:pPr>
      <w:r>
        <w:rPr>
          <w:rFonts w:hint="eastAsia" w:asciiTheme="minorEastAsia" w:hAnsiTheme="minorEastAsia" w:eastAsiaTheme="minorEastAsia" w:cstheme="minorEastAsia"/>
          <w:b/>
          <w:bCs/>
          <w:color w:val="auto"/>
          <w:sz w:val="24"/>
          <w:szCs w:val="24"/>
          <w:highlight w:val="none"/>
          <w:shd w:val="clear"/>
        </w:rPr>
        <w:t>四、竞价保证金</w:t>
      </w:r>
    </w:p>
    <w:p w14:paraId="2005A934">
      <w:pPr>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1.</w:t>
      </w:r>
      <w:r>
        <w:rPr>
          <w:rFonts w:hint="eastAsia" w:asciiTheme="minorEastAsia" w:hAnsiTheme="minorEastAsia" w:eastAsiaTheme="minorEastAsia" w:cstheme="minorEastAsia"/>
          <w:b/>
          <w:bCs/>
          <w:color w:val="auto"/>
          <w:sz w:val="24"/>
          <w:szCs w:val="24"/>
          <w:highlight w:val="none"/>
          <w:shd w:val="clear"/>
        </w:rPr>
        <w:t>保证金</w:t>
      </w:r>
      <w:r>
        <w:rPr>
          <w:rFonts w:hint="eastAsia" w:asciiTheme="minorEastAsia" w:hAnsiTheme="minorEastAsia" w:eastAsiaTheme="minorEastAsia" w:cstheme="minorEastAsia"/>
          <w:b/>
          <w:bCs/>
          <w:color w:val="auto"/>
          <w:sz w:val="24"/>
          <w:szCs w:val="24"/>
          <w:highlight w:val="none"/>
          <w:shd w:val="clear"/>
          <w:lang w:val="en-US" w:eastAsia="zh-CN"/>
        </w:rPr>
        <w:t>2</w:t>
      </w:r>
      <w:r>
        <w:rPr>
          <w:rFonts w:hint="eastAsia" w:asciiTheme="minorEastAsia" w:hAnsiTheme="minorEastAsia" w:eastAsiaTheme="minorEastAsia" w:cstheme="minorEastAsia"/>
          <w:b/>
          <w:bCs/>
          <w:color w:val="auto"/>
          <w:sz w:val="24"/>
          <w:szCs w:val="24"/>
          <w:highlight w:val="none"/>
          <w:shd w:val="clear"/>
        </w:rPr>
        <w:t>00</w:t>
      </w:r>
      <w:r>
        <w:rPr>
          <w:rFonts w:hint="eastAsia" w:asciiTheme="minorEastAsia" w:hAnsiTheme="minorEastAsia" w:eastAsiaTheme="minorEastAsia" w:cstheme="minorEastAsia"/>
          <w:b/>
          <w:bCs/>
          <w:color w:val="auto"/>
          <w:sz w:val="24"/>
          <w:szCs w:val="24"/>
          <w:highlight w:val="none"/>
          <w:shd w:val="clear"/>
          <w:lang w:val="en-US" w:eastAsia="zh-CN"/>
        </w:rPr>
        <w:t>0</w:t>
      </w:r>
      <w:r>
        <w:rPr>
          <w:rFonts w:hint="eastAsia" w:asciiTheme="minorEastAsia" w:hAnsiTheme="minorEastAsia" w:eastAsiaTheme="minorEastAsia" w:cstheme="minorEastAsia"/>
          <w:b/>
          <w:bCs/>
          <w:color w:val="auto"/>
          <w:sz w:val="24"/>
          <w:szCs w:val="24"/>
          <w:highlight w:val="none"/>
          <w:shd w:val="clear"/>
        </w:rPr>
        <w:t>元，必须于2026年</w:t>
      </w:r>
      <w:r>
        <w:rPr>
          <w:rFonts w:hint="eastAsia" w:asciiTheme="minorEastAsia" w:hAnsiTheme="minorEastAsia" w:eastAsiaTheme="minorEastAsia" w:cstheme="minorEastAsia"/>
          <w:b/>
          <w:bCs/>
          <w:color w:val="auto"/>
          <w:sz w:val="24"/>
          <w:szCs w:val="24"/>
          <w:highlight w:val="none"/>
          <w:shd w:val="clear"/>
          <w:lang w:val="en-US" w:eastAsia="zh-CN"/>
        </w:rPr>
        <w:t>6月15日</w:t>
      </w:r>
      <w:r>
        <w:rPr>
          <w:rFonts w:hint="eastAsia" w:asciiTheme="minorEastAsia" w:hAnsiTheme="minorEastAsia" w:eastAsiaTheme="minorEastAsia" w:cstheme="minorEastAsia"/>
          <w:b/>
          <w:bCs/>
          <w:color w:val="auto"/>
          <w:sz w:val="24"/>
          <w:szCs w:val="24"/>
          <w:highlight w:val="none"/>
          <w:shd w:val="clear"/>
        </w:rPr>
        <w:t>上午10：00前</w:t>
      </w:r>
      <w:r>
        <w:rPr>
          <w:rFonts w:hint="eastAsia" w:asciiTheme="minorEastAsia" w:hAnsiTheme="minorEastAsia" w:eastAsiaTheme="minorEastAsia" w:cstheme="minorEastAsia"/>
          <w:b/>
          <w:bCs/>
          <w:color w:val="auto"/>
          <w:kern w:val="2"/>
          <w:sz w:val="24"/>
          <w:szCs w:val="24"/>
          <w:highlight w:val="none"/>
        </w:rPr>
        <w:t>转入平台系统指定账户，以实际到账为准（户名：福建随行软件有限公司，开户行：招商银行福州分行营业部，账号：在线获取保证金子账号）</w:t>
      </w:r>
      <w:r>
        <w:rPr>
          <w:rFonts w:hint="eastAsia" w:asciiTheme="minorEastAsia" w:hAnsiTheme="minorEastAsia" w:eastAsiaTheme="minorEastAsia" w:cstheme="minorEastAsia"/>
          <w:b/>
          <w:bCs/>
          <w:color w:val="auto"/>
          <w:sz w:val="24"/>
          <w:szCs w:val="24"/>
          <w:highlight w:val="none"/>
          <w:shd w:val="clear"/>
        </w:rPr>
        <w:t>报名参加的竞价人与缴交竞价保证金的名称要一致。竞价保证金缴至以上账户时，交款单中“款项来源”或“用途”一栏内须填写“****人的竞价保证金”</w:t>
      </w:r>
      <w:r>
        <w:rPr>
          <w:rFonts w:hint="eastAsia" w:asciiTheme="minorEastAsia" w:hAnsiTheme="minorEastAsia" w:eastAsiaTheme="minorEastAsia" w:cstheme="minorEastAsia"/>
          <w:color w:val="auto"/>
          <w:sz w:val="24"/>
          <w:szCs w:val="24"/>
          <w:highlight w:val="none"/>
          <w:shd w:val="clear"/>
        </w:rPr>
        <w:t xml:space="preserve">。 </w:t>
      </w:r>
    </w:p>
    <w:p w14:paraId="17C1A2F4">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highlight w:val="none"/>
          <w:shd w:val="clear"/>
          <w:lang w:val="en-US" w:eastAsia="zh-CN"/>
        </w:rPr>
        <w:t>供货合同</w:t>
      </w:r>
      <w:r>
        <w:rPr>
          <w:rFonts w:hint="eastAsia" w:asciiTheme="minorEastAsia" w:hAnsiTheme="minorEastAsia" w:eastAsiaTheme="minorEastAsia" w:cstheme="minorEastAsia"/>
          <w:color w:val="auto"/>
          <w:sz w:val="24"/>
          <w:szCs w:val="24"/>
          <w:highlight w:val="none"/>
          <w:shd w:val="clear"/>
        </w:rPr>
        <w:t>》，由委托人经过相应审批程序后签订。</w:t>
      </w:r>
    </w:p>
    <w:p w14:paraId="78A32631">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3.成交人的竞价保证金可以直接抵作交易服务费，如有剩余，在成交人与委托人签订《</w:t>
      </w:r>
      <w:r>
        <w:rPr>
          <w:rFonts w:hint="eastAsia" w:asciiTheme="minorEastAsia" w:hAnsiTheme="minorEastAsia" w:eastAsiaTheme="minorEastAsia" w:cstheme="minorEastAsia"/>
          <w:color w:val="auto"/>
          <w:sz w:val="24"/>
          <w:szCs w:val="24"/>
          <w:highlight w:val="none"/>
          <w:shd w:val="clear"/>
          <w:lang w:val="en-US" w:eastAsia="zh-CN"/>
        </w:rPr>
        <w:t>供货合同</w:t>
      </w:r>
      <w:r>
        <w:rPr>
          <w:rFonts w:hint="eastAsia" w:asciiTheme="minorEastAsia" w:hAnsiTheme="minorEastAsia" w:eastAsiaTheme="minorEastAsia" w:cstheme="minorEastAsia"/>
          <w:color w:val="auto"/>
          <w:sz w:val="24"/>
          <w:szCs w:val="24"/>
          <w:highlight w:val="none"/>
          <w:shd w:val="clear"/>
        </w:rPr>
        <w:t>》后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个工作日内一次性无息退回。</w:t>
      </w:r>
    </w:p>
    <w:p w14:paraId="228C69BF">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4.未成交人的保证金，在竞价结束后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个工作日内（遇法定节假日顺延）无息退回。</w:t>
      </w:r>
    </w:p>
    <w:p w14:paraId="4AEC94D3">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五、竞价手续</w:t>
      </w:r>
    </w:p>
    <w:p w14:paraId="662A130F">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1.有意参加</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应提供如下有效证照复印件：</w:t>
      </w:r>
    </w:p>
    <w:p w14:paraId="7B62A850">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营业执照副本复印件（加盖公章）；</w:t>
      </w:r>
    </w:p>
    <w:p w14:paraId="2FF87EBE">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法人身份证复印件（加盖公章）；</w:t>
      </w:r>
    </w:p>
    <w:p w14:paraId="73F9730E">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3</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竞价保证金缴纳凭证（加盖公章）；</w:t>
      </w:r>
    </w:p>
    <w:p w14:paraId="282B9445">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lang w:val="en-US" w:eastAsia="zh-CN"/>
        </w:rPr>
        <w:t>4）</w:t>
      </w:r>
      <w:r>
        <w:rPr>
          <w:rFonts w:hint="eastAsia" w:asciiTheme="minorEastAsia" w:hAnsiTheme="minorEastAsia" w:eastAsiaTheme="minorEastAsia" w:cstheme="minorEastAsia"/>
          <w:color w:val="auto"/>
          <w:kern w:val="2"/>
          <w:sz w:val="24"/>
          <w:szCs w:val="24"/>
          <w:highlight w:val="none"/>
          <w:shd w:val="clear"/>
        </w:rPr>
        <w:t>近 3 年无重大违法记录声明（加盖公章）；</w:t>
      </w:r>
    </w:p>
    <w:p w14:paraId="7E273F09">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5</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信用中国无失信记录截图（加盖公章）；</w:t>
      </w:r>
    </w:p>
    <w:p w14:paraId="7A4CADD6">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6</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核心管理人员资历证明（星级酒店总经理经验 / 星级评定员资质，加盖公章）；</w:t>
      </w:r>
    </w:p>
    <w:p w14:paraId="18F3295B">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7</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1 万㎡以上国有酒店咨询管理业绩及业主好评证明（加盖公章）；</w:t>
      </w:r>
    </w:p>
    <w:p w14:paraId="314B3526">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8</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服务方案响应文件（加盖公章</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w:t>
      </w:r>
    </w:p>
    <w:p w14:paraId="20B560CC">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rPr>
        <w:t>如法定代表人无法亲自到现场办理竞价手续的，应提供《授权委托书》原件和委托代理人身份证复印件。</w:t>
      </w:r>
    </w:p>
    <w:p w14:paraId="58E82B18">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以上材料复印件</w:t>
      </w:r>
      <w:r>
        <w:rPr>
          <w:rFonts w:hint="eastAsia" w:asciiTheme="minorEastAsia" w:hAnsiTheme="minorEastAsia" w:eastAsiaTheme="minorEastAsia" w:cstheme="minorEastAsia"/>
          <w:color w:val="auto"/>
          <w:kern w:val="2"/>
          <w:sz w:val="24"/>
          <w:szCs w:val="24"/>
          <w:highlight w:val="none"/>
          <w:shd w:val="clear"/>
          <w:lang w:val="en-US" w:eastAsia="zh-CN"/>
        </w:rPr>
        <w:t>需</w:t>
      </w:r>
      <w:r>
        <w:rPr>
          <w:rFonts w:hint="eastAsia" w:asciiTheme="minorEastAsia" w:hAnsiTheme="minorEastAsia" w:eastAsiaTheme="minorEastAsia" w:cstheme="minorEastAsia"/>
          <w:color w:val="auto"/>
          <w:kern w:val="2"/>
          <w:sz w:val="24"/>
          <w:szCs w:val="24"/>
          <w:highlight w:val="none"/>
          <w:shd w:val="clear"/>
        </w:rPr>
        <w:t>加盖公章。</w:t>
      </w:r>
    </w:p>
    <w:p w14:paraId="5888C7E3">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2.报名方式</w:t>
      </w:r>
    </w:p>
    <w:p w14:paraId="5846C3E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bCs/>
          <w:color w:val="auto"/>
          <w:kern w:val="2"/>
          <w:sz w:val="24"/>
          <w:szCs w:val="24"/>
          <w:highlight w:val="none"/>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r>
        <w:rPr>
          <w:rFonts w:hint="eastAsia" w:asciiTheme="minorEastAsia" w:hAnsiTheme="minorEastAsia" w:eastAsiaTheme="minorEastAsia" w:cstheme="minorEastAsia"/>
          <w:b/>
          <w:bCs/>
          <w:color w:val="auto"/>
          <w:kern w:val="2"/>
          <w:sz w:val="24"/>
          <w:szCs w:val="24"/>
          <w:highlight w:val="none"/>
          <w:shd w:val="clear"/>
          <w:lang w:val="en-US" w:eastAsia="zh-CN"/>
        </w:rPr>
        <w:t xml:space="preserve">       </w:t>
      </w:r>
    </w:p>
    <w:p w14:paraId="00772424">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3.竞价人应自行至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7601DD68">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099733F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六、竞价程序</w:t>
      </w:r>
    </w:p>
    <w:p w14:paraId="20DAB3F7">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sz w:val="24"/>
          <w:szCs w:val="24"/>
          <w:highlight w:val="none"/>
        </w:rPr>
        <w:t>本场竞价</w:t>
      </w:r>
      <w:r>
        <w:rPr>
          <w:rFonts w:hint="eastAsia" w:asciiTheme="minorEastAsia" w:hAnsiTheme="minorEastAsia" w:eastAsiaTheme="minorEastAsia" w:cstheme="minorEastAsia"/>
          <w:color w:val="auto"/>
          <w:sz w:val="24"/>
          <w:szCs w:val="24"/>
          <w:highlight w:val="none"/>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auto"/>
          <w:sz w:val="24"/>
          <w:szCs w:val="24"/>
          <w:highlight w:val="none"/>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auto"/>
          <w:kern w:val="2"/>
          <w:sz w:val="24"/>
          <w:szCs w:val="24"/>
          <w:highlight w:val="none"/>
          <w:shd w:val="clear"/>
          <w:lang w:val="en-US" w:eastAsia="zh-CN"/>
        </w:rPr>
        <w:t>反</w:t>
      </w:r>
      <w:r>
        <w:rPr>
          <w:rFonts w:hint="eastAsia" w:ascii="新宋体" w:hAnsi="新宋体" w:eastAsia="新宋体" w:cs="新宋体"/>
          <w:color w:val="auto"/>
          <w:kern w:val="2"/>
          <w:sz w:val="24"/>
          <w:szCs w:val="24"/>
          <w:highlight w:val="none"/>
          <w:shd w:val="clear"/>
          <w:lang w:eastAsia="zh-CN"/>
        </w:rPr>
        <w:t>向一次性报价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auto"/>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eastAsia="宋体" w:cs="宋体"/>
          <w:b/>
          <w:bCs/>
          <w:color w:val="auto"/>
          <w:kern w:val="2"/>
          <w:sz w:val="24"/>
          <w:szCs w:val="24"/>
          <w:highlight w:val="none"/>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highlight w:val="none"/>
          <w:shd w:val="clear"/>
          <w:lang w:eastAsia="zh-CN"/>
        </w:rPr>
        <w:t>竞价人</w:t>
      </w:r>
      <w:r>
        <w:rPr>
          <w:rFonts w:hint="eastAsia" w:ascii="宋体" w:hAnsi="宋体" w:eastAsia="宋体" w:cs="宋体"/>
          <w:b/>
          <w:bCs/>
          <w:color w:val="auto"/>
          <w:kern w:val="2"/>
          <w:sz w:val="24"/>
          <w:szCs w:val="24"/>
          <w:highlight w:val="none"/>
          <w:shd w:val="clear"/>
        </w:rPr>
        <w:t>应以</w:t>
      </w:r>
      <w:r>
        <w:rPr>
          <w:rFonts w:hint="eastAsia" w:ascii="宋体" w:hAnsi="宋体" w:eastAsia="宋体" w:cs="宋体"/>
          <w:b/>
          <w:bCs/>
          <w:color w:val="auto"/>
          <w:kern w:val="2"/>
          <w:sz w:val="24"/>
          <w:szCs w:val="24"/>
          <w:highlight w:val="none"/>
          <w:u w:val="none"/>
          <w:lang w:val="en-US" w:eastAsia="zh-CN" w:bidi="ar-SA"/>
        </w:rPr>
        <w:t>总价形式</w:t>
      </w:r>
      <w:r>
        <w:rPr>
          <w:rFonts w:hint="eastAsia" w:ascii="宋体" w:hAnsi="宋体" w:eastAsia="宋体" w:cs="宋体"/>
          <w:b/>
          <w:bCs/>
          <w:color w:val="auto"/>
          <w:kern w:val="2"/>
          <w:sz w:val="24"/>
          <w:szCs w:val="24"/>
          <w:highlight w:val="none"/>
          <w:shd w:val="clear"/>
        </w:rPr>
        <w:t>进行报价</w:t>
      </w:r>
      <w:r>
        <w:rPr>
          <w:rFonts w:hint="eastAsia" w:asciiTheme="minorEastAsia" w:hAnsiTheme="minorEastAsia" w:eastAsiaTheme="minorEastAsia" w:cstheme="minorEastAsia"/>
          <w:b/>
          <w:bCs/>
          <w:color w:val="auto"/>
          <w:kern w:val="2"/>
          <w:sz w:val="24"/>
          <w:szCs w:val="24"/>
          <w:highlight w:val="none"/>
          <w:shd w:val="clear"/>
        </w:rPr>
        <w:t>，竞价系统设置的价格</w:t>
      </w:r>
      <w:r>
        <w:rPr>
          <w:rFonts w:hint="eastAsia" w:ascii="宋体" w:hAnsi="宋体" w:eastAsia="宋体" w:cs="宋体"/>
          <w:b/>
          <w:bCs/>
          <w:color w:val="auto"/>
          <w:sz w:val="24"/>
          <w:szCs w:val="24"/>
          <w:highlight w:val="none"/>
          <w:lang w:val="en-US" w:eastAsia="zh-CN"/>
        </w:rPr>
        <w:t>263000</w:t>
      </w:r>
      <w:r>
        <w:rPr>
          <w:rFonts w:hint="eastAsia" w:asciiTheme="minorEastAsia" w:hAnsiTheme="minorEastAsia" w:eastAsiaTheme="minorEastAsia" w:cstheme="minorEastAsia"/>
          <w:b/>
          <w:bCs/>
          <w:color w:val="auto"/>
          <w:kern w:val="2"/>
          <w:sz w:val="24"/>
          <w:szCs w:val="24"/>
          <w:highlight w:val="none"/>
          <w:shd w:val="clear"/>
          <w:lang w:val="en-US" w:eastAsia="zh-CN"/>
        </w:rPr>
        <w:t>元</w:t>
      </w:r>
      <w:r>
        <w:rPr>
          <w:rFonts w:hint="eastAsia" w:asciiTheme="minorEastAsia" w:hAnsiTheme="minorEastAsia" w:eastAsiaTheme="minorEastAsia" w:cstheme="minorEastAsia"/>
          <w:b/>
          <w:bCs/>
          <w:color w:val="auto"/>
          <w:kern w:val="2"/>
          <w:sz w:val="24"/>
          <w:szCs w:val="24"/>
          <w:highlight w:val="none"/>
          <w:shd w:val="clear"/>
        </w:rPr>
        <w:t>表示</w:t>
      </w:r>
      <w:r>
        <w:rPr>
          <w:rFonts w:hint="eastAsia" w:asciiTheme="minorEastAsia" w:hAnsiTheme="minorEastAsia" w:eastAsiaTheme="minorEastAsia" w:cstheme="minorEastAsia"/>
          <w:b/>
          <w:bCs/>
          <w:color w:val="auto"/>
          <w:kern w:val="2"/>
          <w:sz w:val="24"/>
          <w:szCs w:val="24"/>
          <w:highlight w:val="none"/>
          <w:shd w:val="clear"/>
          <w:lang w:val="en-US" w:eastAsia="zh-CN"/>
        </w:rPr>
        <w:t>最高限价</w:t>
      </w:r>
      <w:r>
        <w:rPr>
          <w:rFonts w:hint="eastAsia" w:asciiTheme="minorEastAsia" w:hAnsiTheme="minorEastAsia" w:eastAsiaTheme="minorEastAsia" w:cstheme="minorEastAsia"/>
          <w:b/>
          <w:bCs/>
          <w:color w:val="auto"/>
          <w:kern w:val="2"/>
          <w:sz w:val="24"/>
          <w:szCs w:val="24"/>
          <w:highlight w:val="none"/>
          <w:shd w:val="clear"/>
        </w:rPr>
        <w:t>为</w:t>
      </w:r>
      <w:r>
        <w:rPr>
          <w:rFonts w:hint="eastAsia" w:asciiTheme="minorEastAsia" w:hAnsiTheme="minorEastAsia" w:eastAsiaTheme="minorEastAsia" w:cstheme="minorEastAsia"/>
          <w:b/>
          <w:bCs/>
          <w:color w:val="auto"/>
          <w:kern w:val="2"/>
          <w:sz w:val="24"/>
          <w:szCs w:val="24"/>
          <w:highlight w:val="none"/>
          <w:shd w:val="clear"/>
          <w:lang w:val="en-US" w:eastAsia="zh-CN"/>
        </w:rPr>
        <w:t>人民币</w:t>
      </w:r>
      <w:r>
        <w:rPr>
          <w:rFonts w:hint="eastAsia" w:ascii="宋体" w:hAnsi="宋体" w:eastAsia="宋体" w:cs="宋体"/>
          <w:b/>
          <w:bCs/>
          <w:color w:val="auto"/>
          <w:sz w:val="24"/>
          <w:szCs w:val="24"/>
          <w:highlight w:val="none"/>
          <w:lang w:val="en-US" w:eastAsia="zh-CN"/>
        </w:rPr>
        <w:t>263000</w:t>
      </w:r>
      <w:r>
        <w:rPr>
          <w:rFonts w:hint="eastAsia" w:asciiTheme="minorEastAsia" w:hAnsiTheme="minorEastAsia" w:eastAsiaTheme="minorEastAsia" w:cstheme="minorEastAsia"/>
          <w:b/>
          <w:bCs/>
          <w:color w:val="auto"/>
          <w:kern w:val="2"/>
          <w:sz w:val="24"/>
          <w:szCs w:val="24"/>
          <w:highlight w:val="none"/>
          <w:shd w:val="clear"/>
          <w:lang w:val="en-US" w:eastAsia="zh-CN"/>
        </w:rPr>
        <w:t>元</w:t>
      </w:r>
      <w:r>
        <w:rPr>
          <w:rFonts w:hint="eastAsia" w:asciiTheme="minorEastAsia" w:hAnsiTheme="minorEastAsia" w:eastAsiaTheme="minorEastAsia" w:cstheme="minorEastAsia"/>
          <w:b/>
          <w:bCs/>
          <w:color w:val="auto"/>
          <w:kern w:val="2"/>
          <w:sz w:val="24"/>
          <w:szCs w:val="24"/>
          <w:highlight w:val="none"/>
          <w:shd w:val="clear"/>
        </w:rPr>
        <w:t>，</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在竞价系统填报</w:t>
      </w:r>
      <w:r>
        <w:rPr>
          <w:rFonts w:hint="eastAsia" w:asciiTheme="minorEastAsia" w:hAnsiTheme="minorEastAsia" w:eastAsiaTheme="minorEastAsia" w:cstheme="minorEastAsia"/>
          <w:b/>
          <w:bCs/>
          <w:color w:val="auto"/>
          <w:kern w:val="2"/>
          <w:sz w:val="24"/>
          <w:szCs w:val="24"/>
          <w:highlight w:val="none"/>
          <w:shd w:val="clear"/>
          <w:lang w:val="en-US" w:eastAsia="zh-CN"/>
        </w:rPr>
        <w:t>价格高</w:t>
      </w:r>
      <w:r>
        <w:rPr>
          <w:rFonts w:hint="eastAsia" w:asciiTheme="minorEastAsia" w:hAnsiTheme="minorEastAsia" w:eastAsiaTheme="minorEastAsia" w:cstheme="minorEastAsia"/>
          <w:b/>
          <w:bCs/>
          <w:color w:val="auto"/>
          <w:kern w:val="2"/>
          <w:sz w:val="24"/>
          <w:szCs w:val="24"/>
          <w:highlight w:val="none"/>
          <w:shd w:val="clear"/>
        </w:rPr>
        <w:t>于</w:t>
      </w:r>
      <w:r>
        <w:rPr>
          <w:rFonts w:hint="eastAsia" w:ascii="宋体" w:hAnsi="宋体" w:eastAsia="宋体" w:cs="宋体"/>
          <w:b/>
          <w:bCs/>
          <w:color w:val="auto"/>
          <w:sz w:val="24"/>
          <w:szCs w:val="24"/>
          <w:highlight w:val="none"/>
          <w:lang w:val="en-US" w:eastAsia="zh-CN"/>
        </w:rPr>
        <w:t>263000</w:t>
      </w:r>
      <w:r>
        <w:rPr>
          <w:rFonts w:hint="eastAsia" w:asciiTheme="minorEastAsia" w:hAnsiTheme="minorEastAsia" w:eastAsiaTheme="minorEastAsia" w:cstheme="minorEastAsia"/>
          <w:b/>
          <w:bCs/>
          <w:color w:val="auto"/>
          <w:kern w:val="2"/>
          <w:sz w:val="24"/>
          <w:szCs w:val="24"/>
          <w:highlight w:val="none"/>
          <w:shd w:val="clear"/>
          <w:lang w:val="en-US" w:eastAsia="zh-CN"/>
        </w:rPr>
        <w:t>元</w:t>
      </w:r>
      <w:r>
        <w:rPr>
          <w:rFonts w:hint="eastAsia" w:asciiTheme="minorEastAsia" w:hAnsiTheme="minorEastAsia" w:eastAsiaTheme="minorEastAsia" w:cstheme="minorEastAsia"/>
          <w:b/>
          <w:bCs/>
          <w:color w:val="auto"/>
          <w:kern w:val="2"/>
          <w:sz w:val="24"/>
          <w:szCs w:val="24"/>
          <w:highlight w:val="none"/>
          <w:shd w:val="clear"/>
        </w:rPr>
        <w:t>为无效报价</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填报</w:t>
      </w:r>
      <w:r>
        <w:rPr>
          <w:rFonts w:hint="eastAsia" w:asciiTheme="minorEastAsia" w:hAnsiTheme="minorEastAsia" w:eastAsiaTheme="minorEastAsia" w:cstheme="minorEastAsia"/>
          <w:b/>
          <w:bCs/>
          <w:color w:val="auto"/>
          <w:kern w:val="2"/>
          <w:sz w:val="24"/>
          <w:szCs w:val="24"/>
          <w:highlight w:val="none"/>
          <w:shd w:val="clear"/>
          <w:lang w:val="en-US" w:eastAsia="zh-CN"/>
        </w:rPr>
        <w:t>总价最低的</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auto"/>
          <w:kern w:val="2"/>
          <w:sz w:val="24"/>
          <w:szCs w:val="24"/>
          <w:highlight w:val="none"/>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.本公司有权就竞价时间做出调整，如有调整将在本公司网站进行公告。</w:t>
      </w:r>
    </w:p>
    <w:p w14:paraId="79B82CD0">
      <w:pPr>
        <w:snapToGrid/>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shd w:val="clear"/>
        </w:rPr>
        <w:t>七、交易服务费</w:t>
      </w:r>
    </w:p>
    <w:p w14:paraId="4BFB3B73">
      <w:pPr>
        <w:widowControl/>
        <w:shd w:val="clear"/>
        <w:snapToGrid/>
        <w:spacing w:before="0" w:line="360" w:lineRule="auto"/>
        <w:ind w:left="0"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竞价成交后，本项目按成交价为基数×1.5%向成交人收取交易服务费，当成交（或中标）金额低于3万元时，代理费按实际金额计收；成交（或中标）金额大于等于3万元且代理费不足3000元时，按3000元收取。招标代理服务费直接由本公司从成交人缴纳的竞价保证金中扣收，不足的，成交人必须在成交之日起2个工作日内补齐。招标代理服务费未按期付清的，视成交人根本违约，竞价保证金不予退回。</w:t>
      </w:r>
    </w:p>
    <w:p w14:paraId="0812B5B2">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八、</w:t>
      </w:r>
      <w:r>
        <w:rPr>
          <w:rFonts w:hint="eastAsia" w:asciiTheme="minorEastAsia" w:hAnsiTheme="minorEastAsia" w:eastAsiaTheme="minorEastAsia" w:cstheme="minorEastAsia"/>
          <w:b/>
          <w:bCs/>
          <w:color w:val="auto"/>
          <w:kern w:val="2"/>
          <w:sz w:val="24"/>
          <w:szCs w:val="24"/>
          <w:highlight w:val="none"/>
          <w:shd w:val="clear"/>
          <w:lang w:eastAsia="zh-CN"/>
        </w:rPr>
        <w:t>结算</w:t>
      </w:r>
      <w:r>
        <w:rPr>
          <w:rFonts w:hint="eastAsia" w:asciiTheme="minorEastAsia" w:hAnsiTheme="minorEastAsia" w:eastAsiaTheme="minorEastAsia" w:cstheme="minorEastAsia"/>
          <w:b/>
          <w:bCs/>
          <w:color w:val="auto"/>
          <w:kern w:val="2"/>
          <w:sz w:val="24"/>
          <w:szCs w:val="24"/>
          <w:highlight w:val="none"/>
          <w:shd w:val="clear"/>
        </w:rPr>
        <w:t>方式</w:t>
      </w:r>
    </w:p>
    <w:p w14:paraId="61FA7310">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以竞价公告为准。</w:t>
      </w:r>
    </w:p>
    <w:p w14:paraId="3644786F">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九、税费承担</w:t>
      </w:r>
    </w:p>
    <w:p w14:paraId="02C66077">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自行承担参加竞价会有关的全部费用（包括但不限于差旅费、邮寄费、资料费等）。</w:t>
      </w:r>
    </w:p>
    <w:p w14:paraId="3C9BD0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napToGrid/>
        <w:spacing w:before="0" w:beforeAutospacing="0" w:after="0" w:afterAutospacing="0" w:line="360" w:lineRule="auto"/>
        <w:ind w:left="0" w:right="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十、违约责任</w:t>
      </w:r>
    </w:p>
    <w:p w14:paraId="3AF6FAB9">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rPr>
        <w:t>成交人应价后反悔的，或不即时签订《竞价结果通知书》，或逾期未缴纳交易服务费，本公司按违约处理，其竞价保证金由本公司扣除项目交易服务费用后转入委托方账户，同时《竞价结果通知书》自动失效，并视情对竞价标的再次竞价或处理，对于再次竞价金额后若低于第一次竞价金额的，就差价部分委托方有权向该成交人提起赔偿诉讼</w:t>
      </w:r>
      <w:r>
        <w:rPr>
          <w:rFonts w:hint="eastAsia" w:asciiTheme="minorEastAsia" w:hAnsiTheme="minorEastAsia" w:eastAsiaTheme="minorEastAsia" w:cstheme="minorEastAsia"/>
          <w:color w:val="auto"/>
          <w:kern w:val="2"/>
          <w:sz w:val="24"/>
          <w:szCs w:val="24"/>
          <w:highlight w:val="none"/>
          <w:shd w:val="clear"/>
          <w:lang w:eastAsia="zh-CN"/>
        </w:rPr>
        <w:t>。</w:t>
      </w:r>
    </w:p>
    <w:p w14:paraId="36313E2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一</w:t>
      </w:r>
      <w:r>
        <w:rPr>
          <w:rFonts w:hint="eastAsia" w:asciiTheme="minorEastAsia" w:hAnsiTheme="minorEastAsia" w:eastAsiaTheme="minorEastAsia" w:cstheme="minorEastAsia"/>
          <w:b/>
          <w:bCs/>
          <w:color w:val="auto"/>
          <w:kern w:val="2"/>
          <w:sz w:val="24"/>
          <w:szCs w:val="24"/>
          <w:highlight w:val="none"/>
          <w:shd w:val="clear"/>
        </w:rPr>
        <w:t>、注意事项</w:t>
      </w:r>
    </w:p>
    <w:p w14:paraId="7739BCD8">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w:t>
      </w:r>
    </w:p>
    <w:p w14:paraId="782EEB41">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应妥善保管好用户名及密码，用户名为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负责。</w:t>
      </w:r>
    </w:p>
    <w:p w14:paraId="2B348D6B">
      <w:pPr>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3.成交后，成交人应当与委托人签订《</w:t>
      </w:r>
      <w:r>
        <w:rPr>
          <w:rFonts w:hint="eastAsia" w:asciiTheme="minorEastAsia" w:hAnsiTheme="minorEastAsia" w:eastAsiaTheme="minorEastAsia" w:cstheme="minorEastAsia"/>
          <w:b/>
          <w:bCs/>
          <w:color w:val="auto"/>
          <w:kern w:val="2"/>
          <w:sz w:val="24"/>
          <w:szCs w:val="24"/>
          <w:highlight w:val="none"/>
          <w:shd w:val="clear"/>
          <w:lang w:val="en-US" w:eastAsia="zh-CN"/>
        </w:rPr>
        <w:t>服务</w:t>
      </w:r>
      <w:r>
        <w:rPr>
          <w:rFonts w:hint="eastAsia" w:asciiTheme="minorEastAsia" w:hAnsiTheme="minorEastAsia" w:eastAsiaTheme="minorEastAsia" w:cstheme="minorEastAsia"/>
          <w:b/>
          <w:bCs/>
          <w:color w:val="auto"/>
          <w:kern w:val="28"/>
          <w:sz w:val="24"/>
          <w:szCs w:val="24"/>
          <w:highlight w:val="none"/>
          <w:lang w:val="en-US" w:eastAsia="zh-CN" w:bidi="ar-SA"/>
        </w:rPr>
        <w:t>合同</w:t>
      </w:r>
      <w:r>
        <w:rPr>
          <w:rFonts w:hint="eastAsia" w:asciiTheme="minorEastAsia" w:hAnsiTheme="minorEastAsia" w:eastAsiaTheme="minorEastAsia" w:cstheme="minorEastAsia"/>
          <w:color w:val="auto"/>
          <w:kern w:val="2"/>
          <w:sz w:val="24"/>
          <w:szCs w:val="24"/>
          <w:highlight w:val="none"/>
          <w:shd w:val="clear"/>
          <w:lang w:val="en-US" w:eastAsia="zh-CN"/>
        </w:rPr>
        <w:t>》，并严格履行，双方的权利、义务以《</w:t>
      </w:r>
      <w:r>
        <w:rPr>
          <w:rFonts w:hint="eastAsia" w:asciiTheme="minorEastAsia" w:hAnsiTheme="minorEastAsia" w:eastAsiaTheme="minorEastAsia" w:cstheme="minorEastAsia"/>
          <w:b/>
          <w:bCs/>
          <w:color w:val="auto"/>
          <w:kern w:val="2"/>
          <w:sz w:val="24"/>
          <w:szCs w:val="24"/>
          <w:highlight w:val="none"/>
          <w:shd w:val="clear"/>
          <w:lang w:val="en-US" w:eastAsia="zh-CN"/>
        </w:rPr>
        <w:t>服务</w:t>
      </w:r>
      <w:r>
        <w:rPr>
          <w:rFonts w:hint="eastAsia" w:asciiTheme="minorEastAsia" w:hAnsiTheme="minorEastAsia" w:eastAsiaTheme="minorEastAsia" w:cstheme="minorEastAsia"/>
          <w:b/>
          <w:bCs/>
          <w:color w:val="auto"/>
          <w:kern w:val="28"/>
          <w:sz w:val="24"/>
          <w:szCs w:val="24"/>
          <w:highlight w:val="none"/>
          <w:lang w:val="en-US" w:eastAsia="zh-CN" w:bidi="ar-SA"/>
        </w:rPr>
        <w:t>合同</w:t>
      </w:r>
      <w:r>
        <w:rPr>
          <w:rFonts w:hint="eastAsia" w:asciiTheme="minorEastAsia" w:hAnsiTheme="minorEastAsia" w:eastAsiaTheme="minorEastAsia" w:cstheme="minorEastAsia"/>
          <w:color w:val="auto"/>
          <w:kern w:val="2"/>
          <w:sz w:val="24"/>
          <w:szCs w:val="24"/>
          <w:highlight w:val="none"/>
          <w:shd w:val="clear"/>
          <w:lang w:val="en-US" w:eastAsia="zh-CN"/>
        </w:rPr>
        <w:t>》约定为准。</w:t>
      </w:r>
    </w:p>
    <w:p w14:paraId="1D83AD50">
      <w:pPr>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14:paraId="0C77D81D">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二</w:t>
      </w:r>
      <w:r>
        <w:rPr>
          <w:rFonts w:hint="eastAsia" w:asciiTheme="minorEastAsia" w:hAnsiTheme="minorEastAsia" w:eastAsiaTheme="minorEastAsia" w:cstheme="minorEastAsia"/>
          <w:b/>
          <w:bCs/>
          <w:color w:val="auto"/>
          <w:kern w:val="2"/>
          <w:sz w:val="24"/>
          <w:szCs w:val="24"/>
          <w:highlight w:val="none"/>
          <w:shd w:val="clear"/>
        </w:rPr>
        <w:t>、特别提示</w:t>
      </w:r>
    </w:p>
    <w:tbl>
      <w:tblPr>
        <w:tblStyle w:val="3"/>
        <w:tblW w:w="9071" w:type="dxa"/>
        <w:jc w:val="center"/>
        <w:shd w:val="clear" w:color="auto" w:fill="FFFFFF"/>
        <w:tblLayout w:type="fixed"/>
        <w:tblCellMar>
          <w:top w:w="0" w:type="dxa"/>
          <w:left w:w="0" w:type="dxa"/>
          <w:bottom w:w="0" w:type="dxa"/>
          <w:right w:w="0" w:type="dxa"/>
        </w:tblCellMar>
      </w:tblPr>
      <w:tblGrid>
        <w:gridCol w:w="9071"/>
      </w:tblGrid>
      <w:tr w14:paraId="4A09F6D2">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0711DA4">
            <w:pPr>
              <w:widowControl/>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1.申请人必须对本项目情况及竞价流程进行充分的咨询和了解，一旦参与竞价，视为无异议，并对项目存在或可能存在的瑕疵表示认可，自行承担由此造成的风险。</w:t>
            </w:r>
          </w:p>
          <w:p w14:paraId="1268CA66">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rPr>
              <w:t>2.竞价文件如有更正修改，公告将在</w:t>
            </w:r>
            <w:r>
              <w:rPr>
                <w:rFonts w:hint="eastAsia" w:asciiTheme="minorEastAsia" w:hAnsiTheme="minorEastAsia" w:eastAsiaTheme="minorEastAsia" w:cstheme="minorEastAsia"/>
                <w:b w:val="0"/>
                <w:bCs w:val="0"/>
                <w:color w:val="auto"/>
                <w:sz w:val="24"/>
                <w:szCs w:val="24"/>
                <w:highlight w:val="none"/>
              </w:rPr>
              <w:t>连城产权交易网（网址：</w:t>
            </w:r>
            <w:r>
              <w:rPr>
                <w:rFonts w:hint="eastAsia" w:asciiTheme="minorEastAsia" w:hAnsiTheme="minorEastAsia" w:eastAsiaTheme="minorEastAsia" w:cstheme="minorEastAsia"/>
                <w:b/>
                <w:bCs/>
                <w:color w:val="auto"/>
                <w:sz w:val="24"/>
                <w:szCs w:val="24"/>
                <w:highlight w:val="none"/>
              </w:rPr>
              <w:t>http://www.lcxcqjy.com/</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color w:val="auto"/>
                <w:kern w:val="2"/>
                <w:sz w:val="24"/>
                <w:szCs w:val="24"/>
                <w:highlight w:val="none"/>
              </w:rPr>
              <w:t>上</w:t>
            </w:r>
            <w:r>
              <w:rPr>
                <w:rFonts w:hint="eastAsia" w:asciiTheme="minorEastAsia" w:hAnsiTheme="minorEastAsia" w:eastAsiaTheme="minorEastAsia" w:cstheme="minorEastAsia"/>
                <w:color w:val="auto"/>
                <w:kern w:val="2"/>
                <w:sz w:val="24"/>
                <w:szCs w:val="24"/>
                <w:highlight w:val="none"/>
                <w:shd w:val="clear"/>
              </w:rPr>
              <w:t>发布，请潜在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未查看、下载修改内容的，后果自行承担。</w:t>
            </w:r>
          </w:p>
          <w:p w14:paraId="2502651A">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3.有需要通知事项时，本公司以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，即使</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不签收或未收到通知，均视为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已收到通知，由此造成的后果由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自行负责。</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成为成交人参照此条款执行。</w:t>
            </w:r>
          </w:p>
        </w:tc>
      </w:tr>
    </w:tbl>
    <w:p w14:paraId="70E5DE9F">
      <w:pPr>
        <w:widowControl/>
        <w:shd w:val="clear"/>
        <w:snapToGrid/>
        <w:spacing w:before="0" w:line="360" w:lineRule="auto"/>
        <w:ind w:firstLine="0" w:firstLineChars="0"/>
        <w:jc w:val="righ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shd w:val="clear"/>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059A9CB0">
      <w:pPr>
        <w:widowControl/>
        <w:shd w:val="clear"/>
        <w:snapToGrid/>
        <w:spacing w:before="0" w:line="360" w:lineRule="auto"/>
        <w:ind w:firstLine="0" w:firstLineChars="0"/>
        <w:jc w:val="righ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连城县国有资产产权交易服务有限公司</w:t>
      </w:r>
    </w:p>
    <w:p w14:paraId="30F0FE37">
      <w:pPr>
        <w:widowControl/>
        <w:shd w:val="clear"/>
        <w:wordWrap/>
        <w:snapToGrid/>
        <w:spacing w:before="0" w:line="360" w:lineRule="auto"/>
        <w:ind w:firstLine="480" w:firstLineChars="200"/>
        <w:jc w:val="right"/>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2026年6月9日</w:t>
      </w:r>
    </w:p>
    <w:p w14:paraId="5323D7B5">
      <w:pPr>
        <w:spacing w:line="360" w:lineRule="auto"/>
        <w:jc w:val="righ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5F6E9A96">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承 诺 书</w:t>
      </w:r>
    </w:p>
    <w:p w14:paraId="39959FD3">
      <w:pPr>
        <w:spacing w:line="360" w:lineRule="auto"/>
        <w:ind w:firstLine="5040" w:firstLineChars="2100"/>
        <w:jc w:val="left"/>
        <w:rPr>
          <w:rFonts w:hint="eastAsia" w:asciiTheme="minorEastAsia" w:hAnsiTheme="minorEastAsia" w:eastAsiaTheme="minorEastAsia" w:cstheme="minorEastAsia"/>
          <w:color w:val="auto"/>
          <w:sz w:val="24"/>
          <w:szCs w:val="24"/>
          <w:highlight w:val="none"/>
        </w:rPr>
      </w:pPr>
    </w:p>
    <w:p w14:paraId="7B1C8190">
      <w:pPr>
        <w:spacing w:beforeLines="50"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连城县国有资产产权交易服务有限公司</w:t>
      </w:r>
      <w:r>
        <w:rPr>
          <w:rFonts w:hint="eastAsia" w:asciiTheme="minorEastAsia" w:hAnsiTheme="minorEastAsia" w:eastAsiaTheme="minorEastAsia" w:cstheme="minorEastAsia"/>
          <w:color w:val="auto"/>
          <w:sz w:val="24"/>
          <w:szCs w:val="24"/>
          <w:highlight w:val="none"/>
        </w:rPr>
        <w:t>：</w:t>
      </w:r>
    </w:p>
    <w:p w14:paraId="0A12CE97">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本人（公司）承诺提供的报名材料真实、合法、有效，自愿报名参加贵司于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2026年6月15日</w:t>
      </w:r>
      <w:r>
        <w:rPr>
          <w:rFonts w:hint="eastAsia" w:asciiTheme="minorEastAsia" w:hAnsiTheme="minorEastAsia" w:eastAsiaTheme="minorEastAsia" w:cstheme="minorEastAsia"/>
          <w:color w:val="auto"/>
          <w:sz w:val="24"/>
          <w:szCs w:val="24"/>
          <w:highlight w:val="none"/>
        </w:rPr>
        <w:t>上午举行的 “连城县招标投标交易平台</w:t>
      </w:r>
      <w:r>
        <w:rPr>
          <w:rFonts w:hint="eastAsia" w:asciiTheme="minorEastAsia" w:hAnsiTheme="minorEastAsia" w:eastAsiaTheme="minorEastAsia" w:cstheme="minorEastAsia"/>
          <w:color w:val="auto"/>
          <w:sz w:val="24"/>
          <w:szCs w:val="24"/>
          <w:highlight w:val="none"/>
          <w:lang w:val="en-US" w:eastAsia="zh-CN"/>
        </w:rPr>
        <w:t>反</w:t>
      </w:r>
      <w:r>
        <w:rPr>
          <w:rFonts w:hint="eastAsia" w:asciiTheme="minorEastAsia" w:hAnsiTheme="minorEastAsia" w:eastAsiaTheme="minorEastAsia" w:cstheme="minorEastAsia"/>
          <w:color w:val="auto"/>
          <w:sz w:val="24"/>
          <w:szCs w:val="24"/>
          <w:highlight w:val="none"/>
        </w:rPr>
        <w:t>向一次报价”</w:t>
      </w:r>
      <w:r>
        <w:rPr>
          <w:rFonts w:hint="eastAsia" w:asciiTheme="minorEastAsia" w:hAnsiTheme="minorEastAsia" w:eastAsiaTheme="minorEastAsia" w:cstheme="minorEastAsia"/>
          <w:color w:val="auto"/>
          <w:sz w:val="24"/>
          <w:szCs w:val="24"/>
          <w:highlight w:val="none"/>
          <w:u w:val="single"/>
          <w:lang w:val="en-US" w:eastAsia="zh-CN"/>
        </w:rPr>
        <w:t>新能源汽车旅馆筹备期咨询管理服务采购项目（二次）</w:t>
      </w:r>
      <w:r>
        <w:rPr>
          <w:rFonts w:hint="eastAsia" w:asciiTheme="minorEastAsia" w:hAnsiTheme="minorEastAsia" w:eastAsiaTheme="minorEastAsia" w:cstheme="minorEastAsia"/>
          <w:color w:val="auto"/>
          <w:sz w:val="24"/>
          <w:szCs w:val="24"/>
          <w:highlight w:val="none"/>
        </w:rPr>
        <w:t>竞价。收悉项目编号为</w:t>
      </w:r>
      <w:r>
        <w:rPr>
          <w:rFonts w:hint="eastAsia" w:asciiTheme="minorEastAsia" w:hAnsiTheme="minorEastAsia" w:eastAsiaTheme="minorEastAsia" w:cstheme="minorEastAsia"/>
          <w:color w:val="auto"/>
          <w:sz w:val="24"/>
          <w:szCs w:val="24"/>
          <w:highlight w:val="none"/>
          <w:u w:val="single"/>
          <w:lang w:eastAsia="zh-CN"/>
        </w:rPr>
        <w:t>LCCQJJ2026</w:t>
      </w:r>
      <w:r>
        <w:rPr>
          <w:rFonts w:hint="eastAsia" w:asciiTheme="minorEastAsia" w:hAnsiTheme="minorEastAsia" w:eastAsiaTheme="minorEastAsia" w:cstheme="minorEastAsia"/>
          <w:color w:val="auto"/>
          <w:sz w:val="24"/>
          <w:szCs w:val="24"/>
          <w:highlight w:val="none"/>
          <w:u w:val="single"/>
          <w:lang w:val="en-US" w:eastAsia="zh-CN"/>
        </w:rPr>
        <w:t>0615-2</w:t>
      </w:r>
      <w:bookmarkStart w:id="0" w:name="_GoBack"/>
      <w:bookmarkEnd w:id="0"/>
      <w:r>
        <w:rPr>
          <w:rFonts w:hint="eastAsia" w:asciiTheme="minorEastAsia" w:hAnsiTheme="minorEastAsia" w:eastAsiaTheme="minorEastAsia" w:cstheme="minorEastAsia"/>
          <w:color w:val="auto"/>
          <w:sz w:val="24"/>
          <w:szCs w:val="24"/>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BC3F6F7">
      <w:pPr>
        <w:spacing w:line="440" w:lineRule="exact"/>
        <w:rPr>
          <w:rFonts w:hint="eastAsia" w:asciiTheme="minorEastAsia" w:hAnsiTheme="minorEastAsia" w:eastAsiaTheme="minorEastAsia" w:cstheme="minorEastAsia"/>
          <w:color w:val="auto"/>
          <w:sz w:val="24"/>
          <w:szCs w:val="24"/>
          <w:highlight w:val="none"/>
        </w:rPr>
      </w:pPr>
    </w:p>
    <w:p w14:paraId="2D83083B">
      <w:pPr>
        <w:spacing w:line="440" w:lineRule="exact"/>
        <w:rPr>
          <w:rFonts w:hint="eastAsia" w:asciiTheme="minorEastAsia" w:hAnsiTheme="minorEastAsia" w:eastAsiaTheme="minorEastAsia" w:cstheme="minorEastAsia"/>
          <w:color w:val="auto"/>
          <w:sz w:val="24"/>
          <w:szCs w:val="24"/>
          <w:highlight w:val="none"/>
        </w:rPr>
      </w:pPr>
    </w:p>
    <w:p w14:paraId="2E429D72">
      <w:pPr>
        <w:spacing w:line="4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w:t>
      </w:r>
    </w:p>
    <w:p w14:paraId="1168EA08">
      <w:pPr>
        <w:spacing w:line="440" w:lineRule="exact"/>
        <w:rPr>
          <w:rFonts w:hint="eastAsia" w:asciiTheme="minorEastAsia" w:hAnsiTheme="minorEastAsia" w:eastAsiaTheme="minorEastAsia" w:cstheme="minorEastAsia"/>
          <w:color w:val="auto"/>
          <w:sz w:val="24"/>
          <w:szCs w:val="24"/>
          <w:highlight w:val="none"/>
        </w:rPr>
      </w:pPr>
    </w:p>
    <w:p w14:paraId="78831084">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承诺人（申请人签章）：</w:t>
      </w:r>
    </w:p>
    <w:p w14:paraId="134F97B2">
      <w:pPr>
        <w:spacing w:line="440" w:lineRule="exact"/>
        <w:rPr>
          <w:rFonts w:hint="eastAsia" w:asciiTheme="minorEastAsia" w:hAnsiTheme="minorEastAsia" w:eastAsiaTheme="minorEastAsia" w:cstheme="minorEastAsia"/>
          <w:color w:val="auto"/>
          <w:sz w:val="24"/>
          <w:szCs w:val="24"/>
          <w:highlight w:val="none"/>
        </w:rPr>
      </w:pPr>
    </w:p>
    <w:p w14:paraId="608D94B3">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法定代表人或授权代理人（签章）： </w:t>
      </w:r>
    </w:p>
    <w:p w14:paraId="28743D77">
      <w:pPr>
        <w:spacing w:line="440" w:lineRule="exact"/>
        <w:rPr>
          <w:rFonts w:hint="eastAsia" w:asciiTheme="minorEastAsia" w:hAnsiTheme="minorEastAsia" w:eastAsiaTheme="minorEastAsia" w:cstheme="minorEastAsia"/>
          <w:color w:val="auto"/>
          <w:sz w:val="24"/>
          <w:szCs w:val="24"/>
          <w:highlight w:val="none"/>
        </w:rPr>
      </w:pPr>
    </w:p>
    <w:p w14:paraId="7529CD34">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3ACBF8E0">
      <w:pPr>
        <w:spacing w:line="440" w:lineRule="exact"/>
        <w:rPr>
          <w:rFonts w:hint="eastAsia" w:asciiTheme="minorEastAsia" w:hAnsiTheme="minorEastAsia" w:eastAsiaTheme="minorEastAsia" w:cstheme="minorEastAsia"/>
          <w:color w:val="auto"/>
          <w:sz w:val="24"/>
          <w:szCs w:val="24"/>
          <w:highlight w:val="none"/>
        </w:rPr>
      </w:pPr>
    </w:p>
    <w:p w14:paraId="79DB80B6">
      <w:pPr>
        <w:spacing w:line="440" w:lineRule="exact"/>
        <w:ind w:firstLine="0" w:firstLineChars="0"/>
        <w:jc w:val="right"/>
        <w:rPr>
          <w:color w:val="auto"/>
        </w:rPr>
      </w:pPr>
      <w:r>
        <w:rPr>
          <w:rFonts w:hint="eastAsia" w:asciiTheme="minorEastAsia" w:hAnsiTheme="minorEastAsia" w:eastAsiaTheme="minorEastAsia" w:cstheme="minorEastAsia"/>
          <w:color w:val="auto"/>
          <w:sz w:val="24"/>
          <w:szCs w:val="24"/>
          <w:highlight w:val="none"/>
        </w:rPr>
        <w:t>年    月    日</w:t>
      </w:r>
    </w:p>
    <w:sectPr>
      <w:pgSz w:w="11906" w:h="16838"/>
      <w:pgMar w:top="1327" w:right="1689" w:bottom="1327"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A404E"/>
    <w:rsid w:val="008E0C60"/>
    <w:rsid w:val="00906786"/>
    <w:rsid w:val="013B0DE8"/>
    <w:rsid w:val="01537C96"/>
    <w:rsid w:val="01633E9B"/>
    <w:rsid w:val="01FD1632"/>
    <w:rsid w:val="02597332"/>
    <w:rsid w:val="028B66E3"/>
    <w:rsid w:val="02D0730E"/>
    <w:rsid w:val="02E35293"/>
    <w:rsid w:val="02FC45A7"/>
    <w:rsid w:val="032C4E8C"/>
    <w:rsid w:val="03EE3EEF"/>
    <w:rsid w:val="03F82FC0"/>
    <w:rsid w:val="0548177D"/>
    <w:rsid w:val="05AA653C"/>
    <w:rsid w:val="05D215EF"/>
    <w:rsid w:val="05D76C05"/>
    <w:rsid w:val="06400C4E"/>
    <w:rsid w:val="07660241"/>
    <w:rsid w:val="0790148E"/>
    <w:rsid w:val="07B62F76"/>
    <w:rsid w:val="07E06245"/>
    <w:rsid w:val="07F8328D"/>
    <w:rsid w:val="09AD2157"/>
    <w:rsid w:val="0A1B5312"/>
    <w:rsid w:val="0A375EC4"/>
    <w:rsid w:val="0AB80DB3"/>
    <w:rsid w:val="0AC7549A"/>
    <w:rsid w:val="0ACB4F8A"/>
    <w:rsid w:val="0ACE05D7"/>
    <w:rsid w:val="0AE55920"/>
    <w:rsid w:val="0B860EB1"/>
    <w:rsid w:val="0C28640C"/>
    <w:rsid w:val="0C6F4D52"/>
    <w:rsid w:val="0CF32576"/>
    <w:rsid w:val="0D7D62E4"/>
    <w:rsid w:val="0E1E7A45"/>
    <w:rsid w:val="0E72571D"/>
    <w:rsid w:val="0E76520D"/>
    <w:rsid w:val="0EB775D4"/>
    <w:rsid w:val="0ECC307F"/>
    <w:rsid w:val="0F865924"/>
    <w:rsid w:val="0FC25C6E"/>
    <w:rsid w:val="100F5919"/>
    <w:rsid w:val="102E1B18"/>
    <w:rsid w:val="108D683E"/>
    <w:rsid w:val="10BB33AB"/>
    <w:rsid w:val="10EC7A09"/>
    <w:rsid w:val="11036B00"/>
    <w:rsid w:val="11535CDA"/>
    <w:rsid w:val="11692E07"/>
    <w:rsid w:val="130458A1"/>
    <w:rsid w:val="13CF716E"/>
    <w:rsid w:val="14757D15"/>
    <w:rsid w:val="14A423A8"/>
    <w:rsid w:val="14E629C1"/>
    <w:rsid w:val="14EA24B1"/>
    <w:rsid w:val="15634011"/>
    <w:rsid w:val="160C1333"/>
    <w:rsid w:val="16421E79"/>
    <w:rsid w:val="16CD5BE6"/>
    <w:rsid w:val="171E4694"/>
    <w:rsid w:val="17544559"/>
    <w:rsid w:val="17E01949"/>
    <w:rsid w:val="1824217E"/>
    <w:rsid w:val="182757CA"/>
    <w:rsid w:val="185A5BA0"/>
    <w:rsid w:val="185C36C6"/>
    <w:rsid w:val="199D3F96"/>
    <w:rsid w:val="19A74E14"/>
    <w:rsid w:val="19BB266E"/>
    <w:rsid w:val="19E51499"/>
    <w:rsid w:val="1AE87493"/>
    <w:rsid w:val="1B0E4A1F"/>
    <w:rsid w:val="1B293607"/>
    <w:rsid w:val="1B697EA8"/>
    <w:rsid w:val="1B724FAE"/>
    <w:rsid w:val="1BB13D28"/>
    <w:rsid w:val="1C3109C5"/>
    <w:rsid w:val="1D291FE4"/>
    <w:rsid w:val="1D8965DF"/>
    <w:rsid w:val="1DC046F7"/>
    <w:rsid w:val="1E067C30"/>
    <w:rsid w:val="1E7846AB"/>
    <w:rsid w:val="1E7E1EBC"/>
    <w:rsid w:val="1EFD7285"/>
    <w:rsid w:val="1F29007A"/>
    <w:rsid w:val="1F2A008D"/>
    <w:rsid w:val="1F374545"/>
    <w:rsid w:val="1F3C1B5B"/>
    <w:rsid w:val="1F5350F7"/>
    <w:rsid w:val="1F6B2440"/>
    <w:rsid w:val="203B1E13"/>
    <w:rsid w:val="20CF4C51"/>
    <w:rsid w:val="22140B6D"/>
    <w:rsid w:val="2310441E"/>
    <w:rsid w:val="23FF13A9"/>
    <w:rsid w:val="24082954"/>
    <w:rsid w:val="243454F7"/>
    <w:rsid w:val="2455546D"/>
    <w:rsid w:val="24747FE9"/>
    <w:rsid w:val="24BE74B6"/>
    <w:rsid w:val="24C20D54"/>
    <w:rsid w:val="24FE78B3"/>
    <w:rsid w:val="25C7239A"/>
    <w:rsid w:val="264F6618"/>
    <w:rsid w:val="267C3185"/>
    <w:rsid w:val="26B91CE3"/>
    <w:rsid w:val="27457A1B"/>
    <w:rsid w:val="27C931F5"/>
    <w:rsid w:val="27DA0163"/>
    <w:rsid w:val="291B0A33"/>
    <w:rsid w:val="29642175"/>
    <w:rsid w:val="2A6B1546"/>
    <w:rsid w:val="2A9A1E2C"/>
    <w:rsid w:val="2AED28A3"/>
    <w:rsid w:val="2BC2788C"/>
    <w:rsid w:val="2C471B3F"/>
    <w:rsid w:val="2C8E6F44"/>
    <w:rsid w:val="2CA51AA6"/>
    <w:rsid w:val="2CD35299"/>
    <w:rsid w:val="2D016192"/>
    <w:rsid w:val="2D6A6FA1"/>
    <w:rsid w:val="2D7C3A6A"/>
    <w:rsid w:val="2D8F379E"/>
    <w:rsid w:val="2DB024DE"/>
    <w:rsid w:val="2E9D1EEA"/>
    <w:rsid w:val="2F8530AA"/>
    <w:rsid w:val="2FD302BA"/>
    <w:rsid w:val="2FE464C9"/>
    <w:rsid w:val="2FF41FDE"/>
    <w:rsid w:val="30A05CC2"/>
    <w:rsid w:val="30FF0C3A"/>
    <w:rsid w:val="32BA404E"/>
    <w:rsid w:val="33244988"/>
    <w:rsid w:val="333F7A14"/>
    <w:rsid w:val="33B421B0"/>
    <w:rsid w:val="34D7691B"/>
    <w:rsid w:val="34D83C7C"/>
    <w:rsid w:val="34FA3BF3"/>
    <w:rsid w:val="35702107"/>
    <w:rsid w:val="36176A26"/>
    <w:rsid w:val="36392E40"/>
    <w:rsid w:val="36DA1F2E"/>
    <w:rsid w:val="370E1BD7"/>
    <w:rsid w:val="372C6501"/>
    <w:rsid w:val="37517D16"/>
    <w:rsid w:val="37874409"/>
    <w:rsid w:val="385E26EA"/>
    <w:rsid w:val="38E01351"/>
    <w:rsid w:val="39070FD4"/>
    <w:rsid w:val="393B2A2C"/>
    <w:rsid w:val="39400042"/>
    <w:rsid w:val="39A95BE7"/>
    <w:rsid w:val="3A127C30"/>
    <w:rsid w:val="3A7C32FC"/>
    <w:rsid w:val="3A7D78DA"/>
    <w:rsid w:val="3AA06FEA"/>
    <w:rsid w:val="3B0D21A6"/>
    <w:rsid w:val="3B2D45F6"/>
    <w:rsid w:val="3B45403E"/>
    <w:rsid w:val="3B5A363D"/>
    <w:rsid w:val="3CCA65A0"/>
    <w:rsid w:val="3CF4361D"/>
    <w:rsid w:val="3E846C23"/>
    <w:rsid w:val="3EF20030"/>
    <w:rsid w:val="3EFB6EE5"/>
    <w:rsid w:val="3F0D6C18"/>
    <w:rsid w:val="3F47212A"/>
    <w:rsid w:val="3F7722E4"/>
    <w:rsid w:val="3F9F3D14"/>
    <w:rsid w:val="3FA7706D"/>
    <w:rsid w:val="3FC714BD"/>
    <w:rsid w:val="402E32EA"/>
    <w:rsid w:val="404228F2"/>
    <w:rsid w:val="405A7C3B"/>
    <w:rsid w:val="41967399"/>
    <w:rsid w:val="42134546"/>
    <w:rsid w:val="425A03C6"/>
    <w:rsid w:val="427F607F"/>
    <w:rsid w:val="42925DB2"/>
    <w:rsid w:val="42935686"/>
    <w:rsid w:val="43040332"/>
    <w:rsid w:val="438020AF"/>
    <w:rsid w:val="43B6787E"/>
    <w:rsid w:val="4413082D"/>
    <w:rsid w:val="441F5424"/>
    <w:rsid w:val="445B21D4"/>
    <w:rsid w:val="44654E01"/>
    <w:rsid w:val="45352A25"/>
    <w:rsid w:val="453942C3"/>
    <w:rsid w:val="45C55C4C"/>
    <w:rsid w:val="462F56C6"/>
    <w:rsid w:val="46A71700"/>
    <w:rsid w:val="46AE2A8F"/>
    <w:rsid w:val="46E42955"/>
    <w:rsid w:val="48645AFB"/>
    <w:rsid w:val="48943F06"/>
    <w:rsid w:val="489D2DBB"/>
    <w:rsid w:val="48B9571B"/>
    <w:rsid w:val="48BF71D5"/>
    <w:rsid w:val="48D52555"/>
    <w:rsid w:val="491A440C"/>
    <w:rsid w:val="49247038"/>
    <w:rsid w:val="492C413F"/>
    <w:rsid w:val="49F25388"/>
    <w:rsid w:val="4AE922E8"/>
    <w:rsid w:val="4B1530DD"/>
    <w:rsid w:val="4BA3693A"/>
    <w:rsid w:val="4BBC79FC"/>
    <w:rsid w:val="4C8A31B1"/>
    <w:rsid w:val="4CC4300C"/>
    <w:rsid w:val="4DB52955"/>
    <w:rsid w:val="4F245FE4"/>
    <w:rsid w:val="4F391364"/>
    <w:rsid w:val="4F756840"/>
    <w:rsid w:val="4F7C7BCE"/>
    <w:rsid w:val="4FA26F09"/>
    <w:rsid w:val="502838B2"/>
    <w:rsid w:val="50354221"/>
    <w:rsid w:val="506D39BB"/>
    <w:rsid w:val="50A56CB1"/>
    <w:rsid w:val="50B11AF9"/>
    <w:rsid w:val="50C03AEB"/>
    <w:rsid w:val="50FB0FC7"/>
    <w:rsid w:val="50FB2D75"/>
    <w:rsid w:val="516B614C"/>
    <w:rsid w:val="51AA02F7"/>
    <w:rsid w:val="52354064"/>
    <w:rsid w:val="52FD1026"/>
    <w:rsid w:val="535C1E2B"/>
    <w:rsid w:val="5373753A"/>
    <w:rsid w:val="53956485"/>
    <w:rsid w:val="542B3971"/>
    <w:rsid w:val="549C661D"/>
    <w:rsid w:val="54DE6C35"/>
    <w:rsid w:val="55436A98"/>
    <w:rsid w:val="55943798"/>
    <w:rsid w:val="56617B1E"/>
    <w:rsid w:val="56A30136"/>
    <w:rsid w:val="56B539C6"/>
    <w:rsid w:val="56DD7347"/>
    <w:rsid w:val="575925A3"/>
    <w:rsid w:val="57831D16"/>
    <w:rsid w:val="578C1BC4"/>
    <w:rsid w:val="57F347A6"/>
    <w:rsid w:val="57FB7AFE"/>
    <w:rsid w:val="581A6740"/>
    <w:rsid w:val="5827444F"/>
    <w:rsid w:val="58311772"/>
    <w:rsid w:val="585A4825"/>
    <w:rsid w:val="58C16652"/>
    <w:rsid w:val="59576FB6"/>
    <w:rsid w:val="5A166242"/>
    <w:rsid w:val="5A494B51"/>
    <w:rsid w:val="5A4E03B9"/>
    <w:rsid w:val="5A8E07B6"/>
    <w:rsid w:val="5A963B0E"/>
    <w:rsid w:val="5B0B44FC"/>
    <w:rsid w:val="5C403D31"/>
    <w:rsid w:val="5CBD5382"/>
    <w:rsid w:val="5D6D0B56"/>
    <w:rsid w:val="5E0B036F"/>
    <w:rsid w:val="5E354CE4"/>
    <w:rsid w:val="5E5553AF"/>
    <w:rsid w:val="5E736640"/>
    <w:rsid w:val="5E8819C0"/>
    <w:rsid w:val="5EAE58CA"/>
    <w:rsid w:val="5F351B48"/>
    <w:rsid w:val="5F5A15AE"/>
    <w:rsid w:val="5F93061C"/>
    <w:rsid w:val="5FA650B4"/>
    <w:rsid w:val="60116111"/>
    <w:rsid w:val="607056C7"/>
    <w:rsid w:val="60956D42"/>
    <w:rsid w:val="60EC26DA"/>
    <w:rsid w:val="60FF6129"/>
    <w:rsid w:val="61B2747F"/>
    <w:rsid w:val="61CD250B"/>
    <w:rsid w:val="62206ADF"/>
    <w:rsid w:val="63253C81"/>
    <w:rsid w:val="63400ABB"/>
    <w:rsid w:val="637D1D0F"/>
    <w:rsid w:val="64063AB3"/>
    <w:rsid w:val="645B3DFE"/>
    <w:rsid w:val="6488096B"/>
    <w:rsid w:val="64E04304"/>
    <w:rsid w:val="658F4122"/>
    <w:rsid w:val="65A11CE5"/>
    <w:rsid w:val="65CE0600"/>
    <w:rsid w:val="66596705"/>
    <w:rsid w:val="66BE0674"/>
    <w:rsid w:val="66D73F47"/>
    <w:rsid w:val="66E31E89"/>
    <w:rsid w:val="670B5FBB"/>
    <w:rsid w:val="68112A26"/>
    <w:rsid w:val="685C1EF3"/>
    <w:rsid w:val="68660FC4"/>
    <w:rsid w:val="688651C2"/>
    <w:rsid w:val="68CA1553"/>
    <w:rsid w:val="68CA50AF"/>
    <w:rsid w:val="695A0B98"/>
    <w:rsid w:val="695E1C9B"/>
    <w:rsid w:val="6A445335"/>
    <w:rsid w:val="6AB2229E"/>
    <w:rsid w:val="6AB75B07"/>
    <w:rsid w:val="6B0F5943"/>
    <w:rsid w:val="6BDD334B"/>
    <w:rsid w:val="6C4E5FF7"/>
    <w:rsid w:val="6CEC29E0"/>
    <w:rsid w:val="6CF87AD2"/>
    <w:rsid w:val="6D9B2D29"/>
    <w:rsid w:val="6DF826BE"/>
    <w:rsid w:val="6DFB21AE"/>
    <w:rsid w:val="6E7361E8"/>
    <w:rsid w:val="6E9D3265"/>
    <w:rsid w:val="6EA168B2"/>
    <w:rsid w:val="6EE669BA"/>
    <w:rsid w:val="6F795A80"/>
    <w:rsid w:val="6FBB4826"/>
    <w:rsid w:val="6FE54EC4"/>
    <w:rsid w:val="70074E3A"/>
    <w:rsid w:val="703674CE"/>
    <w:rsid w:val="71155335"/>
    <w:rsid w:val="711E641F"/>
    <w:rsid w:val="71F80EDE"/>
    <w:rsid w:val="72273572"/>
    <w:rsid w:val="722F2426"/>
    <w:rsid w:val="72D80D10"/>
    <w:rsid w:val="72DA4A88"/>
    <w:rsid w:val="72FF004B"/>
    <w:rsid w:val="7358775B"/>
    <w:rsid w:val="73734595"/>
    <w:rsid w:val="74404DBF"/>
    <w:rsid w:val="74B3733F"/>
    <w:rsid w:val="74F17E67"/>
    <w:rsid w:val="750C3976"/>
    <w:rsid w:val="75151DA7"/>
    <w:rsid w:val="75752846"/>
    <w:rsid w:val="76516E0F"/>
    <w:rsid w:val="76524935"/>
    <w:rsid w:val="768865A9"/>
    <w:rsid w:val="76962A74"/>
    <w:rsid w:val="76C43A85"/>
    <w:rsid w:val="76FF2D0F"/>
    <w:rsid w:val="776963DA"/>
    <w:rsid w:val="78670B6C"/>
    <w:rsid w:val="787A3D0F"/>
    <w:rsid w:val="787B0173"/>
    <w:rsid w:val="7892370F"/>
    <w:rsid w:val="78A21BA4"/>
    <w:rsid w:val="791B54B2"/>
    <w:rsid w:val="79BE0C60"/>
    <w:rsid w:val="7A4F7B0A"/>
    <w:rsid w:val="7A5213A8"/>
    <w:rsid w:val="7A70182E"/>
    <w:rsid w:val="7A9E45ED"/>
    <w:rsid w:val="7AD16771"/>
    <w:rsid w:val="7AF97A75"/>
    <w:rsid w:val="7C156B31"/>
    <w:rsid w:val="7C3F770A"/>
    <w:rsid w:val="7C492337"/>
    <w:rsid w:val="7C507B69"/>
    <w:rsid w:val="7CD04806"/>
    <w:rsid w:val="7D006E99"/>
    <w:rsid w:val="7D197F5B"/>
    <w:rsid w:val="7D1B3CD3"/>
    <w:rsid w:val="7D1F7C67"/>
    <w:rsid w:val="7DCF4ABD"/>
    <w:rsid w:val="7DEB18F7"/>
    <w:rsid w:val="7E026C41"/>
    <w:rsid w:val="7E5A4CCF"/>
    <w:rsid w:val="7E611BB9"/>
    <w:rsid w:val="7E6D4A02"/>
    <w:rsid w:val="7E867872"/>
    <w:rsid w:val="7EB50157"/>
    <w:rsid w:val="7F364DF4"/>
    <w:rsid w:val="7F4734A5"/>
    <w:rsid w:val="7F721BA4"/>
    <w:rsid w:val="7F8518D8"/>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11"/>
    <w:qFormat/>
    <w:uiPriority w:val="0"/>
    <w:rPr>
      <w:rFonts w:hint="default" w:ascii="仿宋_GB2312" w:eastAsia="仿宋_GB2312" w:cs="仿宋_GB2312"/>
      <w:color w:val="000000"/>
      <w:sz w:val="28"/>
      <w:szCs w:val="28"/>
      <w:u w:val="none"/>
    </w:rPr>
  </w:style>
  <w:style w:type="paragraph" w:customStyle="1" w:styleId="7">
    <w:name w:val="Fließtext"/>
    <w:autoRedefine/>
    <w:qFormat/>
    <w:uiPriority w:val="0"/>
    <w:pPr>
      <w:widowControl w:val="0"/>
      <w:overflowPunct w:val="0"/>
      <w:autoSpaceDE w:val="0"/>
      <w:autoSpaceDN w:val="0"/>
      <w:adjustRightInd w:val="0"/>
      <w:jc w:val="both"/>
      <w:textAlignment w:val="baseline"/>
    </w:pPr>
    <w:rPr>
      <w:rFonts w:ascii="Calibri" w:hAnsi="Calibri" w:eastAsia="宋体" w:cs="Arial"/>
      <w:kern w:val="28"/>
      <w:sz w:val="21"/>
      <w:szCs w:val="20"/>
      <w:lang w:val="en-US" w:eastAsia="zh-CN" w:bidi="ar-SA"/>
    </w:rPr>
  </w:style>
  <w:style w:type="character" w:customStyle="1" w:styleId="8">
    <w:name w:val="p141"/>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5445</Words>
  <Characters>5793</Characters>
  <Lines>0</Lines>
  <Paragraphs>0</Paragraphs>
  <TotalTime>2</TotalTime>
  <ScaleCrop>false</ScaleCrop>
  <LinksUpToDate>false</LinksUpToDate>
  <CharactersWithSpaces>5875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2025-04-07T08:06:00Z</dcterms:created>
  <dc:creator>土豆排骨的滋味</dc:creator>
  <cp:lastModifiedBy>Administrator</cp:lastModifiedBy>
  <cp:lastPrinted>2026-05-21T02:57:00Z</cp:lastPrinted>
  <dcterms:modified xsi:type="dcterms:W3CDTF">2026-06-09T01:28:53Z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AF6473EB0E5645E99ED4C9EB8D1AC7BD_11</vt:lpwstr>
  </property>
  <property fmtid="{D5CDD505-2E9C-101B-9397-08002B2CF9AE}" pid="4" name="KSOTemplateDocerSaveRecord">
    <vt:lpwstr>eyJoZGlkIjoiOGFjMmU0Yjk5NmUyMjAwNzM3OGEzNzg5ZGMyZDkzOWUiLCJ1c2VySWQiOiIxNTc4Njk4MDQ3In0=</vt:lpwstr>
  </property>
</Properties>
</file>