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LCCQJJ20260630</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2026年6月30日10:00止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2026年6月30日10:00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w:t>
      </w:r>
      <w:r>
        <w:rPr>
          <w:rFonts w:hint="eastAsia" w:ascii="宋体" w:hAnsi="宋体" w:cs="宋体"/>
          <w:color w:val="auto"/>
          <w:sz w:val="28"/>
          <w:szCs w:val="28"/>
          <w:lang w:val="en-US" w:eastAsia="zh-CN"/>
        </w:rPr>
        <w:t>人及</w:t>
      </w:r>
      <w:r>
        <w:rPr>
          <w:rFonts w:hint="eastAsia" w:ascii="宋体" w:hAnsi="宋体" w:eastAsia="宋体" w:cs="宋体"/>
          <w:color w:val="auto"/>
          <w:sz w:val="28"/>
          <w:szCs w:val="28"/>
          <w:lang w:val="en-US" w:eastAsia="zh-CN"/>
        </w:rPr>
        <w:t>电话：</w:t>
      </w:r>
      <w:r>
        <w:rPr>
          <w:rFonts w:hint="eastAsia" w:ascii="宋体" w:hAnsi="宋体" w:cs="宋体"/>
          <w:color w:val="auto"/>
          <w:sz w:val="28"/>
          <w:szCs w:val="28"/>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5212DB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b w:val="0"/>
          <w:bCs w:val="0"/>
          <w:color w:val="auto"/>
          <w:sz w:val="28"/>
          <w:szCs w:val="28"/>
          <w:lang w:val="en-US" w:eastAsia="zh-CN"/>
        </w:rPr>
        <w:t>连城县预防未成年人犯罪警示教育中心（二期设备）采购项目</w:t>
      </w:r>
      <w:r>
        <w:rPr>
          <w:rFonts w:hint="eastAsia" w:ascii="宋体" w:hAnsi="宋体" w:eastAsia="宋体" w:cs="宋体"/>
          <w:b w:val="0"/>
          <w:bCs w:val="0"/>
          <w:color w:val="auto"/>
          <w:sz w:val="28"/>
          <w:szCs w:val="28"/>
          <w:lang w:val="en-US" w:eastAsia="zh-CN"/>
        </w:rPr>
        <w:t>。</w:t>
      </w:r>
    </w:p>
    <w:p w14:paraId="451266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2.供货地点：委托人指定地点。</w:t>
      </w:r>
    </w:p>
    <w:p w14:paraId="35AC46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3.采购清单：</w:t>
      </w:r>
    </w:p>
    <w:tbl>
      <w:tblPr>
        <w:tblStyle w:val="13"/>
        <w:tblW w:w="99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3"/>
        <w:gridCol w:w="1628"/>
        <w:gridCol w:w="6825"/>
        <w:gridCol w:w="491"/>
        <w:gridCol w:w="443"/>
      </w:tblGrid>
      <w:tr w14:paraId="1C7D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E22B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0E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内容</w:t>
            </w:r>
          </w:p>
        </w:tc>
        <w:tc>
          <w:tcPr>
            <w:tcW w:w="6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4B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B2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05014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r>
      <w:tr w14:paraId="0A7F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33E0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F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短焦镜头</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top"/>
          </w:tcPr>
          <w:p w14:paraId="113AA95A">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镜头投射比根据现场安装条件选型</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2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055C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44B11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97E1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8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投影融合软件</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top"/>
          </w:tcPr>
          <w:p w14:paraId="64BFAE03">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1、分辨率支持N*M任意通道数模式，支持1024*768~2048*1080任意分辨率；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2、投影重叠区支持任意尺寸的重叠区，≥20%为佳；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3、几何矫正基于B样条曲面技术，对图像进行自由变形处理，适合任意平面、曲面，几何调节控制点可任意加减，可对电子沙盘等复杂地形环境进行精细调节，支持自定义背景图调节；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4、栅格化矫正支持将画面切分成任意多个图块，分别独立进行调节，适合对不规则的实物表面进行调节；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5、边缘消隐融合带Gamma校正处理，多灰阶以及RGB色阶调节,投影机边缘叠加高消隐处理，使投影画面平滑过渡，对色差较大的LCD投影机也能保持色彩一致；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6、暗场补光选定非融合带区域，对低灰阶图像进行补光处理；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7、图像渲染引擎DirectX 10高性能图像渲染引擎，基于融合配置信息对图像进行实时渲染；</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8、桌面融合高性能桌面融合系统，支持Aero主题，完美呈现Windows7最佳视觉效果；精准鼠标定位，真实还原鼠标各种运行状态；系统桌面上所有窗口，包括PPT、IE浏览器、虚拟现实应用、OpenGL游戏窗口等均可融合。</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3C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44953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通道</w:t>
            </w:r>
          </w:p>
        </w:tc>
      </w:tr>
      <w:tr w14:paraId="3FF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252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7D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86寸防爆液晶显示屏（含支架）</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65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1、采用≥86寸显示屏，防尘、防水，支持不少于8点同时书写、绘画，可对图片进行放大、缩小翻转、滑屏等操作；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2、工作寿命:60000小时；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3、点击次数:≥2,000,000；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4、透光率:≥85%，玻璃雾度值:≤3%；</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5、触摸精度:≤2.5mm；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6、解析度:25像素/分钟；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7、移动误差:≤10%；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8、扫描频率:200Hz；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9、抗光性:全角度抗强光；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10、计算机响应:计算机自动识别；</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11、响应速度:≤3ms；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12、存储环境测试:高温80℃,放置240小时性能正常；低温:-30℃,放置240小时性能正常；</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含嵌入式OPS控制主机</w:t>
            </w: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8D0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7A97BC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10B72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BA4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6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E5B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VR单人互动一体机</w:t>
            </w:r>
          </w:p>
        </w:tc>
        <w:tc>
          <w:tcPr>
            <w:tcW w:w="6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682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1.计算平台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1)CPU：高通XR2</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2)内存6GB，闪存：128GB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3)支持：Miracast，支持无线串流Steam VR</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2.显示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1)屏幕5.5英寸</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2)分辨率4K级分辨率，3664：</w:t>
            </w:r>
            <w:r>
              <w:rPr>
                <w:rStyle w:val="25"/>
                <w:rFonts w:hint="eastAsia" w:asciiTheme="minorEastAsia" w:hAnsiTheme="minorEastAsia" w:eastAsiaTheme="minorEastAsia" w:cstheme="minorEastAsia"/>
                <w:sz w:val="24"/>
                <w:szCs w:val="24"/>
                <w:lang w:val="en-US" w:eastAsia="zh-CN" w:bidi="ar"/>
              </w:rPr>
              <w:t>✕</w:t>
            </w:r>
            <w:r>
              <w:rPr>
                <w:rStyle w:val="26"/>
                <w:rFonts w:hint="eastAsia" w:asciiTheme="minorEastAsia" w:hAnsiTheme="minorEastAsia" w:eastAsiaTheme="minorEastAsia" w:cstheme="minorEastAsia"/>
                <w:sz w:val="24"/>
                <w:szCs w:val="24"/>
                <w:lang w:val="en-US" w:eastAsia="zh-CN" w:bidi="ar"/>
              </w:rPr>
              <w:t>1920，PPI：773</w:t>
            </w:r>
            <w:r>
              <w:rPr>
                <w:rStyle w:val="26"/>
                <w:rFonts w:hint="eastAsia" w:asciiTheme="minorEastAsia" w:hAnsiTheme="minorEastAsia" w:eastAsiaTheme="minorEastAsia" w:cstheme="minorEastAsia"/>
                <w:sz w:val="24"/>
                <w:szCs w:val="24"/>
                <w:lang w:val="en-US" w:eastAsia="zh-CN" w:bidi="ar"/>
              </w:rPr>
              <w:br w:type="textWrapping"/>
            </w:r>
            <w:r>
              <w:rPr>
                <w:rStyle w:val="26"/>
                <w:rFonts w:hint="eastAsia" w:asciiTheme="minorEastAsia" w:hAnsiTheme="minorEastAsia" w:eastAsiaTheme="minorEastAsia" w:cstheme="minorEastAsia"/>
                <w:sz w:val="24"/>
                <w:szCs w:val="24"/>
                <w:lang w:val="en-US" w:eastAsia="zh-CN" w:bidi="ar"/>
              </w:rPr>
              <w:t>3)刷新率72Hz/90Hz</w:t>
            </w:r>
            <w:r>
              <w:rPr>
                <w:rStyle w:val="26"/>
                <w:rFonts w:hint="eastAsia" w:asciiTheme="minorEastAsia" w:hAnsiTheme="minorEastAsia" w:eastAsiaTheme="minorEastAsia" w:cstheme="minorEastAsia"/>
                <w:sz w:val="24"/>
                <w:szCs w:val="24"/>
                <w:lang w:val="en-US" w:eastAsia="zh-CN" w:bidi="ar"/>
              </w:rPr>
              <w:br w:type="textWrapping"/>
            </w:r>
            <w:r>
              <w:rPr>
                <w:rStyle w:val="26"/>
                <w:rFonts w:hint="eastAsia" w:asciiTheme="minorEastAsia" w:hAnsiTheme="minorEastAsia" w:eastAsiaTheme="minorEastAsia" w:cstheme="minorEastAsia"/>
                <w:sz w:val="24"/>
                <w:szCs w:val="24"/>
                <w:lang w:val="en-US" w:eastAsia="zh-CN" w:bidi="ar"/>
              </w:rPr>
              <w:t>3.光学</w:t>
            </w:r>
            <w:r>
              <w:rPr>
                <w:rStyle w:val="26"/>
                <w:rFonts w:hint="eastAsia" w:asciiTheme="minorEastAsia" w:hAnsiTheme="minorEastAsia" w:eastAsiaTheme="minorEastAsia" w:cstheme="minorEastAsia"/>
                <w:sz w:val="24"/>
                <w:szCs w:val="24"/>
                <w:lang w:val="en-US" w:eastAsia="zh-CN" w:bidi="ar"/>
              </w:rPr>
              <w:br w:type="textWrapping"/>
            </w:r>
            <w:r>
              <w:rPr>
                <w:rStyle w:val="26"/>
                <w:rFonts w:hint="eastAsia" w:asciiTheme="minorEastAsia" w:hAnsiTheme="minorEastAsia" w:eastAsiaTheme="minorEastAsia" w:cstheme="minorEastAsia"/>
                <w:sz w:val="24"/>
                <w:szCs w:val="24"/>
                <w:lang w:val="en-US" w:eastAsia="zh-CN" w:bidi="ar"/>
              </w:rPr>
              <w:t>1)视场角98°，菲涅尔镜片</w:t>
            </w:r>
            <w:r>
              <w:rPr>
                <w:rStyle w:val="26"/>
                <w:rFonts w:hint="eastAsia" w:asciiTheme="minorEastAsia" w:hAnsiTheme="minorEastAsia" w:eastAsiaTheme="minorEastAsia" w:cstheme="minorEastAsia"/>
                <w:sz w:val="24"/>
                <w:szCs w:val="24"/>
                <w:lang w:val="en-US" w:eastAsia="zh-CN" w:bidi="ar"/>
              </w:rPr>
              <w:br w:type="textWrapping"/>
            </w:r>
            <w:r>
              <w:rPr>
                <w:rStyle w:val="26"/>
                <w:rFonts w:hint="eastAsia" w:asciiTheme="minorEastAsia" w:hAnsiTheme="minorEastAsia" w:eastAsiaTheme="minorEastAsia" w:cstheme="minorEastAsia"/>
                <w:sz w:val="24"/>
                <w:szCs w:val="24"/>
                <w:lang w:val="en-US" w:eastAsia="zh-CN" w:bidi="ar"/>
              </w:rPr>
              <w:t>2)护眼模式通过：TUV：低蓝光认证，一键开启防蓝光模式</w:t>
            </w:r>
            <w:r>
              <w:rPr>
                <w:rStyle w:val="26"/>
                <w:rFonts w:hint="eastAsia" w:asciiTheme="minorEastAsia" w:hAnsiTheme="minorEastAsia" w:eastAsiaTheme="minorEastAsia" w:cstheme="minorEastAsia"/>
                <w:sz w:val="24"/>
                <w:szCs w:val="24"/>
                <w:lang w:val="en-US" w:eastAsia="zh-CN" w:bidi="ar"/>
              </w:rPr>
              <w:br w:type="textWrapping"/>
            </w:r>
            <w:r>
              <w:rPr>
                <w:rStyle w:val="26"/>
                <w:rFonts w:hint="eastAsia" w:asciiTheme="minorEastAsia" w:hAnsiTheme="minorEastAsia" w:eastAsiaTheme="minorEastAsia" w:cstheme="minorEastAsia"/>
                <w:sz w:val="24"/>
                <w:szCs w:val="24"/>
                <w:lang w:val="en-US" w:eastAsia="zh-CN" w:bidi="ar"/>
              </w:rPr>
              <w:t>4)兼容佩戴眼镜，瞳距调节默认位置：63.5mm，三档位物理调节</w:t>
            </w:r>
            <w:r>
              <w:rPr>
                <w:rStyle w:val="26"/>
                <w:rFonts w:hint="eastAsia" w:asciiTheme="minorEastAsia" w:hAnsiTheme="minorEastAsia" w:eastAsiaTheme="minorEastAsia" w:cstheme="minorEastAsia"/>
                <w:sz w:val="24"/>
                <w:szCs w:val="24"/>
                <w:lang w:val="en-US" w:eastAsia="zh-CN" w:bidi="ar"/>
              </w:rPr>
              <w:br w:type="textWrapping"/>
            </w:r>
            <w:r>
              <w:rPr>
                <w:rStyle w:val="26"/>
                <w:rFonts w:hint="eastAsia" w:asciiTheme="minorEastAsia" w:hAnsiTheme="minorEastAsia" w:eastAsiaTheme="minorEastAsia" w:cstheme="minorEastAsia"/>
                <w:sz w:val="24"/>
                <w:szCs w:val="24"/>
                <w:lang w:val="en-US" w:eastAsia="zh-CN" w:bidi="ar"/>
              </w:rPr>
              <w:t>4.传感器</w:t>
            </w:r>
            <w:r>
              <w:rPr>
                <w:rStyle w:val="26"/>
                <w:rFonts w:hint="eastAsia" w:asciiTheme="minorEastAsia" w:hAnsiTheme="minorEastAsia" w:eastAsiaTheme="minorEastAsia" w:cstheme="minorEastAsia"/>
                <w:sz w:val="24"/>
                <w:szCs w:val="24"/>
                <w:lang w:val="en-US" w:eastAsia="zh-CN" w:bidi="ar"/>
              </w:rPr>
              <w:br w:type="textWrapping"/>
            </w:r>
            <w:r>
              <w:rPr>
                <w:rStyle w:val="26"/>
                <w:rFonts w:hint="eastAsia" w:asciiTheme="minorEastAsia" w:hAnsiTheme="minorEastAsia" w:eastAsiaTheme="minorEastAsia" w:cstheme="minorEastAsia"/>
                <w:sz w:val="24"/>
                <w:szCs w:val="24"/>
                <w:lang w:val="en-US" w:eastAsia="zh-CN" w:bidi="ar"/>
              </w:rPr>
              <w:t>1)头盔：9轴传感器，实现头部精准：6DoF</w:t>
            </w:r>
            <w:r>
              <w:rPr>
                <w:rStyle w:val="26"/>
                <w:rFonts w:hint="eastAsia" w:asciiTheme="minorEastAsia" w:hAnsiTheme="minorEastAsia" w:eastAsiaTheme="minorEastAsia" w:cstheme="minorEastAsia"/>
                <w:sz w:val="24"/>
                <w:szCs w:val="24"/>
                <w:lang w:val="en-US" w:eastAsia="zh-CN" w:bidi="ar"/>
              </w:rPr>
              <w:br w:type="textWrapping"/>
            </w:r>
            <w:r>
              <w:rPr>
                <w:rStyle w:val="26"/>
                <w:rFonts w:hint="eastAsia" w:asciiTheme="minorEastAsia" w:hAnsiTheme="minorEastAsia" w:eastAsiaTheme="minorEastAsia" w:cstheme="minorEastAsia"/>
                <w:sz w:val="24"/>
                <w:szCs w:val="24"/>
                <w:lang w:val="en-US" w:eastAsia="zh-CN" w:bidi="ar"/>
              </w:rPr>
              <w:t>2)头盔：P-Sensor：人脸佩戴感应，用于屏幕休眠控制</w:t>
            </w:r>
            <w:r>
              <w:rPr>
                <w:rStyle w:val="26"/>
                <w:rFonts w:hint="eastAsia" w:asciiTheme="minorEastAsia" w:hAnsiTheme="minorEastAsia" w:eastAsiaTheme="minorEastAsia" w:cstheme="minorEastAsia"/>
                <w:sz w:val="24"/>
                <w:szCs w:val="24"/>
                <w:lang w:val="en-US" w:eastAsia="zh-CN" w:bidi="ar"/>
              </w:rPr>
              <w:br w:type="textWrapping"/>
            </w:r>
            <w:r>
              <w:rPr>
                <w:rStyle w:val="26"/>
                <w:rFonts w:hint="eastAsia" w:asciiTheme="minorEastAsia" w:hAnsiTheme="minorEastAsia" w:eastAsiaTheme="minorEastAsia" w:cstheme="minorEastAsia"/>
                <w:sz w:val="24"/>
                <w:szCs w:val="24"/>
                <w:lang w:val="en-US" w:eastAsia="zh-CN" w:bidi="ar"/>
              </w:rPr>
              <w:t>5.交互</w:t>
            </w:r>
            <w:r>
              <w:rPr>
                <w:rStyle w:val="26"/>
                <w:rFonts w:hint="eastAsia" w:asciiTheme="minorEastAsia" w:hAnsiTheme="minorEastAsia" w:eastAsiaTheme="minorEastAsia" w:cstheme="minorEastAsia"/>
                <w:sz w:val="24"/>
                <w:szCs w:val="24"/>
                <w:lang w:val="en-US" w:eastAsia="zh-CN" w:bidi="ar"/>
              </w:rPr>
              <w:br w:type="textWrapping"/>
            </w:r>
            <w:r>
              <w:rPr>
                <w:rStyle w:val="26"/>
                <w:rFonts w:hint="eastAsia" w:asciiTheme="minorEastAsia" w:hAnsiTheme="minorEastAsia" w:eastAsiaTheme="minorEastAsia" w:cstheme="minorEastAsia"/>
                <w:sz w:val="24"/>
                <w:szCs w:val="24"/>
                <w:lang w:val="en-US" w:eastAsia="zh-CN" w:bidi="ar"/>
              </w:rPr>
              <w:t>1)头部空间定位全新自研Inside-Out房间级大空间追踪算法</w:t>
            </w:r>
            <w:r>
              <w:rPr>
                <w:rStyle w:val="26"/>
                <w:rFonts w:hint="eastAsia" w:asciiTheme="minorEastAsia" w:hAnsiTheme="minorEastAsia" w:eastAsiaTheme="minorEastAsia" w:cstheme="minorEastAsia"/>
                <w:sz w:val="24"/>
                <w:szCs w:val="24"/>
                <w:lang w:val="en-US" w:eastAsia="zh-CN" w:bidi="ar"/>
              </w:rPr>
              <w:br w:type="textWrapping"/>
            </w:r>
            <w:r>
              <w:rPr>
                <w:rStyle w:val="26"/>
                <w:rFonts w:hint="eastAsia" w:asciiTheme="minorEastAsia" w:hAnsiTheme="minorEastAsia" w:eastAsiaTheme="minorEastAsia" w:cstheme="minorEastAsia"/>
                <w:sz w:val="24"/>
                <w:szCs w:val="24"/>
                <w:lang w:val="en-US" w:eastAsia="zh-CN" w:bidi="ar"/>
              </w:rPr>
              <w:t>2)手柄6DoF体感手柄</w:t>
            </w:r>
            <w:r>
              <w:rPr>
                <w:rStyle w:val="25"/>
                <w:rFonts w:hint="eastAsia" w:asciiTheme="minorEastAsia" w:hAnsiTheme="minorEastAsia" w:eastAsiaTheme="minorEastAsia" w:cstheme="minorEastAsia"/>
                <w:sz w:val="24"/>
                <w:szCs w:val="24"/>
                <w:lang w:val="en-US" w:eastAsia="zh-CN" w:bidi="ar"/>
              </w:rPr>
              <w:t>✕</w:t>
            </w:r>
            <w:r>
              <w:rPr>
                <w:rStyle w:val="26"/>
                <w:rFonts w:hint="eastAsia" w:asciiTheme="minorEastAsia" w:hAnsiTheme="minorEastAsia" w:eastAsiaTheme="minorEastAsia" w:cstheme="minorEastAsia"/>
                <w:sz w:val="24"/>
                <w:szCs w:val="24"/>
                <w:lang w:val="en-US" w:eastAsia="zh-CN" w:bidi="ar"/>
              </w:rPr>
              <w:t>2</w:t>
            </w:r>
            <w:r>
              <w:rPr>
                <w:rStyle w:val="26"/>
                <w:rFonts w:hint="eastAsia" w:asciiTheme="minorEastAsia" w:hAnsiTheme="minorEastAsia" w:eastAsiaTheme="minorEastAsia" w:cstheme="minorEastAsia"/>
                <w:sz w:val="24"/>
                <w:szCs w:val="24"/>
                <w:lang w:val="en-US" w:eastAsia="zh-CN" w:bidi="ar"/>
              </w:rPr>
              <w:br w:type="textWrapping"/>
            </w:r>
            <w:r>
              <w:rPr>
                <w:rStyle w:val="26"/>
                <w:rFonts w:hint="eastAsia" w:asciiTheme="minorEastAsia" w:hAnsiTheme="minorEastAsia" w:eastAsiaTheme="minorEastAsia" w:cstheme="minorEastAsia"/>
                <w:sz w:val="24"/>
                <w:szCs w:val="24"/>
                <w:lang w:val="en-US" w:eastAsia="zh-CN" w:bidi="ar"/>
              </w:rPr>
              <w:t>6.设计与人体工程</w:t>
            </w:r>
            <w:r>
              <w:rPr>
                <w:rStyle w:val="26"/>
                <w:rFonts w:hint="eastAsia" w:asciiTheme="minorEastAsia" w:hAnsiTheme="minorEastAsia" w:eastAsiaTheme="minorEastAsia" w:cstheme="minorEastAsia"/>
                <w:sz w:val="24"/>
                <w:szCs w:val="24"/>
                <w:lang w:val="en-US" w:eastAsia="zh-CN" w:bidi="ar"/>
              </w:rPr>
              <w:br w:type="textWrapping"/>
            </w:r>
            <w:r>
              <w:rPr>
                <w:rStyle w:val="26"/>
                <w:rFonts w:hint="eastAsia" w:asciiTheme="minorEastAsia" w:hAnsiTheme="minorEastAsia" w:eastAsiaTheme="minorEastAsia" w:cstheme="minorEastAsia"/>
                <w:sz w:val="24"/>
                <w:szCs w:val="24"/>
                <w:lang w:val="en-US" w:eastAsia="zh-CN" w:bidi="ar"/>
              </w:rPr>
              <w:t>1)重量不含绑带395g；整机620g</w:t>
            </w:r>
            <w:r>
              <w:rPr>
                <w:rStyle w:val="26"/>
                <w:rFonts w:hint="eastAsia" w:asciiTheme="minorEastAsia" w:hAnsiTheme="minorEastAsia" w:eastAsiaTheme="minorEastAsia" w:cstheme="minorEastAsia"/>
                <w:sz w:val="24"/>
                <w:szCs w:val="24"/>
                <w:lang w:val="en-US" w:eastAsia="zh-CN" w:bidi="ar"/>
              </w:rPr>
              <w:br w:type="textWrapping"/>
            </w:r>
            <w:r>
              <w:rPr>
                <w:rStyle w:val="26"/>
                <w:rFonts w:hint="eastAsia" w:asciiTheme="minorEastAsia" w:hAnsiTheme="minorEastAsia" w:eastAsiaTheme="minorEastAsia" w:cstheme="minorEastAsia"/>
                <w:sz w:val="24"/>
                <w:szCs w:val="24"/>
                <w:lang w:val="en-US" w:eastAsia="zh-CN" w:bidi="ar"/>
              </w:rPr>
              <w:t>2)自适应松紧，软质侧绑</w:t>
            </w:r>
            <w:r>
              <w:rPr>
                <w:rStyle w:val="26"/>
                <w:rFonts w:hint="eastAsia" w:asciiTheme="minorEastAsia" w:hAnsiTheme="minorEastAsia" w:eastAsiaTheme="minorEastAsia" w:cstheme="minorEastAsia"/>
                <w:sz w:val="24"/>
                <w:szCs w:val="24"/>
                <w:lang w:val="en-US" w:eastAsia="zh-CN" w:bidi="ar"/>
              </w:rPr>
              <w:br w:type="textWrapping"/>
            </w:r>
            <w:r>
              <w:rPr>
                <w:rStyle w:val="26"/>
                <w:rFonts w:hint="eastAsia" w:asciiTheme="minorEastAsia" w:hAnsiTheme="minorEastAsia" w:eastAsiaTheme="minorEastAsia" w:cstheme="minorEastAsia"/>
                <w:sz w:val="24"/>
                <w:szCs w:val="24"/>
                <w:lang w:val="en-US" w:eastAsia="zh-CN" w:bidi="ar"/>
              </w:rPr>
              <w:t>电源</w:t>
            </w:r>
            <w:r>
              <w:rPr>
                <w:rStyle w:val="26"/>
                <w:rFonts w:hint="eastAsia" w:asciiTheme="minorEastAsia" w:hAnsiTheme="minorEastAsia" w:eastAsiaTheme="minorEastAsia" w:cstheme="minorEastAsia"/>
                <w:sz w:val="24"/>
                <w:szCs w:val="24"/>
                <w:lang w:val="en-US" w:eastAsia="zh-CN" w:bidi="ar"/>
              </w:rPr>
              <w:br w:type="textWrapping"/>
            </w:r>
            <w:r>
              <w:rPr>
                <w:rStyle w:val="26"/>
                <w:rFonts w:hint="eastAsia" w:asciiTheme="minorEastAsia" w:hAnsiTheme="minorEastAsia" w:eastAsiaTheme="minorEastAsia" w:cstheme="minorEastAsia"/>
                <w:sz w:val="24"/>
                <w:szCs w:val="24"/>
                <w:lang w:val="en-US" w:eastAsia="zh-CN" w:bidi="ar"/>
              </w:rPr>
              <w:t>1)电池容量5300mAh，连续使用时间2.5～3小时</w:t>
            </w: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5F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460D98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28826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6D23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2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法安天下VR-UI艺术设计制作</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top"/>
          </w:tcPr>
          <w:p w14:paraId="2E15DDD1">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收集素材。UI界面深度定制，主页面设计、分级页面设计，分层图文内容制作、图形设计，文本输入、页面内容调整、优化。</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B4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2A4843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14:paraId="70F2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DE25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00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法安天下VR-法治学习体验系统</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67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系统集成了虚拟现实技术、三维全景、三维建模、仿真引擎等高科技技术的产品。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1.图标：软件中包含的29节课程均有与之相对应的29个简易小图标，分门别类。</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2.纯净系统：体验全程为纯净版内容，无广告植入及弹窗，可根据类别进行内容筛选。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软件内容：体验者可以使用该内容学习不少于【中国法律体系】、【模拟法庭】、【青少年庭审】、【突发事件应对】、【青少年法律科普】、【反邪教】、【党风廉政】、【扫黑除恶】、【防盗抢】、【家庭防盗】、【禁毒认知】、【KTV禁毒】、【毒驾】、【防性侵】、【防艾滋病】等29节课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4.需提供法治教育类软著证书。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5.需每节课程提供不少于1张场景体验截图。</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6.需提供体验录屏视频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7.软件体验中至少需包含书籍、法庭、法官、青少年、网吧、电脑、传单、卧室、街道、KTV、毒品、银行、校园、香烟、汽车等场景模型。</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9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2B00D3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592B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32B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7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法安天下VR-终端设备接入中控授权</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4026">
            <w:pPr>
              <w:keepNext w:val="0"/>
              <w:keepLines w:val="0"/>
              <w:widowControl/>
              <w:suppressLineNumbers w:val="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终端接入授权，需要购买这个授权才能使用，适用于控制所有的设备开关电源。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F5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3B58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14:paraId="13DE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D11C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11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32寸液晶触控屏（卧式）</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02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1、采用≥32寸触摸屏，防尘、防水，支持不少于8点同时书写、绘画，可对图片进行放大、缩小翻转、滑屏等操作；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2、工作寿命:60000小时；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3、点击次数:≥2,000,000；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4、透光率:≥85%，玻璃雾度值:≤3%；</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5、触摸精度:≤2.5mm；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6、解析度:25像素/分钟；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7、移动误差:≤10%；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8、扫描频率:200Hz；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9、抗光性:全角度抗强光；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10、计算机响应:计算机自动识别；</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11、响应速度:≤3ms；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12、存储环境测试:高温80℃,放置240小时性能正常；低温:-30℃,放置240小时性能正常；</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含嵌入式OPS控制主机</w:t>
            </w: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03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4AA59E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5203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E33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8E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显示终端</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B5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1、采用≥65寸显示屏，防尘、防水，支持不少于8点同时书写、绘画，可对图片进行放大、缩小翻转、滑屏等操作；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2、采用液晶显示屏，防尘、防水，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3、工作寿命:60000小时；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4、点击次数:≥2,000,000；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5、透光率:≥85%，玻璃雾度值:≤3%；</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6、解析度:25像素/分钟；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7、移动误差:≤10%；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8、扫描频率:200Hz；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9、抗光性:全角度抗强光；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10、计算机响应:计算机自动识别；</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11、响应速度:≤3ms；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12、存储环境测试:高温80℃,放置240小时性能正常；低温:-30℃,放置240小时性能正常；</w:t>
            </w: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145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541E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0B420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EA36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F6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高清摄像头</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top"/>
          </w:tcPr>
          <w:p w14:paraId="3171058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高清专业拍照摄像头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1080P全高清、自动对焦、1500万像素照片质量、自然立体声音效、一键连接社交视频、USB端口、免驱动</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79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21110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00751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3C0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22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签名拍照-UI艺术设计制作</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top"/>
          </w:tcPr>
          <w:p w14:paraId="421195A6">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收集素材。UI界面深度定制，主页面设计、分级页面设计，分层图文内容制作、图形设计，文本输入、页面内容调整、优化。</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4E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6F1DD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14:paraId="0385F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85E0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F2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签名拍照-互动程序制作</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top"/>
          </w:tcPr>
          <w:p w14:paraId="231AF3D4">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互动调用播放程序制作编写，需求对接、资料收集、整体展示风格设计，交互逻辑设计、交互原型、交互规范、测试。</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2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FCCD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14:paraId="6D00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FF7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A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签名拍照-终端设备接入中控授权</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EF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终端接入授权，需要购买这个授权才能使用，适用于控制所有的设备开关电源。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B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0EBB4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14:paraId="61D76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B011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4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电动幕</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top"/>
          </w:tcPr>
          <w:p w14:paraId="7F0D42F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不小于150寸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C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F799C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47C8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F29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0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专业功放</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top"/>
          </w:tcPr>
          <w:p w14:paraId="0CEEF969">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1.不大于1U机箱设计，采用D类数字功放设计方案。</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2.标准XLR输入接口，和LINK输出口，简洁的接口更加方便不同用户需求。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3.电源采用开关电源技术，效率高，有效的抑制电源谐波。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4.内置智能削峰限幅器，支持开机软启动，防止开机时向电网吸收大电流，干扰其它用电设备。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5.具有：过压保护，欠压保护，过流保护，直流保护，输出短路保护，温控风扇等功能。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6.输出功率：立体声@8Ω：≥350W×2；立体声@4Ω：≥600W×2。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D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62A3B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004AF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A56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9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专业音柱</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top"/>
          </w:tcPr>
          <w:p w14:paraId="22FA4B5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1.采用≥6只3寸全频喇叭单元。</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2.箱体采用≥12mm高密度板，CNC加工，耐磨喷漆处理。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3.拼接排列扬声器设计。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4.额定功率≥200W,峰值功率≥800W</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5.标称阻抗≤6Ω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6.频率范围等同或优于80Hz-20KHz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7.灵敏度≥95dB(1M/1W)</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8.最大声压级（额定/峰值）≥118dB/124dB</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35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2A86A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只</w:t>
            </w:r>
          </w:p>
        </w:tc>
      </w:tr>
      <w:tr w14:paraId="18EBC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D75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67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调音台</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top"/>
          </w:tcPr>
          <w:p w14:paraId="540DFC9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1.支持≥8路麦克风输入兼容≥6路线路输入接口，支持≥2路立体声输入接口，≥4路RCA输入，话筒接口幻象电源：+48V。</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2.具有≥2组立体主输出、≥4路编组输出、≥4路辅助输出、≥1组立体声监听输出、≥1个耳机监听输出、≥2个效果输出、≥1组主混音断点插入、≥6个断点插入。</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3.内置≥24位DSP效果器，提供≥100种预设效果。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4.具备≥13个60mm行程的高精密碳膜推子。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5.内置USB声卡模块，支持连接电脑进行音乐播放和声音录音；内置MP3播放器，支持≥1个USB接口接U盘播放音乐。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97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261342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14D89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40E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51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音频处理器</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top"/>
          </w:tcPr>
          <w:p w14:paraId="1A09E4D9">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1.数字音频处理器支持≥4路平衡式话筒/线路输入通道，采用裸线接口端子，平衡接法；支持≥4路平衡式线路输出，采用裸线接口端子，平衡接法。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输入通道支持前级放大、信号发生器、扩展器、压缩器、≥12段参量均衡，≥31段图示均衡、自动增益（AGC）、AM自动混音功能（门限式、增益共享式）、AFC自适应反馈消除、AEC回声消除、ANC噪声消除、音频矩阵。</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3.输出通道支持≥12段参量均衡，≥31段图示均衡、延时器、分频器、高低通滤波器、限幅器。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4.支持≥32bit/48kHz的声音，支持输入通道48V幻象供电。</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5.具有液晶显示屏，支持显示设备网络信息、实时电平、通道静音状态。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6.支持通过APP软件进行操作控制，面板具备USB接口，支持多媒体存储，可进行播放或存储录播。</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7.配置双向RS-232接口，可用于控制外部设备；配置RS-485接口，可实现自动摄像跟踪功能。配置≥8通道可编程GPIO控制接口（可自定义输入输出）。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8.支持断电自动保护记忆功能。支持通道拷贝、粘贴、联控功能。管理控制软件可工作在XP/Windows7、8、10等系统环境下。（提供国家认可的检验检测机构出具的带有CMA标识或CNAS标识的检验报告复印件佐证）</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7A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75950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017DE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8D3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16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7AC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麦克风</w:t>
            </w:r>
          </w:p>
        </w:tc>
        <w:tc>
          <w:tcPr>
            <w:tcW w:w="6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A105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1.一台接收主机配套1支手持话筒+1支头戴话筒使用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2.接收金属外壳设计，结构坚固且具有较强的隔离谐波干扰效果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3.RF高动态范围设计，选用高性能器件，大幅提升系统的抗干扰特性，消除接收断音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4.采用天线分集式大动态接收电路、数字导频、射频强度识别、噪声三重静音电路控制，使接收无死角</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5.多达2000个精挑的频率及一组自设定及储存偏好的16个频率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6.具有最先进的自动、快速设定不受干扰的工作频道</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7.采用模组式纯自动扫频接收，保持信号传输效果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8.最大可叠机使用的话筒数量可达16支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9.各通道可单独或混合输出，每通道可独立电子音量调节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10.具有mic/Line转换，适合更多的后级设备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11.面板设计了LED灯柱及LED显示屏，清晰显示接收机各项操作功能及设定参数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12.采用飞梭旋钮，方便使用者操作各项功能及参数设定</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13.具有AC电源、天线级联设计，接线方便，美观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14.提供天线放大器供电功能，可为GONSIN X系列有源天线供电，增加接收距离及稳定的接收效果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15.AC100~240V宽电源设计，适合更多地区使用</w:t>
            </w: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5280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0C0B1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2C7DB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7C11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3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无线话筒</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top"/>
          </w:tcPr>
          <w:p w14:paraId="23AE98E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1.频率范围：540MHz-590MHz、640MHz-690MHz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2.调制方式：pi/4-DQPSK</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3.频率响应：20Hz~20kHz（±3dB）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4.信噪比：≥105dB（XLR）</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5.THD+N：≤0.1%</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6.工作距离：最远≥80m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7.接收机指标：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1)天线接口：BNC/50Ω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2)接收灵敏度：≤-95dBm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3)最大输出：平衡输出≥500mV，非平衡输出≥1000mV</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4)电源：不高于DC 12V/1A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5)工作电流：≤320mA</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4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05C41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4BFF0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AFE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6A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扩展天线</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top"/>
          </w:tcPr>
          <w:p w14:paraId="0E4779C7">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1.射频频率范围：450-950MHz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2.供电方式：BNC，8-12V DC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3.电流：≤0.04A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4.驻波比：≤2.0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5.输入阻抗：50Ω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6.放大器底噪：≤3.6dB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7.增益：≥18db(典型)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8.极化方式：垂直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9.前后比：≥25dB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10.接头类型：BNC</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D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644796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297E8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8F8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9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电源时序器</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top"/>
          </w:tcPr>
          <w:p w14:paraId="7BF5358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1.支持不小于8通道电源时序打开/关闭，每路动作延时时间：≥1秒，支持远程控制（上电+24V直流信号）≥8通道电源时序打开/关闭—当电源开关处于off位置时有效。支持配置CH1和CH2通道为受控或不受控状态。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2.当远程控制有效时同时控制后板ALARM（报警）端口导通以起到级联控制ALARM（报警）功能。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3.单个通道最大负载功率≥2200W，所有通道负载总功率不小于6000W。输出连接器：多用途电源插座。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4.具有一路及以上USB输出接口。</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7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2B87E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4ABF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6A28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26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数字会议主机</w:t>
            </w:r>
          </w:p>
        </w:tc>
        <w:tc>
          <w:tcPr>
            <w:tcW w:w="68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DB6FA1E">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1.设备具有音频时钟同步传输技术，音频延时小于5ms。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2.内置高性能DSP处理器，具有音频矩阵、啸叫抑制、EQ、音量、延时器等调节功能。（提供国家认可的检验检测机构出具的带有CMA标识或CNAS标识的检验报告复印件佐证）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音频输入接口包括有≥1路RCA、≥1路卡侬头、≥2路凤凰端子。音频输出接口包括有≥1路RCA、≥1路卡侬头、≥16路凤凰端子。支持≥16通道音频输出功能，可灵活配置为角色分离输出模式、同传输出模式、相控输出模式。每个输出通道都可以调节EQ、音量、延时器等参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4.支持≥16通道角色分离输出模式，可使有线或无线单元根据ID号独立输出，最大支持128路有线单元或无线单元独立音频输出，并支持通过录音软件实现每个单元独立录音、或语音转写设备对接实现角色分离。</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5.支持≥16通道同传输出模式，可使同传音频根据通道号独立输出，可供录音或监听设备使用。且输出通道数量，可通过外部设备扩展。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6.支持≥16通道相控输出模式，内置≥nx16音频矩阵处理器，实现≥16通道分组输出功能。可使任意输入源（包括所有输入源和在线话筒），按任意音量比例，输出到任意通道。</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7.会议主机采用TCP/IP网络协议，且同时支持C/S、B/S架构，可供PC软件或浏览器控制。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8.通过WEB控制音频矩阵参数（包括EQ、音量、延时器、话筒灵敏度等）、输出模式切换、开关话筒同步、中英俄法四种语言切换、控制角色分离主机。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9.超大系统容量，系统最大支持≥4096台有线会议单元和≥300台无线会议单元。系统最大发言数量为≥16个有线话筒和≥8个无线话筒。</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10.支持环形手拉手功能，确保在其中的一条网线断开或者单元出问题时，会议能继续正常进行。</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11.具有支持中、英、俄、法文多种语言任意切换显示。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12.PC软件可查看在线无线单元的电池电量、WiFi信号等信息状态；支持一键关闭所有无线单元、单独关闭某个无线单元。</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13.支持同声传译功能，系统最大可同时传输≥63+1的有线同声传译。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14.具有消防报警联动触发接口，提供火灾报警信息，第一时间提醒会场人员紧急撤离，确保与会人员安全。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15.具有1路RS-485接口，支持一台摄像机实现摄像跟踪，支持PELCO-D、VISCA控制协议。配合摄像跟踪主机达到多路视频自动跟踪功能。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16.≥四种话筒管理模式:FIFO（先进先出）、NORMAL（普通模式）、VOICE（声控模式）、APPLY（申请模式）。（提供国家认可的检验检测机构出具的带有CMA标识或CNAS标识的检验报告复印件佐证）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17.系统具有发起会议签到、表决、选举、评级、满意度、自定义等功能。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18.具有≥4.3英寸全彩触摸屏，可实现对参数设置或查看，进行任意触摸操作。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19.强大的编ID功能，可对有线单元、无线单元、译员机、角色分离主机进行编ID。</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20.具备USB录音功能，可录制和播放会议记录。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21.支持≥10段EQ调节功能，≥16路多功能输出通道与≥2路LINEOUT输出通道都具有≥10段EQ调节功能。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22.支持AP信道扫描，监测现场的无线信道使用情况，支持信道自动或手动配置最佳信道，支持AP名称在线显示列表。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23.支持触摸屏幕输入注册码进行主机注册。</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24.支持对接语音转写服务器，实现语音转写功能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25.会议主机具备设置主机或从机功能，当主机出现故障时，可自动切换至从机运行，实现双备份功能（提供国家认可的检验检测机构出具的带有CMA标识或CNAS标识的检验报告复印件佐证）</w:t>
            </w:r>
          </w:p>
        </w:tc>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47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63DE1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2749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4BD04B">
            <w:pPr>
              <w:jc w:val="center"/>
              <w:rPr>
                <w:rFonts w:hint="eastAsia" w:asciiTheme="minorEastAsia" w:hAnsiTheme="minorEastAsia" w:eastAsiaTheme="minorEastAsia" w:cstheme="minorEastAsia"/>
                <w:i w:val="0"/>
                <w:iCs w:val="0"/>
                <w:color w:val="000000"/>
                <w:sz w:val="24"/>
                <w:szCs w:val="24"/>
                <w:u w:val="none"/>
              </w:rPr>
            </w:pPr>
          </w:p>
        </w:tc>
        <w:tc>
          <w:tcPr>
            <w:tcW w:w="1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4EC8A">
            <w:pPr>
              <w:jc w:val="center"/>
              <w:rPr>
                <w:rFonts w:hint="eastAsia" w:asciiTheme="minorEastAsia" w:hAnsiTheme="minorEastAsia" w:eastAsiaTheme="minorEastAsia" w:cstheme="minorEastAsia"/>
                <w:i w:val="0"/>
                <w:iCs w:val="0"/>
                <w:color w:val="000000"/>
                <w:sz w:val="24"/>
                <w:szCs w:val="24"/>
                <w:u w:val="none"/>
              </w:rPr>
            </w:pPr>
          </w:p>
        </w:tc>
        <w:tc>
          <w:tcPr>
            <w:tcW w:w="68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464B315">
            <w:pPr>
              <w:jc w:val="left"/>
              <w:rPr>
                <w:rFonts w:hint="eastAsia" w:asciiTheme="minorEastAsia" w:hAnsiTheme="minorEastAsia" w:eastAsiaTheme="minorEastAsia" w:cstheme="minorEastAsia"/>
                <w:i w:val="0"/>
                <w:iCs w:val="0"/>
                <w:color w:val="000000"/>
                <w:sz w:val="24"/>
                <w:szCs w:val="24"/>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A961A">
            <w:pPr>
              <w:jc w:val="center"/>
              <w:rPr>
                <w:rFonts w:hint="eastAsia" w:asciiTheme="minorEastAsia" w:hAnsiTheme="minorEastAsia" w:eastAsiaTheme="minorEastAsia" w:cstheme="minorEastAsia"/>
                <w:i w:val="0"/>
                <w:iCs w:val="0"/>
                <w:color w:val="000000"/>
                <w:sz w:val="24"/>
                <w:szCs w:val="24"/>
                <w:u w:val="none"/>
              </w:rPr>
            </w:pPr>
          </w:p>
        </w:tc>
        <w:tc>
          <w:tcPr>
            <w:tcW w:w="443"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033D3AB4">
            <w:pPr>
              <w:jc w:val="center"/>
              <w:rPr>
                <w:rFonts w:hint="eastAsia" w:asciiTheme="minorEastAsia" w:hAnsiTheme="minorEastAsia" w:eastAsiaTheme="minorEastAsia" w:cstheme="minorEastAsia"/>
                <w:i w:val="0"/>
                <w:iCs w:val="0"/>
                <w:color w:val="000000"/>
                <w:sz w:val="24"/>
                <w:szCs w:val="24"/>
                <w:u w:val="none"/>
              </w:rPr>
            </w:pPr>
          </w:p>
        </w:tc>
      </w:tr>
      <w:tr w14:paraId="3DBB0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9B3E6B">
            <w:pPr>
              <w:jc w:val="center"/>
              <w:rPr>
                <w:rFonts w:hint="eastAsia" w:asciiTheme="minorEastAsia" w:hAnsiTheme="minorEastAsia" w:eastAsiaTheme="minorEastAsia" w:cstheme="minorEastAsia"/>
                <w:i w:val="0"/>
                <w:iCs w:val="0"/>
                <w:color w:val="000000"/>
                <w:sz w:val="24"/>
                <w:szCs w:val="24"/>
                <w:u w:val="none"/>
              </w:rPr>
            </w:pPr>
          </w:p>
        </w:tc>
        <w:tc>
          <w:tcPr>
            <w:tcW w:w="1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1B9A6">
            <w:pPr>
              <w:jc w:val="center"/>
              <w:rPr>
                <w:rFonts w:hint="eastAsia" w:asciiTheme="minorEastAsia" w:hAnsiTheme="minorEastAsia" w:eastAsiaTheme="minorEastAsia" w:cstheme="minorEastAsia"/>
                <w:i w:val="0"/>
                <w:iCs w:val="0"/>
                <w:color w:val="000000"/>
                <w:sz w:val="24"/>
                <w:szCs w:val="24"/>
                <w:u w:val="none"/>
              </w:rPr>
            </w:pPr>
          </w:p>
        </w:tc>
        <w:tc>
          <w:tcPr>
            <w:tcW w:w="68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AD56C5">
            <w:pPr>
              <w:jc w:val="left"/>
              <w:rPr>
                <w:rFonts w:hint="eastAsia" w:asciiTheme="minorEastAsia" w:hAnsiTheme="minorEastAsia" w:eastAsiaTheme="minorEastAsia" w:cstheme="minorEastAsia"/>
                <w:i w:val="0"/>
                <w:iCs w:val="0"/>
                <w:color w:val="000000"/>
                <w:sz w:val="24"/>
                <w:szCs w:val="24"/>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04D70">
            <w:pPr>
              <w:jc w:val="center"/>
              <w:rPr>
                <w:rFonts w:hint="eastAsia" w:asciiTheme="minorEastAsia" w:hAnsiTheme="minorEastAsia" w:eastAsiaTheme="minorEastAsia" w:cstheme="minorEastAsia"/>
                <w:i w:val="0"/>
                <w:iCs w:val="0"/>
                <w:color w:val="000000"/>
                <w:sz w:val="24"/>
                <w:szCs w:val="24"/>
                <w:u w:val="none"/>
              </w:rPr>
            </w:pPr>
          </w:p>
        </w:tc>
        <w:tc>
          <w:tcPr>
            <w:tcW w:w="443"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7B67711D">
            <w:pPr>
              <w:jc w:val="center"/>
              <w:rPr>
                <w:rFonts w:hint="eastAsia" w:asciiTheme="minorEastAsia" w:hAnsiTheme="minorEastAsia" w:eastAsiaTheme="minorEastAsia" w:cstheme="minorEastAsia"/>
                <w:i w:val="0"/>
                <w:iCs w:val="0"/>
                <w:color w:val="000000"/>
                <w:sz w:val="24"/>
                <w:szCs w:val="24"/>
                <w:u w:val="none"/>
              </w:rPr>
            </w:pPr>
          </w:p>
        </w:tc>
      </w:tr>
      <w:tr w14:paraId="1FE90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F9F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1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主席单元</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top"/>
          </w:tcPr>
          <w:p w14:paraId="6E131EC3">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1.数字传输链路，通过网线连接到会议主机级联口供电，非压缩音频传输技术，≥48k采样率，≥80Hz-16kHz带宽音质。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2.采用实体按键签到方式，保证可靠稳定的触发；咪杆尺寸≤240mm。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3.单元支持PC软件话筒控制，支持声控功能。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4.主席单元具备关闭代表单元发言的优先权限。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5.单元具有TCP/IP协议族，支持ICMP、HTTP、UDP、TCP、IGMP等多种协议。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6.单元支持PING包功能。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7.单元具有独立的web控制页面，支持调节话筒ID号、话筒灵敏度等参数。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8.单元内部具有声控功能，声控灵敏度可调。</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9.单元支持签到功能，也可以通过PC软件禁止单元签到、控制单元签到等功能。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10.单元支持web页面固件升级功能。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11.单元支持IP地址嗅探功能，通过PC工具可以查找到未知单元的ID号、IP地址、MAC地址等参数。</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2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46680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6FDDE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276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04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代表单元</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top"/>
          </w:tcPr>
          <w:p w14:paraId="745A8C8B">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1.数字传输链路，通过网线连接到会议主机级联口供电，非压缩音频传输技术，≥48k采样率，≥80Hz-16kHz带宽音质。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2.采用实体按键签到方式，保证可靠稳定的触发；咪杆尺寸≤240mm。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3.单元支持PC软件话筒控制，支持声控功能。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4.代表机具有申请发言功能，主席可批准申请人发言。</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5.单元具有TCP/IP协议族，支持ICMP、HTTP、UDP、TCP、IGMP等多种协议。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6.单元支持PING包功能。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7.单元具有独立的web控制页面，支持调节话筒ID号、话筒灵敏度等参数。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8.单元内部具有声控功能，声控灵敏度可调。</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9.单元支持签到功能，也可以通过PC软件禁止单元签到、控制单元签到等功能。（提供国家认可的检验检测机构出具的带有CMA标识或CNAS标识的检验报告复印件佐证）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10.单元支持web页面固件升级功能。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11.单元支持IP地址嗅探功能，通过PC工具可以查找到未知单元的ID号、IP地址、MAC地址等参数。（提供国家认可的检验检测机构出具的带有CMA标识或CNAS标识的检验报告复印件佐证）</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E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2D1C6A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62E7C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3D0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16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2D6C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音视频线缆</w:t>
            </w:r>
          </w:p>
        </w:tc>
        <w:tc>
          <w:tcPr>
            <w:tcW w:w="6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968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包含：1条≥20米延长线（一公一母），其他该区域成品跳线</w:t>
            </w: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06B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6FF5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批</w:t>
            </w:r>
          </w:p>
        </w:tc>
      </w:tr>
      <w:tr w14:paraId="182F4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BBDD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16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FFA3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话筒插座</w:t>
            </w:r>
          </w:p>
        </w:tc>
        <w:tc>
          <w:tcPr>
            <w:tcW w:w="68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7626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1.不低于一进三出连接单元。</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2.采用≥100M/10M自适应网络传输，可以实现手拉手级联。</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3.每个六芯航空接口支持IEEE802.3、IEEE802.3u、IEEE802.3x规范，具有较强的抗干扰能力。</w:t>
            </w: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A46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24DD1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r>
      <w:tr w14:paraId="4C9D0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B90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BB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模拟法庭-终端设备接入中控授权</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37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终端接入授权，需要购买这个授权才能使用，适用于控制所有的设备开关电源。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4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0347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14:paraId="040B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5DD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16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EF6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POE无线路由器控制器</w:t>
            </w:r>
          </w:p>
        </w:tc>
        <w:tc>
          <w:tcPr>
            <w:tcW w:w="6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D66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口全千兆PoE一体化路由器。终端带机量200台，最大支持1000Mbps带宽。整机带10个千兆以太网口，其中固化1个WAN口，3个LAN/WAN可切换口，6个固化LAN口，最大支持4个WAN口。整机最大PoE输出110W，单端口最大输出30W。集成统一网络控制器功能，最大可管理150台支持智能组网特性的EAP、RAP或网管交换机，以及128台以内的ES2xx系列智能交换机。支持应用识别、流量控制、VPN、PPPoE、认证、行为管理等丰富功能</w:t>
            </w: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D61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6FB1F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09EDC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8074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16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8CC8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设备机柜</w:t>
            </w:r>
          </w:p>
        </w:tc>
        <w:tc>
          <w:tcPr>
            <w:tcW w:w="6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4AE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19英寸标准机柜600*600*1200 22U前钢化玻璃后双开门，含1个PDU插座。</w:t>
            </w: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CE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75CD8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69E5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A65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16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84B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迷你主机</w:t>
            </w:r>
          </w:p>
        </w:tc>
        <w:tc>
          <w:tcPr>
            <w:tcW w:w="6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9CF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CPU≥i5；内存≥8G；硬盘≥128G固态。</w:t>
            </w:r>
          </w:p>
        </w:tc>
        <w:tc>
          <w:tcPr>
            <w:tcW w:w="4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761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60E5D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6CA7A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0E2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8B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平板电脑</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94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高通骁龙865、8+128G、wifi、10英寸、2560×1600分辨率</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8D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6E50D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5CA3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E94C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7A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液晶触控屏智能中控屏</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top"/>
          </w:tcPr>
          <w:p w14:paraId="3DE6151D">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1、7寸液晶触控屏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2、DC12V供电可86底盒安装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3、RS485通讯Modbus协议</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7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2BF028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58B2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2DF8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1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D1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智慧控制系统</w:t>
            </w:r>
          </w:p>
        </w:tc>
        <w:tc>
          <w:tcPr>
            <w:tcW w:w="6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8DE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智能可编程中控：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处理器：双处理器。采用2颗嵌入式高速中央处理器(CPU)并行运算，有别于传统的中控系统，可快速处理各种复杂的控制指令，提高响应用户的速度；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红外口：8路。路独立可编程的红外发射接口，支持控制多台相同或不同的红外设备，支持控制DVD、电视机、空调、投影机等所有红外遥控设备；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红外学习器：内置，支持超长码识别。主机内置红外学习器，自动识别红外代码类型，能轻松学习超长码的遥控控制的设备。可把红外数据保存到电脑成为红外库文件，供后续工程或后续维护升级使用，提高工作效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红外学习技术：高精度脉宽捕获及数码转换；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最大红外数据容量：1000KB；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学习载波范围：15-120KHz；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发射载波：38KHz；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红外脉冲精度：20us；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红外脉宽范围：50us-70ms；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红学习时间间隔：100ms；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最大红外数据宽度：96位。</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指令存储器：FLASH，大容量FLASH存储器，可保存高达5000条控制指令，满足任何场合的控制存储要求，支持扩展；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存储方式：高速FLASH</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控制指令数据容量：256M；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最大读写速度：66Mb。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继电器：8路弱电继电器接口，用于窗帘、电动幕布等控制；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□触点形式：1C（SPDT）；</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□触点负载：2A/30 VDC；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□阻抗：≤100mΩ；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□额定电流：3A；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□电气寿命：≥10万回；</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□机械寿命：≥1000万回；</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□线圈绝缘电阻：≥100MΩ；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□线圈与触点间耐压：4000VAC/1分钟；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触点与触点间耐压：750VAC/1分钟。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RS232串口：16路，可编程RS-232串口，和RS-485互不关联，可同时使用；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波特率：300-115200可选；数据位：8位；停止位：1或2校验None,Even,Odd；</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数据表达格式：字符或十六进制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接头定义：第2针脚为RX,第3针脚为TX,5针脚为GND；</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RS485/422串口：8路（可选配16路），可编程，RS-485串口RS-232互不关联，可同时使用；（即最多有32个串口）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波特率：300-115200可选；数据位：8位；停止位：1或2；校验：None,Even,0dd；</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数据表达格式：字符或十六进制；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接头定义：第8针脚为D-/B,第9针脚为D+/A,第5针脚为GND。</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IO口：8个，支持外部短路触发；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输入高电平电压：0V；</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输出最大脉冲宽度：200ms；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最大输入输出电流：20mA；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上拉电阻：支持外接。</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摄像跟踪：支持；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支持电脑控制，触摸屏控制；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支持互联网远程编程，远程维护，远程升级，节省售后成本；</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电源输出：提供5V电源输出；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总体参数：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电源：100VAC~240VAC,50/60Hz,国际自适应电源；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最大功率：15W；</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储存、使用温度：-20~+70C；</w:t>
            </w:r>
          </w:p>
        </w:tc>
        <w:tc>
          <w:tcPr>
            <w:tcW w:w="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98B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5E38A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05775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C872BA">
            <w:pPr>
              <w:jc w:val="center"/>
              <w:rPr>
                <w:rFonts w:hint="eastAsia" w:asciiTheme="minorEastAsia" w:hAnsiTheme="minorEastAsia" w:eastAsiaTheme="minorEastAsia" w:cstheme="minorEastAsia"/>
                <w:i w:val="0"/>
                <w:iCs w:val="0"/>
                <w:color w:val="000000"/>
                <w:sz w:val="24"/>
                <w:szCs w:val="24"/>
                <w:u w:val="none"/>
              </w:rPr>
            </w:pPr>
          </w:p>
        </w:tc>
        <w:tc>
          <w:tcPr>
            <w:tcW w:w="1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1E382">
            <w:pPr>
              <w:jc w:val="center"/>
              <w:rPr>
                <w:rFonts w:hint="eastAsia" w:asciiTheme="minorEastAsia" w:hAnsiTheme="minorEastAsia" w:eastAsiaTheme="minorEastAsia" w:cstheme="minorEastAsia"/>
                <w:i w:val="0"/>
                <w:iCs w:val="0"/>
                <w:color w:val="000000"/>
                <w:sz w:val="24"/>
                <w:szCs w:val="24"/>
                <w:u w:val="none"/>
              </w:rPr>
            </w:pPr>
          </w:p>
        </w:tc>
        <w:tc>
          <w:tcPr>
            <w:tcW w:w="6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E3535">
            <w:pPr>
              <w:jc w:val="left"/>
              <w:rPr>
                <w:rFonts w:hint="eastAsia" w:asciiTheme="minorEastAsia" w:hAnsiTheme="minorEastAsia" w:eastAsiaTheme="minorEastAsia" w:cstheme="minorEastAsia"/>
                <w:i w:val="0"/>
                <w:iCs w:val="0"/>
                <w:color w:val="000000"/>
                <w:sz w:val="24"/>
                <w:szCs w:val="24"/>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1D1A6">
            <w:pPr>
              <w:jc w:val="center"/>
              <w:rPr>
                <w:rFonts w:hint="eastAsia" w:asciiTheme="minorEastAsia" w:hAnsiTheme="minorEastAsia" w:eastAsiaTheme="minorEastAsia" w:cstheme="minorEastAsia"/>
                <w:i w:val="0"/>
                <w:iCs w:val="0"/>
                <w:color w:val="000000"/>
                <w:sz w:val="24"/>
                <w:szCs w:val="24"/>
                <w:u w:val="none"/>
              </w:rPr>
            </w:pPr>
          </w:p>
        </w:tc>
        <w:tc>
          <w:tcPr>
            <w:tcW w:w="443"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43EECE2A">
            <w:pPr>
              <w:jc w:val="center"/>
              <w:rPr>
                <w:rFonts w:hint="eastAsia" w:asciiTheme="minorEastAsia" w:hAnsiTheme="minorEastAsia" w:eastAsiaTheme="minorEastAsia" w:cstheme="minorEastAsia"/>
                <w:i w:val="0"/>
                <w:iCs w:val="0"/>
                <w:color w:val="000000"/>
                <w:sz w:val="24"/>
                <w:szCs w:val="24"/>
                <w:u w:val="none"/>
              </w:rPr>
            </w:pPr>
          </w:p>
        </w:tc>
      </w:tr>
      <w:tr w14:paraId="3E6E7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A4D2D9">
            <w:pPr>
              <w:jc w:val="center"/>
              <w:rPr>
                <w:rFonts w:hint="eastAsia" w:asciiTheme="minorEastAsia" w:hAnsiTheme="minorEastAsia" w:eastAsiaTheme="minorEastAsia" w:cstheme="minorEastAsia"/>
                <w:i w:val="0"/>
                <w:iCs w:val="0"/>
                <w:color w:val="000000"/>
                <w:sz w:val="24"/>
                <w:szCs w:val="24"/>
                <w:u w:val="none"/>
              </w:rPr>
            </w:pPr>
          </w:p>
        </w:tc>
        <w:tc>
          <w:tcPr>
            <w:tcW w:w="1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1B97E">
            <w:pPr>
              <w:jc w:val="center"/>
              <w:rPr>
                <w:rFonts w:hint="eastAsia" w:asciiTheme="minorEastAsia" w:hAnsiTheme="minorEastAsia" w:eastAsiaTheme="minorEastAsia" w:cstheme="minorEastAsia"/>
                <w:i w:val="0"/>
                <w:iCs w:val="0"/>
                <w:color w:val="000000"/>
                <w:sz w:val="24"/>
                <w:szCs w:val="24"/>
                <w:u w:val="none"/>
              </w:rPr>
            </w:pPr>
          </w:p>
        </w:tc>
        <w:tc>
          <w:tcPr>
            <w:tcW w:w="6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2309F">
            <w:pPr>
              <w:jc w:val="left"/>
              <w:rPr>
                <w:rFonts w:hint="eastAsia" w:asciiTheme="minorEastAsia" w:hAnsiTheme="minorEastAsia" w:eastAsiaTheme="minorEastAsia" w:cstheme="minorEastAsia"/>
                <w:i w:val="0"/>
                <w:iCs w:val="0"/>
                <w:color w:val="000000"/>
                <w:sz w:val="24"/>
                <w:szCs w:val="24"/>
                <w:u w:val="none"/>
              </w:rPr>
            </w:pPr>
          </w:p>
        </w:tc>
        <w:tc>
          <w:tcPr>
            <w:tcW w:w="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7BA0B">
            <w:pPr>
              <w:jc w:val="center"/>
              <w:rPr>
                <w:rFonts w:hint="eastAsia" w:asciiTheme="minorEastAsia" w:hAnsiTheme="minorEastAsia" w:eastAsiaTheme="minorEastAsia" w:cstheme="minorEastAsia"/>
                <w:i w:val="0"/>
                <w:iCs w:val="0"/>
                <w:color w:val="000000"/>
                <w:sz w:val="24"/>
                <w:szCs w:val="24"/>
                <w:u w:val="none"/>
              </w:rPr>
            </w:pPr>
          </w:p>
        </w:tc>
        <w:tc>
          <w:tcPr>
            <w:tcW w:w="443"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3E2F7992">
            <w:pPr>
              <w:jc w:val="center"/>
              <w:rPr>
                <w:rFonts w:hint="eastAsia" w:asciiTheme="minorEastAsia" w:hAnsiTheme="minorEastAsia" w:eastAsiaTheme="minorEastAsia" w:cstheme="minorEastAsia"/>
                <w:i w:val="0"/>
                <w:iCs w:val="0"/>
                <w:color w:val="000000"/>
                <w:sz w:val="24"/>
                <w:szCs w:val="24"/>
                <w:u w:val="none"/>
              </w:rPr>
            </w:pPr>
          </w:p>
        </w:tc>
      </w:tr>
      <w:tr w14:paraId="6F18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82B9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6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智能灯光控制器</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01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1、8路继电器控制器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2、电流大于24A延时跳闸，温度大于85度延时跳闸，有温度电流过高保护功能。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3、带机械手动按键。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4、带485总线接口，带串口接口，可扩展网络接口。</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DE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B1FD9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14:paraId="0CA9F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7D1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D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防爆电视机</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F5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1.规格:120英寸，标准显示比例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2.显示:高刷新率、广视角，画面清晰无闪烁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3.防护:防尘防爆，静音散热，适配多种安装场景</w:t>
            </w: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08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68A1D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7A8E6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B6F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3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高配交互查询屏</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9F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1、采用32寸触摸屏，防尘、防水，支持不少于8点同时书写、绘画，可对图片进行放大、缩小翻转、滑屏等操作；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2、工作寿命:60000小时；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3、点击次数:≥2,000,000；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4、透光率:≥85%，玻璃雾度值:≤3%；</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5、触摸精度:≤2.5mm；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6、解析度:25像素/分钟；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7、移动误差:≤10%；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8、扫描频率:200Hz；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9、抗光性:全角度抗强光；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10、计算机响应:计算机自动识别；</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11、响应速度:≤3ms；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12、存储环境测试:高温80℃,放置240小时性能正常；低温:-30℃,放置240小时性能正常；</w:t>
            </w:r>
          </w:p>
        </w:tc>
        <w:tc>
          <w:tcPr>
            <w:tcW w:w="4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42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0D4D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2557F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3855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D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预防性侵交互程序软件系统</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top"/>
          </w:tcPr>
          <w:p w14:paraId="110A56CC">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“观影+游戏”的互动模式。可以通过触摸一体机自主点播预防性侵主题短片和进行互动游戏。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★游戏采用经典大富翁棋盘式设计，玩家从起点走向终点，象征人生历程。每回合通过掷骰子决定前进步数，回答观影知识、法律法规相关的选择题。</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A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4938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14:paraId="204D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49C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64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预防校园欺凌交互程序软件系统</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top"/>
          </w:tcPr>
          <w:p w14:paraId="55CA2348">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“观影+游戏”的互动模式。可以通过触摸一体机自主点播预防校园欺凌主题短片和进行互动游戏。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★游戏采用经典大富翁棋盘式设计，玩家从起点走向终点，象征人生历程。每回合通过掷骰子决定前进步数，抵达答题格时需回答与校园欺凌、法律法规相关的选择题</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5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6982D2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14:paraId="00AD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2265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D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预防学生欺凌和性侵-终端设备接入中控授权</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E7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终端接入授权，需要购买这个授权才能使用，适用于控制所有的设备开关电源。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FC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49F2EA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14:paraId="3AB03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DD2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4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青少年犯罪类型及成因分析-终端设备接入中控授权</w:t>
            </w:r>
          </w:p>
        </w:tc>
        <w:tc>
          <w:tcPr>
            <w:tcW w:w="6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BD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终端接入授权，需要购买这个授权才能使用，适用于控制所有的设备开关电源。</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A6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43"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24CD0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14:paraId="5FE7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950" w:type="dxa"/>
            <w:gridSpan w:val="5"/>
            <w:tcBorders>
              <w:top w:val="single" w:color="000000" w:sz="4" w:space="0"/>
              <w:left w:val="single" w:color="000000" w:sz="8" w:space="0"/>
              <w:bottom w:val="single" w:color="000000" w:sz="8" w:space="0"/>
              <w:right w:val="single" w:color="000000" w:sz="8" w:space="0"/>
            </w:tcBorders>
            <w:shd w:val="clear" w:color="auto" w:fill="auto"/>
            <w:vAlign w:val="center"/>
          </w:tcPr>
          <w:p w14:paraId="66B640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备注：上述采购清单中需提供检验检测机构出具的的检验报告复印件佐证资料均为成交后提供。</w:t>
            </w:r>
          </w:p>
        </w:tc>
      </w:tr>
    </w:tbl>
    <w:p w14:paraId="1E5FF9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4.最高限价：</w:t>
      </w:r>
      <w:r>
        <w:rPr>
          <w:rFonts w:hint="eastAsia" w:ascii="宋体" w:hAnsi="宋体" w:cs="宋体"/>
          <w:color w:val="auto"/>
          <w:sz w:val="28"/>
          <w:szCs w:val="28"/>
          <w:lang w:val="en-US" w:eastAsia="zh-CN"/>
        </w:rPr>
        <w:t>425500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6D1031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eastAsia="宋体" w:cs="宋体"/>
          <w:b w:val="0"/>
          <w:bCs w:val="0"/>
          <w:color w:val="auto"/>
          <w:sz w:val="28"/>
          <w:szCs w:val="28"/>
          <w:lang w:val="en-US" w:eastAsia="zh-CN"/>
        </w:rPr>
        <w:t>5.竞价保证金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8500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30313A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6.供货期限：</w:t>
      </w:r>
      <w:r>
        <w:rPr>
          <w:rFonts w:hint="eastAsia" w:ascii="宋体" w:hAnsi="宋体" w:cs="宋体"/>
          <w:color w:val="auto"/>
          <w:sz w:val="28"/>
          <w:szCs w:val="28"/>
          <w:lang w:val="en-US" w:eastAsia="zh-CN"/>
        </w:rPr>
        <w:t>合同签订后30日历日内完成安装调试并验收合格交付使用</w:t>
      </w:r>
      <w:r>
        <w:rPr>
          <w:rFonts w:hint="eastAsia" w:ascii="宋体" w:hAnsi="宋体" w:eastAsia="宋体" w:cs="宋体"/>
          <w:b w:val="0"/>
          <w:bCs w:val="0"/>
          <w:color w:val="auto"/>
          <w:sz w:val="28"/>
          <w:szCs w:val="28"/>
          <w:lang w:val="en-US" w:eastAsia="zh-CN"/>
        </w:rPr>
        <w:t>。</w:t>
      </w:r>
    </w:p>
    <w:p w14:paraId="681E10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7.供货要求：成交人根据与委托人签订的《</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lang w:val="en-US" w:eastAsia="zh-CN"/>
        </w:rPr>
        <w:t>合同》完成供货。</w:t>
      </w:r>
    </w:p>
    <w:p w14:paraId="23DDA9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8.货物的检验、验收</w:t>
      </w:r>
    </w:p>
    <w:p w14:paraId="7A5E0C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验收标准：</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所提供的设备必须是制造厂家生产的崭新的未开箱的原包装设备。所有设备按厂家设备验收标准（符合国家或行业或地方标准）、</w:t>
      </w:r>
      <w:r>
        <w:rPr>
          <w:rFonts w:hint="eastAsia" w:ascii="宋体" w:hAnsi="宋体" w:cs="宋体"/>
          <w:b w:val="0"/>
          <w:bCs w:val="0"/>
          <w:color w:val="auto"/>
          <w:sz w:val="28"/>
          <w:szCs w:val="28"/>
          <w:lang w:val="en-US" w:eastAsia="zh-CN"/>
        </w:rPr>
        <w:t>竞价</w:t>
      </w:r>
      <w:r>
        <w:rPr>
          <w:rFonts w:hint="eastAsia" w:ascii="宋体" w:hAnsi="宋体" w:eastAsia="宋体" w:cs="宋体"/>
          <w:b w:val="0"/>
          <w:bCs w:val="0"/>
          <w:color w:val="auto"/>
          <w:sz w:val="28"/>
          <w:szCs w:val="28"/>
          <w:lang w:val="en-US" w:eastAsia="zh-CN"/>
        </w:rPr>
        <w:t>文件等有关内容进行验收。</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提供设备的制造标准及技术规范等有关资料必须符合中国相应有关标准、规范要求。产品质量达到设计要求，安装调试各项指标符合验收标准要求。</w:t>
      </w:r>
    </w:p>
    <w:p w14:paraId="4FB407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验收程序和方法</w:t>
      </w:r>
    </w:p>
    <w:p w14:paraId="0FCE1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出厂检验</w:t>
      </w:r>
    </w:p>
    <w:p w14:paraId="6AC1CEC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人在设备出厂前，应按设备技术标准规定的检验项目和检验方法进行全面检验，</w:t>
      </w: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人应随同货物出厂检验报告、质量合格证书、相关产品资料和文件等。</w:t>
      </w:r>
    </w:p>
    <w:p w14:paraId="4F628FD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运行：</w:t>
      </w:r>
    </w:p>
    <w:p w14:paraId="30B9A7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设备安装完毕后，</w:t>
      </w: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人应对设备的整体性能和功能进行测试，试运行期间，出现的任何问题，应由</w:t>
      </w: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人及时处理修正。测试结果必须符合</w:t>
      </w:r>
      <w:r>
        <w:rPr>
          <w:rFonts w:hint="eastAsia" w:ascii="宋体" w:hAnsi="宋体" w:cs="宋体"/>
          <w:b w:val="0"/>
          <w:bCs w:val="0"/>
          <w:color w:val="auto"/>
          <w:sz w:val="28"/>
          <w:szCs w:val="28"/>
          <w:lang w:val="en-US" w:eastAsia="zh-CN"/>
        </w:rPr>
        <w:t>竞价文件</w:t>
      </w:r>
      <w:r>
        <w:rPr>
          <w:rFonts w:hint="eastAsia" w:ascii="宋体" w:hAnsi="宋体" w:eastAsia="宋体" w:cs="宋体"/>
          <w:b w:val="0"/>
          <w:bCs w:val="0"/>
          <w:color w:val="auto"/>
          <w:sz w:val="28"/>
          <w:szCs w:val="28"/>
          <w:lang w:val="en-US" w:eastAsia="zh-CN"/>
        </w:rPr>
        <w:t>要求及合同中的相关条款。</w:t>
      </w:r>
    </w:p>
    <w:p w14:paraId="1757D7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验收程序</w:t>
      </w:r>
    </w:p>
    <w:p w14:paraId="44483E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按照</w:t>
      </w:r>
      <w:r>
        <w:rPr>
          <w:rFonts w:hint="eastAsia" w:ascii="宋体" w:hAnsi="宋体" w:cs="宋体"/>
          <w:b w:val="0"/>
          <w:bCs w:val="0"/>
          <w:color w:val="auto"/>
          <w:sz w:val="28"/>
          <w:szCs w:val="28"/>
          <w:lang w:val="en-US" w:eastAsia="zh-CN"/>
        </w:rPr>
        <w:t>竞价</w:t>
      </w:r>
      <w:r>
        <w:rPr>
          <w:rFonts w:hint="eastAsia" w:ascii="宋体" w:hAnsi="宋体" w:eastAsia="宋体" w:cs="宋体"/>
          <w:b w:val="0"/>
          <w:bCs w:val="0"/>
          <w:color w:val="auto"/>
          <w:sz w:val="28"/>
          <w:szCs w:val="28"/>
          <w:lang w:val="en-US" w:eastAsia="zh-CN"/>
        </w:rPr>
        <w:t>文件所列的产品清单进行数量验收并形成数量验收单。货物交付并安装结束后，由</w:t>
      </w:r>
      <w:r>
        <w:rPr>
          <w:rFonts w:hint="eastAsia" w:ascii="宋体" w:hAnsi="宋体" w:cs="宋体"/>
          <w:b w:val="0"/>
          <w:bCs w:val="0"/>
          <w:color w:val="auto"/>
          <w:sz w:val="28"/>
          <w:szCs w:val="28"/>
          <w:lang w:val="en-US" w:eastAsia="zh-CN"/>
        </w:rPr>
        <w:t>委托人</w:t>
      </w:r>
      <w:r>
        <w:rPr>
          <w:rFonts w:hint="eastAsia" w:ascii="宋体" w:hAnsi="宋体" w:eastAsia="宋体" w:cs="宋体"/>
          <w:b w:val="0"/>
          <w:bCs w:val="0"/>
          <w:color w:val="auto"/>
          <w:sz w:val="28"/>
          <w:szCs w:val="28"/>
          <w:lang w:val="en-US" w:eastAsia="zh-CN"/>
        </w:rPr>
        <w:t>验收组会同</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进行交货检验，逐台设备进行功能验收。</w:t>
      </w:r>
    </w:p>
    <w:p w14:paraId="09B2FED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最终验收：</w:t>
      </w:r>
    </w:p>
    <w:p w14:paraId="6D503C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由</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向</w:t>
      </w:r>
      <w:r>
        <w:rPr>
          <w:rFonts w:hint="eastAsia" w:ascii="宋体" w:hAnsi="宋体" w:cs="宋体"/>
          <w:b w:val="0"/>
          <w:bCs w:val="0"/>
          <w:color w:val="auto"/>
          <w:sz w:val="28"/>
          <w:szCs w:val="28"/>
          <w:lang w:val="en-US" w:eastAsia="zh-CN"/>
        </w:rPr>
        <w:t>委托</w:t>
      </w:r>
      <w:r>
        <w:rPr>
          <w:rFonts w:hint="eastAsia" w:ascii="宋体" w:hAnsi="宋体" w:eastAsia="宋体" w:cs="宋体"/>
          <w:b w:val="0"/>
          <w:bCs w:val="0"/>
          <w:color w:val="auto"/>
          <w:sz w:val="28"/>
          <w:szCs w:val="28"/>
          <w:lang w:val="en-US" w:eastAsia="zh-CN"/>
        </w:rPr>
        <w:t>人发出验收申请，并由</w:t>
      </w:r>
      <w:r>
        <w:rPr>
          <w:rFonts w:hint="eastAsia" w:ascii="宋体" w:hAnsi="宋体" w:cs="宋体"/>
          <w:b w:val="0"/>
          <w:bCs w:val="0"/>
          <w:color w:val="auto"/>
          <w:sz w:val="28"/>
          <w:szCs w:val="28"/>
          <w:lang w:val="en-US" w:eastAsia="zh-CN"/>
        </w:rPr>
        <w:t>委托</w:t>
      </w:r>
      <w:r>
        <w:rPr>
          <w:rFonts w:hint="eastAsia" w:ascii="宋体" w:hAnsi="宋体" w:eastAsia="宋体" w:cs="宋体"/>
          <w:b w:val="0"/>
          <w:bCs w:val="0"/>
          <w:color w:val="auto"/>
          <w:sz w:val="28"/>
          <w:szCs w:val="28"/>
          <w:lang w:val="en-US" w:eastAsia="zh-CN"/>
        </w:rPr>
        <w:t>人组织人员根据合同规定和相关的国家标准对项目的实施结果进行验收，并对有异议和疑义项提出书面说明，如果无异议双方签署《验收合格报告》。在此期间，若发现产品质量有问题</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应无条件免费更换，并无条件重新检测且调试直至验收合格交付使用。</w:t>
      </w:r>
    </w:p>
    <w:p w14:paraId="331D5C16">
      <w:pPr>
        <w:keepNext w:val="0"/>
        <w:keepLines w:val="0"/>
        <w:pageBreakBefore w:val="0"/>
        <w:widowControl/>
        <w:kinsoku/>
        <w:wordWrap/>
        <w:topLinePunct w:val="0"/>
        <w:bidi w:val="0"/>
        <w:spacing w:line="360" w:lineRule="auto"/>
        <w:ind w:left="0" w:firstLine="48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本项目的安装调试维护期1年，设备质保期2年。（其中，场地符合安装条件后进行设备安装，安装调试维护期1年。）</w:t>
      </w:r>
    </w:p>
    <w:p w14:paraId="064DB8EA">
      <w:pPr>
        <w:keepNext w:val="0"/>
        <w:keepLines w:val="0"/>
        <w:pageBreakBefore w:val="0"/>
        <w:widowControl/>
        <w:kinsoku/>
        <w:wordWrap/>
        <w:topLinePunct w:val="0"/>
        <w:bidi w:val="0"/>
        <w:spacing w:line="360" w:lineRule="auto"/>
        <w:ind w:left="0" w:firstLine="480"/>
        <w:jc w:val="left"/>
        <w:rPr>
          <w:rFonts w:hint="default" w:ascii="宋体" w:hAnsi="宋体" w:cs="宋体"/>
          <w:color w:val="auto"/>
          <w:sz w:val="28"/>
          <w:szCs w:val="28"/>
          <w:lang w:val="en-US" w:eastAsia="zh-CN"/>
        </w:rPr>
      </w:pPr>
      <w:r>
        <w:rPr>
          <w:rFonts w:hint="eastAsia" w:ascii="宋体" w:hAnsi="宋体" w:eastAsia="宋体" w:cs="宋体"/>
          <w:b/>
          <w:bCs/>
          <w:color w:val="auto"/>
          <w:kern w:val="2"/>
          <w:sz w:val="28"/>
          <w:szCs w:val="28"/>
          <w:lang w:val="en-US" w:eastAsia="zh-CN" w:bidi="ar-SA"/>
        </w:rPr>
        <w:t>特别提示</w:t>
      </w:r>
      <w:r>
        <w:rPr>
          <w:rFonts w:hint="eastAsia" w:ascii="宋体" w:hAnsi="宋体" w:eastAsia="宋体" w:cs="宋体"/>
          <w:b w:val="0"/>
          <w:bCs w:val="0"/>
          <w:color w:val="auto"/>
          <w:kern w:val="2"/>
          <w:sz w:val="28"/>
          <w:szCs w:val="28"/>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379DE5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1.竞价人必须遵守中华人民共和国法律、法规，能够提供本竞价文件所述货物及服务的具有独立法人资格的境内供应商（失信被执行人除外）；</w:t>
      </w:r>
    </w:p>
    <w:p w14:paraId="24D675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2.具有履行合同所必需的能力。</w:t>
      </w:r>
    </w:p>
    <w:p w14:paraId="5D0F36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3.“采购清单”中的参数要求均为重要要求，</w:t>
      </w:r>
      <w:r>
        <w:rPr>
          <w:rFonts w:hint="eastAsia" w:ascii="宋体" w:hAnsi="宋体" w:cs="宋体"/>
          <w:color w:val="auto"/>
          <w:sz w:val="28"/>
          <w:szCs w:val="28"/>
          <w:lang w:val="en-US" w:eastAsia="zh-CN"/>
        </w:rPr>
        <w:t>竞价</w:t>
      </w:r>
      <w:r>
        <w:rPr>
          <w:rFonts w:hint="eastAsia" w:ascii="宋体" w:hAnsi="宋体" w:eastAsia="宋体" w:cs="宋体"/>
          <w:color w:val="auto"/>
          <w:sz w:val="28"/>
          <w:szCs w:val="28"/>
          <w:lang w:val="en-US" w:eastAsia="zh-CN"/>
        </w:rPr>
        <w:t>人提供的货物需符合该要求。</w:t>
      </w:r>
      <w:r>
        <w:rPr>
          <w:rFonts w:hint="eastAsia" w:ascii="宋体" w:hAnsi="宋体" w:cs="宋体"/>
          <w:color w:val="auto"/>
          <w:sz w:val="28"/>
          <w:szCs w:val="28"/>
          <w:lang w:val="en-US" w:eastAsia="zh-CN"/>
        </w:rPr>
        <w:t>其产品及生产所需材料应符合国家及相关规定的相应技术标准，且均为生产厂家原品牌原装全新合格产品，产品质量符合要求。成交人与委托人签订各项采购合同后，必须自觉履行竞价文件的要求和其竞价承诺函，做好设备的生产、运输、售后服务等工作。</w:t>
      </w:r>
    </w:p>
    <w:p w14:paraId="11EF52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4.本项目不允许挂靠其他公司资格及分包，不接受联合体参与竞价；</w:t>
      </w:r>
    </w:p>
    <w:p w14:paraId="60761F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5.符合具备法律、行政法规规定的其他条件；</w:t>
      </w:r>
    </w:p>
    <w:p w14:paraId="03F33D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竞价人必须是委托人邀请的单位</w:t>
      </w:r>
      <w:r>
        <w:rPr>
          <w:rFonts w:hint="eastAsia" w:ascii="宋体" w:hAnsi="宋体" w:cs="宋体"/>
          <w:color w:val="auto"/>
          <w:sz w:val="28"/>
          <w:szCs w:val="28"/>
          <w:lang w:val="en-US" w:eastAsia="zh-CN"/>
        </w:rPr>
        <w:t>；</w:t>
      </w:r>
    </w:p>
    <w:p w14:paraId="496BCE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.已认真阅读并同意本公告附件-网络竞价须知；</w:t>
      </w:r>
    </w:p>
    <w:p w14:paraId="547986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w:t>
      </w:r>
      <w:r>
        <w:rPr>
          <w:rFonts w:hint="eastAsia" w:ascii="宋体" w:hAnsi="宋体" w:cs="宋体"/>
          <w:color w:val="auto"/>
          <w:sz w:val="28"/>
          <w:szCs w:val="28"/>
          <w:lang w:val="en-US" w:eastAsia="zh-CN"/>
        </w:rPr>
        <w:t>供应商</w:t>
      </w:r>
      <w:r>
        <w:rPr>
          <w:rFonts w:hint="eastAsia" w:ascii="宋体" w:hAnsi="宋体" w:eastAsia="宋体" w:cs="宋体"/>
          <w:color w:val="auto"/>
          <w:sz w:val="28"/>
          <w:szCs w:val="28"/>
        </w:rPr>
        <w:t>。</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60B32AA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lang w:val="en-US" w:eastAsia="zh-CN"/>
        </w:rPr>
        <w:t>1.竞价保证金</w:t>
      </w:r>
      <w:r>
        <w:rPr>
          <w:rFonts w:hint="eastAsia" w:ascii="宋体" w:hAnsi="宋体" w:eastAsia="宋体" w:cs="宋体"/>
          <w:color w:val="auto"/>
          <w:sz w:val="28"/>
          <w:szCs w:val="28"/>
          <w:highlight w:val="none"/>
          <w:lang w:val="en-US" w:eastAsia="zh-CN"/>
        </w:rPr>
        <w:t>必须于</w:t>
      </w:r>
      <w:r>
        <w:rPr>
          <w:rFonts w:hint="eastAsia" w:ascii="宋体" w:hAnsi="宋体" w:cs="宋体"/>
          <w:color w:val="auto"/>
          <w:sz w:val="28"/>
          <w:szCs w:val="28"/>
          <w:highlight w:val="none"/>
          <w:lang w:val="en-US" w:eastAsia="zh-CN"/>
        </w:rPr>
        <w:t>2026年6月30日上午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w:t>
      </w:r>
      <w:r>
        <w:rPr>
          <w:rFonts w:hint="eastAsia" w:ascii="宋体" w:hAnsi="宋体" w:cs="宋体"/>
          <w:color w:val="auto"/>
          <w:sz w:val="28"/>
          <w:szCs w:val="28"/>
          <w:highlight w:val="none"/>
          <w:lang w:val="en-US" w:eastAsia="zh-CN"/>
        </w:rPr>
        <w:t>转入</w:t>
      </w:r>
      <w:r>
        <w:rPr>
          <w:rFonts w:hint="eastAsia" w:ascii="宋体" w:hAnsi="宋体" w:cs="宋体"/>
          <w:b/>
          <w:bCs/>
          <w:color w:val="auto"/>
          <w:sz w:val="28"/>
          <w:szCs w:val="28"/>
          <w:highlight w:val="none"/>
          <w:lang w:val="en-US" w:eastAsia="zh-CN"/>
        </w:rPr>
        <w:t>平台系统</w:t>
      </w:r>
      <w:r>
        <w:rPr>
          <w:rFonts w:hint="eastAsia" w:ascii="宋体" w:hAnsi="宋体" w:eastAsia="宋体" w:cs="宋体"/>
          <w:b/>
          <w:bCs/>
          <w:color w:val="auto"/>
          <w:sz w:val="28"/>
          <w:szCs w:val="28"/>
          <w:highlight w:val="none"/>
          <w:lang w:val="en-US" w:eastAsia="zh-CN"/>
        </w:rPr>
        <w:t>指定账户，以实际到账为准（户名：福建随行软件有限公司，开户行：招商银行福州分行营业部，账号：在线获取保证金子账号）。</w:t>
      </w:r>
      <w:r>
        <w:rPr>
          <w:rFonts w:hint="eastAsia" w:ascii="宋体" w:hAnsi="宋体" w:eastAsia="宋体" w:cs="宋体"/>
          <w:color w:val="auto"/>
          <w:sz w:val="28"/>
          <w:szCs w:val="28"/>
          <w:highlight w:val="none"/>
          <w:lang w:val="en-US" w:eastAsia="zh-CN"/>
        </w:rPr>
        <w:t>报名参加的竞价人与缴交竞价保证金的名称要一致。竞价保证金缴至以上账户时，交款单中“款项来源”或“用途”一栏内须填写“****项目的竞价保证金”。</w:t>
      </w:r>
    </w:p>
    <w:p w14:paraId="4C1A9E0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highlight w:val="none"/>
          <w:lang w:val="en-US" w:eastAsia="zh-CN"/>
        </w:rPr>
        <w:t>委托接待合同</w:t>
      </w:r>
      <w:r>
        <w:rPr>
          <w:rFonts w:hint="eastAsia" w:ascii="宋体" w:hAnsi="宋体" w:eastAsia="宋体" w:cs="宋体"/>
          <w:color w:val="auto"/>
          <w:sz w:val="28"/>
          <w:szCs w:val="28"/>
          <w:highlight w:val="none"/>
          <w:lang w:val="en-US" w:eastAsia="zh-CN"/>
        </w:rPr>
        <w:t>》，由委托人经过相应审批程序后签订。</w:t>
      </w:r>
    </w:p>
    <w:p w14:paraId="1822AD2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307DD1C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bookmarkStart w:id="0" w:name="_GoBack"/>
      <w:r>
        <w:rPr>
          <w:rFonts w:hint="eastAsia" w:ascii="宋体" w:hAnsi="宋体" w:eastAsia="宋体" w:cs="宋体"/>
          <w:color w:val="auto"/>
          <w:sz w:val="28"/>
          <w:szCs w:val="28"/>
          <w:lang w:val="en-US" w:eastAsia="zh-CN"/>
        </w:rPr>
        <w:t>有意参加竞价人应提供如下有效证照复印件：</w:t>
      </w:r>
    </w:p>
    <w:p w14:paraId="1BFA0D9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0A26899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（2）签订完整的</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承诺书</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w:t>
      </w:r>
    </w:p>
    <w:p w14:paraId="23D486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（3）已缴纳的竞价保证金凭证</w:t>
      </w:r>
      <w:r>
        <w:rPr>
          <w:rFonts w:hint="eastAsia" w:ascii="宋体" w:hAnsi="宋体" w:cs="宋体"/>
          <w:color w:val="auto"/>
          <w:sz w:val="28"/>
          <w:szCs w:val="28"/>
          <w:lang w:val="en-US" w:eastAsia="zh-CN"/>
        </w:rPr>
        <w:t>；</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以上材料复印件须加盖公章并上传至平台系统。</w:t>
      </w:r>
    </w:p>
    <w:bookmarkEnd w:id="0"/>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keepNext w:val="0"/>
        <w:keepLines w:val="0"/>
        <w:pageBreakBefore w:val="0"/>
        <w:widowControl/>
        <w:shd w:val="clear"/>
        <w:kinsoku/>
        <w:wordWrap w:val="0"/>
        <w:overflowPunct/>
        <w:topLinePunct w:val="0"/>
        <w:autoSpaceDE/>
        <w:autoSpaceDN/>
        <w:bidi w:val="0"/>
        <w:adjustRightInd/>
        <w:snapToGrid/>
        <w:spacing w:before="0" w:line="52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w:t>
      </w:r>
      <w:r>
        <w:rPr>
          <w:rFonts w:hint="eastAsia" w:ascii="宋体" w:hAnsi="宋体" w:cs="宋体"/>
          <w:color w:val="auto"/>
          <w:kern w:val="2"/>
          <w:sz w:val="28"/>
          <w:szCs w:val="28"/>
          <w:highlight w:val="none"/>
          <w:shd w:val="clear"/>
          <w:lang w:val="en-US" w:eastAsia="zh-CN"/>
        </w:rPr>
        <w:t>邀请</w:t>
      </w:r>
      <w:r>
        <w:rPr>
          <w:rFonts w:hint="eastAsia" w:ascii="宋体" w:hAnsi="宋体" w:eastAsia="宋体" w:cs="宋体"/>
          <w:color w:val="auto"/>
          <w:kern w:val="2"/>
          <w:sz w:val="28"/>
          <w:szCs w:val="28"/>
          <w:highlight w:val="none"/>
          <w:shd w:val="clear"/>
        </w:rPr>
        <w:t>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57E127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cs="宋体"/>
          <w:color w:val="auto"/>
          <w:sz w:val="28"/>
          <w:szCs w:val="28"/>
          <w:lang w:eastAsia="zh-CN"/>
        </w:rPr>
        <w:t>，</w:t>
      </w:r>
      <w:r>
        <w:rPr>
          <w:rFonts w:hint="eastAsia" w:ascii="宋体" w:hAnsi="宋体" w:cs="宋体"/>
          <w:b/>
          <w:bCs/>
          <w:color w:val="auto"/>
          <w:sz w:val="28"/>
          <w:szCs w:val="28"/>
          <w:lang w:eastAsia="zh-CN"/>
        </w:rPr>
        <w:t>不足3000元的，按3000元计费。</w:t>
      </w:r>
      <w:r>
        <w:rPr>
          <w:rFonts w:hint="eastAsia" w:ascii="宋体" w:hAnsi="宋体" w:eastAsia="宋体" w:cs="宋体"/>
          <w:color w:val="auto"/>
          <w:sz w:val="28"/>
          <w:szCs w:val="28"/>
          <w:highlight w:val="none"/>
          <w:lang w:val="en-US" w:eastAsia="zh-CN"/>
        </w:rPr>
        <w:t>招标代理服务费须在成交之日起</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个工作日汇到本公司指定账户（户名：连城县国有资产产权交易服务有限公司，开户行：中国农业银行连城县支行，账号：1377 0101 0400 18263）。招标代理服务费未按期付清的，视成交人根本违约，竞价保证金不予退回。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21C4B887">
      <w:pPr>
        <w:keepNext w:val="0"/>
        <w:keepLines w:val="0"/>
        <w:pageBreakBefore w:val="0"/>
        <w:widowControl/>
        <w:kinsoku/>
        <w:wordWrap/>
        <w:topLinePunct w:val="0"/>
        <w:bidi w:val="0"/>
        <w:spacing w:line="360" w:lineRule="auto"/>
        <w:ind w:left="0" w:firstLine="48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1.合同签订，收到预付款发票后，15个工作日内支付预付款；</w:t>
      </w:r>
    </w:p>
    <w:p w14:paraId="63388A41">
      <w:pPr>
        <w:keepNext w:val="0"/>
        <w:keepLines w:val="0"/>
        <w:pageBreakBefore w:val="0"/>
        <w:widowControl/>
        <w:kinsoku/>
        <w:wordWrap/>
        <w:topLinePunct w:val="0"/>
        <w:bidi w:val="0"/>
        <w:spacing w:line="360" w:lineRule="auto"/>
        <w:ind w:left="0" w:firstLine="48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2.设备安装完成，收到尾款发票后，15个工作日内支付尾款。</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3"/>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月</w:t>
      </w:r>
      <w:r>
        <w:rPr>
          <w:rFonts w:hint="eastAsia" w:ascii="宋体" w:hAnsi="宋体" w:cs="宋体"/>
          <w:color w:val="auto"/>
          <w:sz w:val="28"/>
          <w:szCs w:val="28"/>
          <w:lang w:val="en-US" w:eastAsia="zh-CN"/>
        </w:rPr>
        <w:t>24</w:t>
      </w:r>
      <w:r>
        <w:rPr>
          <w:rFonts w:hint="eastAsia" w:ascii="宋体" w:hAnsi="宋体" w:eastAsia="宋体" w:cs="宋体"/>
          <w:color w:val="auto"/>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2AF4948C">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2026年6月30日</w:t>
      </w:r>
      <w:r>
        <w:rPr>
          <w:rFonts w:hint="eastAsia" w:ascii="宋体" w:hAnsi="宋体" w:eastAsia="宋体" w:cs="宋体"/>
          <w:color w:val="auto"/>
          <w:sz w:val="28"/>
          <w:szCs w:val="28"/>
        </w:rPr>
        <w:t>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eastAsia="zh-CN"/>
        </w:rPr>
        <w:t>连城县预防未成年人犯罪警示教育中心（二期设备）采购项目</w:t>
      </w:r>
      <w:r>
        <w:rPr>
          <w:rFonts w:hint="eastAsia" w:ascii="宋体" w:hAnsi="宋体" w:eastAsia="宋体" w:cs="宋体"/>
          <w:color w:val="auto"/>
          <w:sz w:val="28"/>
          <w:szCs w:val="28"/>
        </w:rPr>
        <w:t>。收悉项目编号为</w:t>
      </w:r>
      <w:r>
        <w:rPr>
          <w:rFonts w:hint="eastAsia" w:ascii="宋体" w:hAnsi="宋体" w:cs="宋体"/>
          <w:color w:val="auto"/>
          <w:sz w:val="28"/>
          <w:szCs w:val="28"/>
          <w:u w:val="single"/>
          <w:lang w:eastAsia="zh-CN"/>
        </w:rPr>
        <w:t>LCCQJJ20260630</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390A9ABA">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29FFBB58">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3E9F5E4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附件：《采购合同》</w:t>
      </w:r>
    </w:p>
    <w:p w14:paraId="250A9D6E">
      <w:pPr>
        <w:pStyle w:val="23"/>
        <w:pageBreakBefore w:val="0"/>
        <w:kinsoku/>
        <w:wordWrap/>
        <w:overflowPunct/>
        <w:topLinePunct w:val="0"/>
        <w:bidi w:val="0"/>
        <w:spacing w:line="360" w:lineRule="auto"/>
        <w:jc w:val="center"/>
        <w:textAlignment w:val="auto"/>
        <w:outlineLvl w:val="9"/>
        <w:rPr>
          <w:rFonts w:hint="eastAsia" w:ascii="宋体" w:hAnsi="宋体" w:eastAsia="宋体" w:cs="宋体"/>
          <w:color w:val="000000" w:themeColor="text1"/>
          <w:sz w:val="24"/>
          <w:szCs w:val="24"/>
          <w:highlight w:val="none"/>
        </w:rPr>
      </w:pPr>
      <w:r>
        <w:rPr>
          <w:rStyle w:val="15"/>
          <w:rFonts w:hint="eastAsia" w:hAnsi="宋体" w:cs="宋体"/>
          <w:color w:val="000000" w:themeColor="text1"/>
          <w:spacing w:val="0"/>
          <w:sz w:val="32"/>
          <w:szCs w:val="32"/>
          <w:highlight w:val="none"/>
          <w:lang w:val="en-US" w:eastAsia="zh-CN"/>
        </w:rPr>
        <w:t>采购</w:t>
      </w:r>
      <w:r>
        <w:rPr>
          <w:rStyle w:val="15"/>
          <w:rFonts w:hint="eastAsia" w:ascii="宋体" w:hAnsi="宋体" w:eastAsia="宋体" w:cs="宋体"/>
          <w:color w:val="000000" w:themeColor="text1"/>
          <w:spacing w:val="0"/>
          <w:sz w:val="32"/>
          <w:szCs w:val="32"/>
          <w:highlight w:val="none"/>
        </w:rPr>
        <w:t>合同</w:t>
      </w:r>
    </w:p>
    <w:p w14:paraId="53940447">
      <w:pPr>
        <w:jc w:val="center"/>
        <w:rPr>
          <w:sz w:val="24"/>
        </w:rPr>
      </w:pPr>
      <w:r>
        <w:rPr>
          <w:rFonts w:hint="eastAsia" w:cs="宋体"/>
          <w:sz w:val="24"/>
        </w:rPr>
        <w:t>（若合同内与以上述</w:t>
      </w:r>
      <w:r>
        <w:rPr>
          <w:rFonts w:hint="eastAsia" w:cs="宋体"/>
          <w:sz w:val="24"/>
          <w:lang w:eastAsia="zh-CN"/>
        </w:rPr>
        <w:t>竞价文件</w:t>
      </w:r>
      <w:r>
        <w:rPr>
          <w:rFonts w:hint="eastAsia" w:cs="宋体"/>
          <w:sz w:val="24"/>
        </w:rPr>
        <w:t>要求出现不一致的，以</w:t>
      </w:r>
      <w:r>
        <w:rPr>
          <w:rFonts w:hint="eastAsia" w:cs="宋体"/>
          <w:sz w:val="24"/>
          <w:lang w:eastAsia="zh-CN"/>
        </w:rPr>
        <w:t>竞价文件</w:t>
      </w:r>
      <w:r>
        <w:rPr>
          <w:rFonts w:hint="eastAsia" w:cs="宋体"/>
          <w:sz w:val="24"/>
        </w:rPr>
        <w:t>要求为准）</w:t>
      </w:r>
    </w:p>
    <w:p w14:paraId="1CF552F2">
      <w:pPr>
        <w:pStyle w:val="23"/>
        <w:spacing w:line="360" w:lineRule="auto"/>
        <w:ind w:firstLine="482" w:firstLineChars="200"/>
        <w:outlineLvl w:val="9"/>
        <w:rPr>
          <w:rFonts w:hAnsi="宋体"/>
          <w:b/>
          <w:sz w:val="24"/>
        </w:rPr>
      </w:pPr>
    </w:p>
    <w:p w14:paraId="3A00C15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szCs w:val="24"/>
        </w:rPr>
      </w:pPr>
      <w:r>
        <w:rPr>
          <w:rStyle w:val="15"/>
          <w:rFonts w:hint="eastAsia" w:asciiTheme="minorEastAsia" w:hAnsiTheme="minorEastAsia" w:eastAsiaTheme="minorEastAsia" w:cstheme="minorEastAsia"/>
          <w:b/>
          <w:bCs/>
          <w:sz w:val="24"/>
        </w:rPr>
        <w:t>1、签订合同应遵守《中华人民共和国民法典》等法律法规。</w:t>
      </w:r>
    </w:p>
    <w:p w14:paraId="7B5DA05F">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szCs w:val="24"/>
        </w:rPr>
      </w:pPr>
      <w:r>
        <w:rPr>
          <w:rStyle w:val="15"/>
          <w:rFonts w:hint="eastAsia" w:asciiTheme="minorEastAsia" w:hAnsiTheme="minorEastAsia" w:eastAsiaTheme="minorEastAsia" w:cstheme="minorEastAsia"/>
          <w:b/>
          <w:bCs/>
          <w:sz w:val="24"/>
        </w:rPr>
        <w:t>2、签订合同时，</w:t>
      </w:r>
      <w:r>
        <w:rPr>
          <w:rStyle w:val="15"/>
          <w:rFonts w:hint="eastAsia" w:asciiTheme="minorEastAsia" w:hAnsiTheme="minorEastAsia" w:eastAsiaTheme="minorEastAsia" w:cstheme="minorEastAsia"/>
          <w:b/>
          <w:bCs/>
          <w:sz w:val="24"/>
          <w:lang w:eastAsia="zh-CN"/>
        </w:rPr>
        <w:t>委托人</w:t>
      </w:r>
      <w:r>
        <w:rPr>
          <w:rStyle w:val="15"/>
          <w:rFonts w:hint="eastAsia" w:asciiTheme="minorEastAsia" w:hAnsiTheme="minorEastAsia" w:eastAsiaTheme="minorEastAsia" w:cstheme="minorEastAsia"/>
          <w:b/>
          <w:bCs/>
          <w:sz w:val="24"/>
        </w:rPr>
        <w:t>与</w:t>
      </w:r>
      <w:r>
        <w:rPr>
          <w:rStyle w:val="15"/>
          <w:rFonts w:hint="eastAsia" w:asciiTheme="minorEastAsia" w:hAnsiTheme="minorEastAsia" w:eastAsiaTheme="minorEastAsia" w:cstheme="minorEastAsia"/>
          <w:b/>
          <w:bCs/>
          <w:sz w:val="24"/>
          <w:lang w:val="en-US" w:eastAsia="zh-CN"/>
        </w:rPr>
        <w:t>成交人</w:t>
      </w:r>
      <w:r>
        <w:rPr>
          <w:rStyle w:val="15"/>
          <w:rFonts w:hint="eastAsia" w:asciiTheme="minorEastAsia" w:hAnsiTheme="minorEastAsia" w:eastAsiaTheme="minorEastAsia" w:cstheme="minorEastAsia"/>
          <w:b/>
          <w:bCs/>
          <w:sz w:val="24"/>
        </w:rPr>
        <w:t>应结合</w:t>
      </w:r>
      <w:r>
        <w:rPr>
          <w:rStyle w:val="15"/>
          <w:rFonts w:hint="eastAsia" w:asciiTheme="minorEastAsia" w:hAnsiTheme="minorEastAsia" w:eastAsiaTheme="minorEastAsia" w:cstheme="minorEastAsia"/>
          <w:b/>
          <w:bCs/>
          <w:sz w:val="24"/>
          <w:lang w:val="en-US" w:eastAsia="zh-CN"/>
        </w:rPr>
        <w:t>竞价文件相关</w:t>
      </w:r>
      <w:r>
        <w:rPr>
          <w:rStyle w:val="15"/>
          <w:rFonts w:hint="eastAsia" w:asciiTheme="minorEastAsia" w:hAnsiTheme="minorEastAsia" w:eastAsiaTheme="minorEastAsia" w:cstheme="minorEastAsia"/>
          <w:b/>
          <w:bCs/>
          <w:sz w:val="24"/>
        </w:rPr>
        <w:t>规定填列相应内容。</w:t>
      </w:r>
      <w:r>
        <w:rPr>
          <w:rStyle w:val="15"/>
          <w:rFonts w:hint="eastAsia" w:asciiTheme="minorEastAsia" w:hAnsiTheme="minorEastAsia" w:eastAsiaTheme="minorEastAsia" w:cstheme="minorEastAsia"/>
          <w:b/>
          <w:bCs/>
          <w:sz w:val="24"/>
          <w:lang w:val="en-US" w:eastAsia="zh-CN"/>
        </w:rPr>
        <w:t>竞价文件</w:t>
      </w:r>
      <w:r>
        <w:rPr>
          <w:rStyle w:val="15"/>
          <w:rFonts w:hint="eastAsia" w:asciiTheme="minorEastAsia" w:hAnsiTheme="minorEastAsia" w:eastAsiaTheme="minorEastAsia" w:cstheme="minorEastAsia"/>
          <w:b/>
          <w:bCs/>
          <w:sz w:val="24"/>
        </w:rPr>
        <w:t>已有规定的，双方均不得变更或调整；</w:t>
      </w:r>
      <w:r>
        <w:rPr>
          <w:rStyle w:val="15"/>
          <w:rFonts w:hint="eastAsia" w:asciiTheme="minorEastAsia" w:hAnsiTheme="minorEastAsia" w:eastAsiaTheme="minorEastAsia" w:cstheme="minorEastAsia"/>
          <w:b/>
          <w:bCs/>
          <w:sz w:val="24"/>
          <w:lang w:val="en-US" w:eastAsia="zh-CN"/>
        </w:rPr>
        <w:t>竞价文件</w:t>
      </w:r>
      <w:r>
        <w:rPr>
          <w:rStyle w:val="15"/>
          <w:rFonts w:hint="eastAsia" w:asciiTheme="minorEastAsia" w:hAnsiTheme="minorEastAsia" w:eastAsiaTheme="minorEastAsia" w:cstheme="minorEastAsia"/>
          <w:b/>
          <w:bCs/>
          <w:sz w:val="24"/>
        </w:rPr>
        <w:t>未作规定的，双方可通过友好协商进行约定。</w:t>
      </w:r>
    </w:p>
    <w:p w14:paraId="238D2D12">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s="宋体"/>
          <w:b/>
          <w:bCs/>
          <w:color w:val="000000"/>
          <w:kern w:val="0"/>
          <w:sz w:val="24"/>
        </w:rPr>
      </w:pPr>
      <w:r>
        <w:rPr>
          <w:rStyle w:val="15"/>
          <w:rFonts w:hint="eastAsia" w:asciiTheme="minorEastAsia" w:hAnsiTheme="minorEastAsia" w:eastAsiaTheme="minorEastAsia" w:cstheme="minorEastAsia"/>
          <w:b/>
          <w:bCs/>
          <w:sz w:val="24"/>
        </w:rPr>
        <w:t>3、</w:t>
      </w:r>
      <w:r>
        <w:rPr>
          <w:rFonts w:hint="eastAsia" w:ascii="宋体" w:hAnsi="宋体" w:eastAsia="宋体" w:cs="宋体"/>
          <w:b/>
          <w:bCs/>
          <w:color w:val="000000"/>
          <w:kern w:val="0"/>
          <w:sz w:val="24"/>
        </w:rPr>
        <w:t>本章节所附的合同主要条款及格式为参考文本，如果因为项目实际特点不能适用，则可由甲乙</w:t>
      </w:r>
      <w:r>
        <w:rPr>
          <w:rFonts w:hint="eastAsia" w:ascii="宋体" w:hAnsi="宋体" w:eastAsia="宋体" w:cs="宋体"/>
          <w:b/>
          <w:bCs/>
          <w:color w:val="000000"/>
          <w:kern w:val="0"/>
          <w:sz w:val="24"/>
          <w:lang w:val="en-US" w:eastAsia="zh-CN"/>
        </w:rPr>
        <w:t>双</w:t>
      </w:r>
      <w:r>
        <w:rPr>
          <w:rFonts w:hint="eastAsia" w:ascii="宋体" w:hAnsi="宋体" w:eastAsia="宋体" w:cs="宋体"/>
          <w:b/>
          <w:bCs/>
          <w:color w:val="000000"/>
          <w:kern w:val="0"/>
          <w:sz w:val="24"/>
        </w:rPr>
        <w:t>方在合同签订阶段可通过友好协商进行约定。</w:t>
      </w:r>
    </w:p>
    <w:p w14:paraId="3B7AE4A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p>
    <w:p w14:paraId="6DCB881B">
      <w:p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br w:type="page"/>
      </w:r>
    </w:p>
    <w:p w14:paraId="29BAE928">
      <w:pPr>
        <w:jc w:val="righ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合同编号：***-**-**-**</w:t>
      </w:r>
    </w:p>
    <w:p w14:paraId="1BAD8C2D">
      <w:pPr>
        <w:rPr>
          <w:rFonts w:hint="eastAsia"/>
          <w:sz w:val="24"/>
          <w:szCs w:val="32"/>
        </w:rPr>
      </w:pPr>
    </w:p>
    <w:p w14:paraId="15AF63D1">
      <w:pPr>
        <w:jc w:val="center"/>
        <w:rPr>
          <w:rFonts w:hint="eastAsia" w:ascii="Calibri Light" w:hAnsi="Calibri Light"/>
          <w:sz w:val="52"/>
          <w:szCs w:val="52"/>
        </w:rPr>
      </w:pPr>
    </w:p>
    <w:p w14:paraId="24394404">
      <w:pPr>
        <w:rPr>
          <w:rFonts w:hint="eastAsia" w:ascii="宋体" w:hAnsi="宋体" w:cs="宋体"/>
          <w:sz w:val="32"/>
          <w:szCs w:val="32"/>
        </w:rPr>
      </w:pPr>
    </w:p>
    <w:p w14:paraId="65606EB9">
      <w:pPr>
        <w:rPr>
          <w:rFonts w:hint="eastAsia" w:ascii="宋体" w:hAnsi="宋体" w:cs="宋体"/>
          <w:sz w:val="36"/>
          <w:szCs w:val="36"/>
        </w:rPr>
      </w:pPr>
    </w:p>
    <w:p w14:paraId="00C435A2">
      <w:pPr>
        <w:jc w:val="center"/>
        <w:outlineLvl w:val="0"/>
        <w:rPr>
          <w:rFonts w:hint="eastAsia" w:ascii="宋体" w:hAnsi="宋体" w:eastAsia="宋体" w:cs="宋体"/>
          <w:b/>
          <w:sz w:val="52"/>
          <w:szCs w:val="52"/>
          <w:lang w:eastAsia="zh-CN"/>
        </w:rPr>
      </w:pPr>
      <w:r>
        <w:rPr>
          <w:rFonts w:hint="eastAsia" w:ascii="宋体" w:hAnsi="宋体" w:cs="宋体"/>
          <w:b/>
          <w:sz w:val="52"/>
          <w:szCs w:val="52"/>
          <w:lang w:val="en-US" w:eastAsia="zh-CN"/>
        </w:rPr>
        <w:t>连城县预防未成年人犯罪警示教育中心（二期设备）采购项目</w:t>
      </w:r>
      <w:r>
        <w:rPr>
          <w:rFonts w:hint="eastAsia" w:ascii="宋体" w:hAnsi="宋体" w:cs="宋体"/>
          <w:b/>
          <w:sz w:val="52"/>
          <w:szCs w:val="52"/>
          <w:lang w:eastAsia="zh-CN"/>
        </w:rPr>
        <w:t>采购合同</w:t>
      </w:r>
    </w:p>
    <w:p w14:paraId="5D535992">
      <w:pPr>
        <w:rPr>
          <w:rFonts w:hint="eastAsia" w:ascii="宋体" w:hAnsi="宋体" w:cs="宋体"/>
          <w:sz w:val="32"/>
          <w:szCs w:val="32"/>
        </w:rPr>
      </w:pPr>
    </w:p>
    <w:p w14:paraId="451F1066">
      <w:pPr>
        <w:rPr>
          <w:rFonts w:hint="eastAsia" w:ascii="宋体" w:hAnsi="宋体" w:cs="宋体"/>
          <w:sz w:val="32"/>
          <w:szCs w:val="32"/>
        </w:rPr>
      </w:pPr>
    </w:p>
    <w:p w14:paraId="239714D8">
      <w:pPr>
        <w:rPr>
          <w:rFonts w:hint="eastAsia" w:ascii="宋体" w:hAnsi="宋体" w:cs="宋体"/>
          <w:sz w:val="32"/>
          <w:szCs w:val="32"/>
        </w:rPr>
      </w:pPr>
    </w:p>
    <w:p w14:paraId="7ABF37CF">
      <w:pPr>
        <w:rPr>
          <w:rFonts w:hint="eastAsia" w:ascii="宋体" w:hAnsi="宋体" w:cs="宋体"/>
          <w:sz w:val="32"/>
          <w:szCs w:val="32"/>
        </w:rPr>
      </w:pPr>
    </w:p>
    <w:p w14:paraId="6A3664E9">
      <w:pPr>
        <w:rPr>
          <w:rFonts w:hint="eastAsia" w:ascii="宋体" w:hAnsi="宋体" w:cs="宋体"/>
          <w:sz w:val="32"/>
          <w:szCs w:val="32"/>
        </w:rPr>
      </w:pPr>
    </w:p>
    <w:p w14:paraId="7DA98E1A">
      <w:pPr>
        <w:rPr>
          <w:rFonts w:hint="eastAsia" w:ascii="宋体" w:hAnsi="宋体" w:cs="宋体"/>
          <w:sz w:val="32"/>
          <w:szCs w:val="32"/>
        </w:rPr>
      </w:pPr>
    </w:p>
    <w:p w14:paraId="4EF0A227">
      <w:pPr>
        <w:rPr>
          <w:rFonts w:hint="eastAsia" w:ascii="宋体" w:hAnsi="宋体" w:eastAsia="宋体" w:cs="宋体"/>
          <w:sz w:val="28"/>
          <w:szCs w:val="28"/>
        </w:rPr>
      </w:pPr>
    </w:p>
    <w:p w14:paraId="1EFF9A22">
      <w:pPr>
        <w:ind w:firstLine="1120" w:firstLineChars="400"/>
        <w:rPr>
          <w:rFonts w:hint="eastAsia" w:ascii="宋体" w:hAnsi="宋体" w:eastAsia="宋体" w:cs="宋体"/>
          <w:sz w:val="28"/>
          <w:szCs w:val="28"/>
        </w:rPr>
      </w:pPr>
    </w:p>
    <w:p w14:paraId="54562C05">
      <w:pPr>
        <w:ind w:firstLine="1120" w:firstLineChars="400"/>
        <w:rPr>
          <w:rFonts w:hint="eastAsia" w:ascii="宋体" w:hAnsi="宋体" w:eastAsia="宋体" w:cs="宋体"/>
          <w:sz w:val="28"/>
          <w:szCs w:val="28"/>
        </w:rPr>
      </w:pPr>
    </w:p>
    <w:p w14:paraId="3625B929">
      <w:pPr>
        <w:ind w:firstLine="1400" w:firstLineChars="500"/>
        <w:rPr>
          <w:rFonts w:hint="eastAsia" w:ascii="宋体" w:hAnsi="宋体" w:eastAsia="宋体" w:cs="宋体"/>
          <w:sz w:val="28"/>
          <w:szCs w:val="28"/>
          <w:lang w:eastAsia="zh-CN"/>
        </w:rPr>
      </w:pPr>
      <w:r>
        <w:rPr>
          <w:rFonts w:hint="eastAsia" w:ascii="宋体" w:hAnsi="宋体" w:eastAsia="宋体" w:cs="宋体"/>
          <w:sz w:val="28"/>
          <w:szCs w:val="28"/>
        </w:rPr>
        <w:t>甲方：</w:t>
      </w:r>
    </w:p>
    <w:p w14:paraId="17D9E449">
      <w:pPr>
        <w:ind w:firstLine="1400" w:firstLineChars="500"/>
        <w:rPr>
          <w:rFonts w:hint="eastAsia" w:ascii="宋体" w:hAnsi="宋体" w:eastAsia="宋体" w:cs="宋体"/>
          <w:bCs/>
          <w:kern w:val="0"/>
          <w:sz w:val="28"/>
          <w:szCs w:val="28"/>
          <w:u w:val="none"/>
          <w:lang w:eastAsia="zh-CN"/>
        </w:rPr>
      </w:pPr>
      <w:r>
        <w:rPr>
          <w:rFonts w:hint="eastAsia" w:ascii="宋体" w:hAnsi="宋体" w:eastAsia="宋体" w:cs="宋体"/>
          <w:sz w:val="28"/>
          <w:szCs w:val="28"/>
        </w:rPr>
        <w:t>乙方：</w:t>
      </w:r>
    </w:p>
    <w:p w14:paraId="5FC6A2B5">
      <w:pPr>
        <w:ind w:firstLine="1400" w:firstLineChars="500"/>
        <w:rPr>
          <w:rFonts w:hint="default" w:ascii="宋体" w:hAnsi="宋体" w:eastAsia="宋体" w:cs="宋体"/>
          <w:bCs/>
          <w:kern w:val="0"/>
          <w:sz w:val="28"/>
          <w:szCs w:val="28"/>
          <w:u w:val="none"/>
          <w:lang w:val="en-US" w:eastAsia="zh-CN"/>
        </w:rPr>
      </w:pPr>
      <w:r>
        <w:rPr>
          <w:rFonts w:hint="eastAsia" w:ascii="宋体" w:hAnsi="宋体" w:eastAsia="宋体" w:cs="宋体"/>
          <w:bCs/>
          <w:kern w:val="0"/>
          <w:sz w:val="28"/>
          <w:szCs w:val="28"/>
          <w:u w:val="none"/>
          <w:lang w:val="en-US" w:eastAsia="zh-CN"/>
        </w:rPr>
        <w:t>日期：</w:t>
      </w:r>
    </w:p>
    <w:p w14:paraId="1EC5013F">
      <w:pPr>
        <w:widowControl/>
        <w:spacing w:before="75" w:after="75"/>
        <w:jc w:val="left"/>
        <w:rPr>
          <w:rFonts w:hint="eastAsia" w:ascii="宋体" w:hAnsi="宋体" w:eastAsia="宋体" w:cs="宋体"/>
          <w:kern w:val="0"/>
          <w:sz w:val="24"/>
          <w:szCs w:val="24"/>
          <w:lang w:eastAsia="zh-CN"/>
        </w:rPr>
      </w:pPr>
      <w:r>
        <w:rPr>
          <w:rFonts w:ascii="宋体" w:hAnsi="宋体" w:eastAsia="宋体" w:cs="宋体"/>
          <w:kern w:val="0"/>
          <w:sz w:val="24"/>
          <w:szCs w:val="24"/>
        </w:rPr>
        <w:br w:type="page"/>
      </w:r>
      <w:r>
        <w:rPr>
          <w:rFonts w:ascii="宋体" w:hAnsi="宋体" w:eastAsia="宋体" w:cs="宋体"/>
          <w:kern w:val="0"/>
          <w:sz w:val="24"/>
          <w:szCs w:val="24"/>
        </w:rPr>
        <w:t>甲方：</w:t>
      </w:r>
    </w:p>
    <w:p w14:paraId="2489F076">
      <w:pPr>
        <w:widowControl/>
        <w:spacing w:before="75" w:after="75"/>
        <w:jc w:val="left"/>
        <w:rPr>
          <w:rFonts w:hint="eastAsia" w:ascii="宋体" w:hAnsi="宋体" w:eastAsia="宋体" w:cs="宋体"/>
          <w:kern w:val="0"/>
          <w:sz w:val="24"/>
          <w:szCs w:val="24"/>
          <w:lang w:eastAsia="zh-CN"/>
        </w:rPr>
      </w:pPr>
      <w:r>
        <w:rPr>
          <w:rFonts w:ascii="宋体" w:hAnsi="宋体" w:eastAsia="宋体" w:cs="宋体"/>
          <w:kern w:val="0"/>
          <w:sz w:val="24"/>
          <w:szCs w:val="24"/>
        </w:rPr>
        <w:t>乙方：</w:t>
      </w:r>
    </w:p>
    <w:p w14:paraId="37C3D38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2AB3ACA7">
      <w:pPr>
        <w:widowControl/>
        <w:spacing w:before="75" w:after="75"/>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依据《中华人民共和国民法典》、《中华人民共和国政府采购法》等有关的法律法规，以及本</w:t>
      </w:r>
      <w:r>
        <w:rPr>
          <w:rFonts w:hint="eastAsia" w:ascii="宋体" w:hAnsi="宋体" w:cs="宋体"/>
          <w:kern w:val="0"/>
          <w:sz w:val="24"/>
          <w:szCs w:val="24"/>
          <w:lang w:val="en-US" w:eastAsia="zh-CN"/>
        </w:rPr>
        <w:t>竞价</w:t>
      </w:r>
      <w:r>
        <w:rPr>
          <w:rFonts w:hint="eastAsia" w:ascii="宋体" w:hAnsi="宋体" w:eastAsia="宋体" w:cs="宋体"/>
          <w:kern w:val="0"/>
          <w:sz w:val="24"/>
          <w:szCs w:val="24"/>
        </w:rPr>
        <w:t>项目的</w:t>
      </w:r>
      <w:r>
        <w:rPr>
          <w:rFonts w:hint="eastAsia" w:ascii="宋体" w:hAnsi="宋体" w:cs="宋体"/>
          <w:kern w:val="0"/>
          <w:sz w:val="24"/>
          <w:szCs w:val="24"/>
          <w:lang w:val="en-US" w:eastAsia="zh-CN"/>
        </w:rPr>
        <w:t>竞价文件</w:t>
      </w:r>
      <w:r>
        <w:rPr>
          <w:rFonts w:hint="eastAsia" w:ascii="宋体" w:hAnsi="宋体" w:eastAsia="宋体" w:cs="宋体"/>
          <w:kern w:val="0"/>
          <w:sz w:val="24"/>
          <w:szCs w:val="24"/>
        </w:rPr>
        <w:t>等、乙方的《</w:t>
      </w:r>
      <w:r>
        <w:rPr>
          <w:rFonts w:hint="eastAsia" w:ascii="宋体" w:hAnsi="宋体" w:cs="宋体"/>
          <w:kern w:val="0"/>
          <w:sz w:val="24"/>
          <w:szCs w:val="24"/>
          <w:lang w:val="en-US" w:eastAsia="zh-CN"/>
        </w:rPr>
        <w:t>竞价</w:t>
      </w:r>
      <w:r>
        <w:rPr>
          <w:rFonts w:hint="eastAsia" w:ascii="宋体" w:hAnsi="宋体" w:eastAsia="宋体" w:cs="宋体"/>
          <w:kern w:val="0"/>
          <w:sz w:val="24"/>
          <w:szCs w:val="24"/>
        </w:rPr>
        <w:t>（响应）文件》及《中标（成交）通知书》，甲乙双方同意签订本合同。</w:t>
      </w:r>
    </w:p>
    <w:p w14:paraId="1A03C8D2">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1、下列合同文件是构成本合同不可分割的部分：</w:t>
      </w:r>
    </w:p>
    <w:p w14:paraId="35A53625">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1.1合同条款；</w:t>
      </w:r>
    </w:p>
    <w:p w14:paraId="1E6F817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w:t>
      </w:r>
      <w:r>
        <w:rPr>
          <w:rFonts w:hint="eastAsia" w:ascii="宋体" w:hAnsi="宋体" w:eastAsia="宋体" w:cs="宋体"/>
          <w:kern w:val="0"/>
          <w:sz w:val="24"/>
          <w:szCs w:val="24"/>
        </w:rPr>
        <w:t>附件清单</w:t>
      </w:r>
      <w:r>
        <w:rPr>
          <w:rFonts w:ascii="宋体" w:hAnsi="宋体" w:eastAsia="宋体" w:cs="宋体"/>
          <w:kern w:val="0"/>
          <w:sz w:val="24"/>
          <w:szCs w:val="24"/>
        </w:rPr>
        <w:t>；</w:t>
      </w:r>
    </w:p>
    <w:p w14:paraId="5F10E00B">
      <w:pPr>
        <w:widowControl/>
        <w:numPr>
          <w:ilvl w:val="0"/>
          <w:numId w:val="2"/>
        </w:numPr>
        <w:spacing w:before="75" w:after="75"/>
        <w:jc w:val="left"/>
        <w:rPr>
          <w:rFonts w:ascii="宋体" w:hAnsi="宋体" w:eastAsia="宋体" w:cs="宋体"/>
          <w:kern w:val="0"/>
          <w:sz w:val="24"/>
          <w:szCs w:val="24"/>
        </w:rPr>
      </w:pPr>
      <w:r>
        <w:rPr>
          <w:rFonts w:ascii="宋体" w:hAnsi="宋体" w:eastAsia="宋体" w:cs="宋体"/>
          <w:kern w:val="0"/>
          <w:sz w:val="24"/>
          <w:szCs w:val="24"/>
        </w:rPr>
        <w:t>合同标的</w:t>
      </w:r>
    </w:p>
    <w:tbl>
      <w:tblPr>
        <w:tblStyle w:val="13"/>
        <w:tblW w:w="10248" w:type="dxa"/>
        <w:tblInd w:w="-553" w:type="dxa"/>
        <w:tblLayout w:type="fixed"/>
        <w:tblCellMar>
          <w:top w:w="0" w:type="dxa"/>
          <w:left w:w="0" w:type="dxa"/>
          <w:bottom w:w="0" w:type="dxa"/>
          <w:right w:w="0" w:type="dxa"/>
        </w:tblCellMar>
      </w:tblPr>
      <w:tblGrid>
        <w:gridCol w:w="663"/>
        <w:gridCol w:w="3790"/>
        <w:gridCol w:w="1121"/>
        <w:gridCol w:w="995"/>
        <w:gridCol w:w="1089"/>
        <w:gridCol w:w="1358"/>
        <w:gridCol w:w="1232"/>
      </w:tblGrid>
      <w:tr w14:paraId="7C546C54">
        <w:tblPrEx>
          <w:tblCellMar>
            <w:top w:w="0" w:type="dxa"/>
            <w:left w:w="0" w:type="dxa"/>
            <w:bottom w:w="0" w:type="dxa"/>
            <w:right w:w="0" w:type="dxa"/>
          </w:tblCellMar>
        </w:tblPrEx>
        <w:trPr>
          <w:trHeight w:val="454" w:hRule="exact"/>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C6B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3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C1A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 名 称</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25F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71D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970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w:t>
            </w:r>
            <w:r>
              <w:rPr>
                <w:rFonts w:hint="eastAsia" w:ascii="宋体" w:hAnsi="宋体" w:cs="宋体"/>
                <w:b/>
                <w:i w:val="0"/>
                <w:color w:val="000000"/>
                <w:kern w:val="0"/>
                <w:sz w:val="22"/>
                <w:szCs w:val="22"/>
                <w:u w:val="none"/>
                <w:lang w:val="en-US" w:eastAsia="zh-CN" w:bidi="ar"/>
              </w:rPr>
              <w:t xml:space="preserve">  </w:t>
            </w:r>
            <w:r>
              <w:rPr>
                <w:rFonts w:hint="eastAsia" w:ascii="宋体" w:hAnsi="宋体" w:eastAsia="宋体" w:cs="宋体"/>
                <w:b/>
                <w:i w:val="0"/>
                <w:color w:val="000000"/>
                <w:kern w:val="0"/>
                <w:sz w:val="22"/>
                <w:szCs w:val="22"/>
                <w:u w:val="none"/>
                <w:lang w:val="en-US" w:eastAsia="zh-CN" w:bidi="ar"/>
              </w:rPr>
              <w:t>价</w:t>
            </w:r>
          </w:p>
        </w:tc>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C09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w:t>
            </w:r>
            <w:r>
              <w:rPr>
                <w:rFonts w:hint="eastAsia" w:ascii="宋体" w:hAnsi="宋体" w:cs="宋体"/>
                <w:b/>
                <w:i w:val="0"/>
                <w:color w:val="000000"/>
                <w:kern w:val="0"/>
                <w:sz w:val="22"/>
                <w:szCs w:val="22"/>
                <w:u w:val="none"/>
                <w:lang w:val="en-US" w:eastAsia="zh-CN" w:bidi="ar"/>
              </w:rPr>
              <w:t xml:space="preserve">  </w:t>
            </w:r>
            <w:r>
              <w:rPr>
                <w:rFonts w:hint="eastAsia" w:ascii="宋体" w:hAnsi="宋体" w:eastAsia="宋体" w:cs="宋体"/>
                <w:b/>
                <w:i w:val="0"/>
                <w:color w:val="000000"/>
                <w:kern w:val="0"/>
                <w:sz w:val="22"/>
                <w:szCs w:val="22"/>
                <w:u w:val="none"/>
                <w:lang w:val="en-US" w:eastAsia="zh-CN" w:bidi="ar"/>
              </w:rPr>
              <w:t>价</w:t>
            </w: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D7843">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备注</w:t>
            </w:r>
          </w:p>
        </w:tc>
      </w:tr>
      <w:tr w14:paraId="34747B0A">
        <w:tblPrEx>
          <w:tblCellMar>
            <w:top w:w="0" w:type="dxa"/>
            <w:left w:w="0" w:type="dxa"/>
            <w:bottom w:w="0" w:type="dxa"/>
            <w:right w:w="0" w:type="dxa"/>
          </w:tblCellMar>
        </w:tblPrEx>
        <w:trPr>
          <w:trHeight w:val="686" w:hRule="exact"/>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83A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4B4E8">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XXX项目</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342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EC1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835E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B245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69494">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详见附件清单</w:t>
            </w:r>
          </w:p>
        </w:tc>
      </w:tr>
      <w:tr w14:paraId="42B0B029">
        <w:tblPrEx>
          <w:tblCellMar>
            <w:top w:w="0" w:type="dxa"/>
            <w:left w:w="0" w:type="dxa"/>
            <w:bottom w:w="0" w:type="dxa"/>
            <w:right w:w="0" w:type="dxa"/>
          </w:tblCellMar>
        </w:tblPrEx>
        <w:trPr>
          <w:trHeight w:val="454" w:hRule="exact"/>
        </w:trPr>
        <w:tc>
          <w:tcPr>
            <w:tcW w:w="1024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C16C5">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报价金额： 大写：</w:t>
            </w:r>
          </w:p>
        </w:tc>
      </w:tr>
    </w:tbl>
    <w:p w14:paraId="7B4CD871">
      <w:pPr>
        <w:widowControl/>
        <w:spacing w:before="75" w:after="75"/>
        <w:jc w:val="left"/>
        <w:rPr>
          <w:rFonts w:ascii="宋体" w:hAnsi="宋体" w:eastAsia="宋体" w:cs="宋体"/>
          <w:kern w:val="0"/>
          <w:sz w:val="24"/>
          <w:szCs w:val="24"/>
        </w:rPr>
      </w:pPr>
    </w:p>
    <w:p w14:paraId="0DE971B1">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3、合同总金额</w:t>
      </w:r>
    </w:p>
    <w:p w14:paraId="1CF70241">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3.1合同总金额为人民币大写：</w:t>
      </w:r>
      <w:r>
        <w:rPr>
          <w:rFonts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u w:val="single"/>
        </w:rPr>
        <w:t> </w:t>
      </w:r>
      <w:r>
        <w:rPr>
          <w:rFonts w:ascii="宋体" w:hAnsi="宋体" w:eastAsia="宋体" w:cs="宋体"/>
          <w:kern w:val="0"/>
          <w:sz w:val="24"/>
          <w:szCs w:val="24"/>
        </w:rPr>
        <w:t>元（</w:t>
      </w:r>
      <w:r>
        <w:rPr>
          <w:rFonts w:ascii="宋体" w:hAnsi="宋体" w:eastAsia="宋体" w:cs="宋体"/>
          <w:b/>
          <w:bCs/>
          <w:kern w:val="0"/>
          <w:sz w:val="24"/>
          <w:szCs w:val="24"/>
        </w:rPr>
        <w:t>￥</w:t>
      </w:r>
      <w:r>
        <w:rPr>
          <w:rFonts w:hint="eastAsia" w:ascii="宋体" w:hAnsi="宋体" w:eastAsia="宋体" w:cs="宋体"/>
          <w:b/>
          <w:bCs/>
          <w:kern w:val="0"/>
          <w:sz w:val="24"/>
          <w:szCs w:val="24"/>
          <w:u w:val="single"/>
          <w:lang w:val="en-US" w:eastAsia="zh-CN"/>
        </w:rPr>
        <w:t xml:space="preserve"> </w:t>
      </w:r>
      <w:r>
        <w:rPr>
          <w:rFonts w:ascii="宋体" w:hAnsi="宋体" w:eastAsia="宋体" w:cs="宋体"/>
          <w:kern w:val="0"/>
          <w:sz w:val="24"/>
          <w:szCs w:val="24"/>
        </w:rPr>
        <w:t>）。</w:t>
      </w:r>
    </w:p>
    <w:p w14:paraId="6E25A773">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4、合同标的交付时间、地点和条件</w:t>
      </w:r>
    </w:p>
    <w:p w14:paraId="0C78DEE0">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4.1交付时间：</w:t>
      </w:r>
      <w:r>
        <w:rPr>
          <w:rFonts w:ascii="宋体" w:hAnsi="宋体" w:eastAsia="宋体" w:cs="宋体"/>
          <w:kern w:val="0"/>
          <w:sz w:val="24"/>
          <w:szCs w:val="24"/>
          <w:u w:val="single"/>
        </w:rPr>
        <w:t> 自合同签订之日起</w:t>
      </w:r>
      <w:r>
        <w:rPr>
          <w:rFonts w:hint="eastAsia" w:ascii="宋体" w:hAnsi="宋体" w:eastAsia="宋体" w:cs="宋体"/>
          <w:kern w:val="0"/>
          <w:sz w:val="24"/>
          <w:szCs w:val="24"/>
          <w:u w:val="single"/>
          <w:lang w:val="en-US" w:eastAsia="zh-CN"/>
        </w:rPr>
        <w:t>3</w:t>
      </w:r>
      <w:r>
        <w:rPr>
          <w:rFonts w:ascii="宋体" w:hAnsi="宋体" w:eastAsia="宋体" w:cs="宋体"/>
          <w:kern w:val="0"/>
          <w:sz w:val="24"/>
          <w:szCs w:val="24"/>
          <w:u w:val="single"/>
        </w:rPr>
        <w:t>0日</w:t>
      </w:r>
      <w:r>
        <w:rPr>
          <w:rFonts w:hint="eastAsia" w:ascii="宋体" w:hAnsi="宋体" w:eastAsia="宋体" w:cs="宋体"/>
          <w:kern w:val="0"/>
          <w:sz w:val="24"/>
          <w:szCs w:val="24"/>
          <w:u w:val="single"/>
          <w:lang w:eastAsia="zh-CN"/>
        </w:rPr>
        <w:t>内</w:t>
      </w:r>
      <w:r>
        <w:rPr>
          <w:rFonts w:ascii="宋体" w:hAnsi="宋体" w:eastAsia="宋体" w:cs="宋体"/>
          <w:kern w:val="0"/>
          <w:sz w:val="24"/>
          <w:szCs w:val="24"/>
          <w:u w:val="single"/>
        </w:rPr>
        <w:t> </w:t>
      </w:r>
      <w:r>
        <w:rPr>
          <w:rFonts w:ascii="宋体" w:hAnsi="宋体" w:eastAsia="宋体" w:cs="宋体"/>
          <w:kern w:val="0"/>
          <w:sz w:val="24"/>
          <w:szCs w:val="24"/>
        </w:rPr>
        <w:t>；</w:t>
      </w:r>
    </w:p>
    <w:p w14:paraId="3CCE45EF">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4.2交付地点：</w:t>
      </w:r>
      <w:r>
        <w:rPr>
          <w:rFonts w:ascii="宋体" w:hAnsi="宋体" w:eastAsia="宋体" w:cs="宋体"/>
          <w:kern w:val="0"/>
          <w:sz w:val="24"/>
          <w:szCs w:val="24"/>
          <w:u w:val="single"/>
        </w:rPr>
        <w:t> </w:t>
      </w:r>
      <w:r>
        <w:rPr>
          <w:rFonts w:hint="eastAsia" w:ascii="宋体" w:hAnsi="宋体" w:eastAsia="宋体" w:cs="宋体"/>
          <w:kern w:val="0"/>
          <w:sz w:val="24"/>
          <w:szCs w:val="24"/>
          <w:u w:val="single"/>
          <w:lang w:eastAsia="zh-CN"/>
        </w:rPr>
        <w:t>甲方指定地点</w:t>
      </w:r>
      <w:r>
        <w:rPr>
          <w:rFonts w:ascii="宋体" w:hAnsi="宋体" w:eastAsia="宋体" w:cs="宋体"/>
          <w:kern w:val="0"/>
          <w:sz w:val="24"/>
          <w:szCs w:val="24"/>
          <w:u w:val="single"/>
        </w:rPr>
        <w:t> </w:t>
      </w:r>
      <w:r>
        <w:rPr>
          <w:rFonts w:ascii="宋体" w:hAnsi="宋体" w:eastAsia="宋体" w:cs="宋体"/>
          <w:kern w:val="0"/>
          <w:sz w:val="24"/>
          <w:szCs w:val="24"/>
        </w:rPr>
        <w:t>；</w:t>
      </w:r>
    </w:p>
    <w:p w14:paraId="3E4F6B5A">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4.3交付条件：</w:t>
      </w:r>
      <w:r>
        <w:rPr>
          <w:rFonts w:ascii="宋体" w:hAnsi="宋体" w:eastAsia="宋体" w:cs="宋体"/>
          <w:kern w:val="0"/>
          <w:sz w:val="24"/>
          <w:szCs w:val="24"/>
          <w:u w:val="single"/>
        </w:rPr>
        <w:t> 安装调试并验收合格交付使用 </w:t>
      </w:r>
      <w:r>
        <w:rPr>
          <w:rFonts w:ascii="宋体" w:hAnsi="宋体" w:eastAsia="宋体" w:cs="宋体"/>
          <w:kern w:val="0"/>
          <w:sz w:val="24"/>
          <w:szCs w:val="24"/>
        </w:rPr>
        <w:t>。</w:t>
      </w:r>
    </w:p>
    <w:p w14:paraId="4E4A985E">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5、合同标的应符合</w:t>
      </w:r>
      <w:r>
        <w:rPr>
          <w:rFonts w:hint="eastAsia" w:ascii="宋体" w:hAnsi="宋体" w:cs="宋体"/>
          <w:kern w:val="0"/>
          <w:sz w:val="24"/>
          <w:szCs w:val="24"/>
          <w:lang w:val="en-US" w:eastAsia="zh-CN"/>
        </w:rPr>
        <w:t>竞价</w:t>
      </w:r>
      <w:r>
        <w:rPr>
          <w:rFonts w:ascii="宋体" w:hAnsi="宋体" w:eastAsia="宋体" w:cs="宋体"/>
          <w:kern w:val="0"/>
          <w:sz w:val="24"/>
          <w:szCs w:val="24"/>
        </w:rPr>
        <w:t>文件、乙方</w:t>
      </w:r>
      <w:r>
        <w:rPr>
          <w:rFonts w:hint="eastAsia" w:ascii="宋体" w:hAnsi="宋体" w:cs="宋体"/>
          <w:kern w:val="0"/>
          <w:sz w:val="24"/>
          <w:szCs w:val="24"/>
          <w:lang w:val="en-US" w:eastAsia="zh-CN"/>
        </w:rPr>
        <w:t>响应</w:t>
      </w:r>
      <w:r>
        <w:rPr>
          <w:rFonts w:ascii="宋体" w:hAnsi="宋体" w:eastAsia="宋体" w:cs="宋体"/>
          <w:kern w:val="0"/>
          <w:sz w:val="24"/>
          <w:szCs w:val="24"/>
        </w:rPr>
        <w:t>文件的规定或约定，具体如下：</w:t>
      </w:r>
    </w:p>
    <w:p w14:paraId="3BBFDC28">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.1货物必须达到以上招标文件要求的技术指标，实现</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要求，保证货物的正常运行。</w:t>
      </w:r>
    </w:p>
    <w:p w14:paraId="583CD745">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.2</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应负责按所签订合同的具体要求、具体数量、具体地点将货物运送到</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指 定地点并负责安装，安装并经最终验收合格后，交付</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使用，</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在投标中详细列明所需各项费用。安装、调试所需工具、仪表及安装材料等均由</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负责提供。</w:t>
      </w:r>
    </w:p>
    <w:p w14:paraId="6DC2531C">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.3</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负责组织专业技术人员进行货物安装，</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应提供必须的基本条件和专人配合，保证各项安装工作顺利进行。</w:t>
      </w:r>
    </w:p>
    <w:p w14:paraId="0C9CB8A1">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.4安装到位后的货物由</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及</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共同进行质量验收签字。</w:t>
      </w:r>
    </w:p>
    <w:p w14:paraId="6FAA1397">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.5货物验收前，</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须提供完整的技术资料(包括产品中文说明书、中文</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手册、出厂明细表或装箱单、制造厂质量合格证书及其他相关文件资料)。</w:t>
      </w:r>
    </w:p>
    <w:p w14:paraId="069DE6E0">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.6</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向</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提供安装和维护所需特殊专用的工具、备件及清单和中文说明书，其费用包括在投标价格内。</w:t>
      </w:r>
    </w:p>
    <w:p w14:paraId="3DE78370">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.7</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在</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安装现场进行最终验收所发生的一切费用由</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承担。</w:t>
      </w:r>
    </w:p>
    <w:p w14:paraId="717CF463">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.8</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应提供货物使用免费培训和技术服务。</w:t>
      </w:r>
    </w:p>
    <w:p w14:paraId="44F1FCE6">
      <w:pPr>
        <w:widowControl/>
        <w:spacing w:before="75" w:after="75"/>
        <w:jc w:val="left"/>
        <w:rPr>
          <w:rFonts w:ascii="宋体" w:hAnsi="宋体" w:eastAsia="宋体" w:cs="宋体"/>
          <w:kern w:val="0"/>
          <w:sz w:val="24"/>
          <w:szCs w:val="24"/>
          <w:u w:val="none"/>
        </w:rPr>
      </w:pPr>
      <w:r>
        <w:rPr>
          <w:rFonts w:ascii="宋体" w:hAnsi="宋体" w:eastAsia="宋体" w:cs="宋体"/>
          <w:kern w:val="0"/>
          <w:sz w:val="24"/>
          <w:szCs w:val="24"/>
          <w:u w:val="none"/>
        </w:rPr>
        <w:t>6、验收</w:t>
      </w:r>
    </w:p>
    <w:p w14:paraId="732D5A76">
      <w:pPr>
        <w:widowControl/>
        <w:spacing w:before="75" w:after="75"/>
        <w:jc w:val="left"/>
        <w:rPr>
          <w:rFonts w:ascii="宋体" w:hAnsi="宋体" w:eastAsia="宋体" w:cs="宋体"/>
          <w:kern w:val="0"/>
          <w:sz w:val="24"/>
          <w:szCs w:val="24"/>
          <w:u w:val="none"/>
        </w:rPr>
      </w:pPr>
      <w:r>
        <w:rPr>
          <w:rFonts w:ascii="宋体" w:hAnsi="宋体" w:eastAsia="宋体" w:cs="宋体"/>
          <w:kern w:val="0"/>
          <w:sz w:val="24"/>
          <w:szCs w:val="24"/>
          <w:u w:val="none"/>
        </w:rPr>
        <w:t>6.1验收应按照招标文件、乙方投标文件的规定或约定进行，具体如下：</w:t>
      </w:r>
    </w:p>
    <w:p w14:paraId="2CEF7652">
      <w:pPr>
        <w:widowControl/>
        <w:spacing w:before="75" w:after="75"/>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6.1.1</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所提供的设备必须是制造厂家生产的崭新的未开箱的原包装设备。所有设备按厂家设备验收标准（符合国家或行业或地方标准）、竞价文件等有关内容进行验收。</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提供设备的制造标准及技术规范等有关资料必须符合中国相应有关标准、规范要求。产品质量达到设计要求，安装调试各项指标符合验收标准要求。</w:t>
      </w:r>
    </w:p>
    <w:p w14:paraId="2C523013">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6.1.2</w:t>
      </w:r>
      <w:r>
        <w:rPr>
          <w:rFonts w:hint="eastAsia" w:ascii="宋体" w:hAnsi="宋体" w:eastAsia="宋体" w:cs="宋体"/>
          <w:kern w:val="0"/>
          <w:sz w:val="24"/>
          <w:szCs w:val="24"/>
        </w:rPr>
        <w:t>验收程序和方法</w:t>
      </w:r>
    </w:p>
    <w:p w14:paraId="52E065F1">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6.1.2.1</w:t>
      </w:r>
      <w:r>
        <w:rPr>
          <w:rFonts w:hint="eastAsia" w:ascii="宋体" w:hAnsi="宋体" w:eastAsia="宋体" w:cs="宋体"/>
          <w:kern w:val="0"/>
          <w:sz w:val="24"/>
          <w:szCs w:val="24"/>
        </w:rPr>
        <w:t>出厂检验</w:t>
      </w:r>
    </w:p>
    <w:p w14:paraId="049CCC36">
      <w:pPr>
        <w:widowControl/>
        <w:spacing w:before="75" w:after="75"/>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在设备出厂前，应按设备技术标准规定的检验项目和检验方法进行全面检验，</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应随同货物出厂检验报告、质量合格证书、相关产品资料和文件等。</w:t>
      </w:r>
    </w:p>
    <w:p w14:paraId="281FF1ED">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6.1.2.2</w:t>
      </w:r>
      <w:r>
        <w:rPr>
          <w:rFonts w:hint="eastAsia" w:ascii="宋体" w:hAnsi="宋体" w:eastAsia="宋体" w:cs="宋体"/>
          <w:kern w:val="0"/>
          <w:sz w:val="24"/>
          <w:szCs w:val="24"/>
        </w:rPr>
        <w:t> </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自检</w:t>
      </w:r>
    </w:p>
    <w:p w14:paraId="1E8FB305">
      <w:pPr>
        <w:widowControl/>
        <w:spacing w:before="75" w:after="75"/>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设备安装完毕后，</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应对设备的整体性能和功能进行测试，试运行期间，出现的任何问题，应由</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及时处理修正。测试结果必须符合竞价文件要求及合同中的相关条款。6.1.2.</w:t>
      </w:r>
      <w:r>
        <w:rPr>
          <w:rFonts w:hint="eastAsia" w:ascii="宋体" w:hAnsi="宋体" w:eastAsia="宋体" w:cs="宋体"/>
          <w:kern w:val="0"/>
          <w:sz w:val="24"/>
          <w:szCs w:val="24"/>
        </w:rPr>
        <w:t>3 最终验收</w:t>
      </w:r>
    </w:p>
    <w:p w14:paraId="32B3991F">
      <w:pPr>
        <w:widowControl/>
        <w:spacing w:before="75" w:after="75"/>
        <w:ind w:firstLine="48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由</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向</w:t>
      </w:r>
      <w:r>
        <w:rPr>
          <w:rFonts w:hint="eastAsia" w:ascii="宋体" w:hAnsi="宋体" w:cs="宋体"/>
          <w:kern w:val="0"/>
          <w:sz w:val="24"/>
          <w:szCs w:val="24"/>
          <w:lang w:val="en-US" w:eastAsia="zh-CN"/>
        </w:rPr>
        <w:t>甲方</w:t>
      </w:r>
      <w:r>
        <w:rPr>
          <w:rFonts w:hint="eastAsia" w:ascii="宋体" w:hAnsi="宋体" w:eastAsia="宋体" w:cs="宋体"/>
          <w:kern w:val="0"/>
          <w:sz w:val="24"/>
          <w:szCs w:val="24"/>
          <w:lang w:val="en-US" w:eastAsia="zh-CN"/>
        </w:rPr>
        <w:t>发出验收申请，并由</w:t>
      </w:r>
      <w:r>
        <w:rPr>
          <w:rFonts w:hint="eastAsia" w:ascii="宋体" w:hAnsi="宋体" w:cs="宋体"/>
          <w:kern w:val="0"/>
          <w:sz w:val="24"/>
          <w:szCs w:val="24"/>
          <w:lang w:val="en-US" w:eastAsia="zh-CN"/>
        </w:rPr>
        <w:t>甲方</w:t>
      </w:r>
      <w:r>
        <w:rPr>
          <w:rFonts w:hint="eastAsia" w:ascii="宋体" w:hAnsi="宋体" w:eastAsia="宋体" w:cs="宋体"/>
          <w:kern w:val="0"/>
          <w:sz w:val="24"/>
          <w:szCs w:val="24"/>
          <w:lang w:val="en-US" w:eastAsia="zh-CN"/>
        </w:rPr>
        <w:t>组织人员根据合同规定和相关的国家标准对项目的实施结果进行验收，并对有异议和疑义项提出书面说明，如果无异议双方签署《验收合格报告》。在此期间，若发现产品质量有问题</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应无条件免费更换，并无条件重新检测且调试直至验收合格交付使用。</w:t>
      </w:r>
    </w:p>
    <w:p w14:paraId="3344663E">
      <w:pPr>
        <w:widowControl/>
        <w:spacing w:before="75" w:after="75"/>
        <w:ind w:firstLine="48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本项目的安装调试维护期1年，设备质保期2年。（其中，场地符合安装条件后进行设备安装，安装调试维护期1年</w:t>
      </w:r>
    </w:p>
    <w:p w14:paraId="2251E223">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6.2本项目是否邀请其他</w:t>
      </w:r>
      <w:r>
        <w:rPr>
          <w:rFonts w:hint="eastAsia" w:ascii="宋体" w:hAnsi="宋体" w:eastAsia="宋体" w:cs="宋体"/>
          <w:kern w:val="0"/>
          <w:sz w:val="24"/>
          <w:szCs w:val="24"/>
          <w:lang w:eastAsia="zh-CN"/>
        </w:rPr>
        <w:t>乙方</w:t>
      </w:r>
      <w:r>
        <w:rPr>
          <w:rFonts w:ascii="宋体" w:hAnsi="宋体" w:eastAsia="宋体" w:cs="宋体"/>
          <w:kern w:val="0"/>
          <w:sz w:val="24"/>
          <w:szCs w:val="24"/>
        </w:rPr>
        <w:t>参与验收：</w:t>
      </w:r>
    </w:p>
    <w:p w14:paraId="06F4E641">
      <w:pPr>
        <w:widowControl/>
        <w:spacing w:before="75" w:after="75"/>
        <w:ind w:firstLine="480"/>
        <w:jc w:val="left"/>
        <w:rPr>
          <w:rFonts w:hint="eastAsia" w:ascii="宋体" w:hAnsi="宋体" w:eastAsia="宋体" w:cs="宋体"/>
          <w:kern w:val="0"/>
          <w:sz w:val="24"/>
          <w:szCs w:val="24"/>
          <w:lang w:eastAsia="zh-CN"/>
        </w:rPr>
      </w:pPr>
      <w:r>
        <w:rPr>
          <w:rFonts w:ascii="宋体" w:hAnsi="宋体" w:eastAsia="宋体" w:cs="宋体"/>
          <w:kern w:val="0"/>
          <w:sz w:val="24"/>
          <w:szCs w:val="24"/>
        </w:rPr>
        <w:sym w:font="Wingdings 2" w:char="0052"/>
      </w:r>
      <w:r>
        <w:rPr>
          <w:rFonts w:ascii="宋体" w:hAnsi="宋体" w:eastAsia="宋体" w:cs="宋体"/>
          <w:kern w:val="0"/>
          <w:sz w:val="24"/>
          <w:szCs w:val="24"/>
        </w:rPr>
        <w:t>不邀请。□邀请</w:t>
      </w:r>
      <w:r>
        <w:rPr>
          <w:rFonts w:hint="eastAsia" w:ascii="宋体" w:hAnsi="宋体" w:eastAsia="宋体" w:cs="宋体"/>
          <w:kern w:val="0"/>
          <w:sz w:val="24"/>
          <w:szCs w:val="24"/>
          <w:lang w:eastAsia="zh-CN"/>
        </w:rPr>
        <w:t>。</w:t>
      </w:r>
    </w:p>
    <w:p w14:paraId="30A28BF8">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合同款项的支付应按照招标文件的规定进行，具体如下：</w:t>
      </w:r>
    </w:p>
    <w:p w14:paraId="4BE0EC1C">
      <w:pPr>
        <w:widowControl/>
        <w:numPr>
          <w:ilvl w:val="0"/>
          <w:numId w:val="0"/>
        </w:numPr>
        <w:spacing w:before="75" w:after="75"/>
        <w:ind w:firstLine="240" w:firstLineChars="100"/>
        <w:jc w:val="left"/>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合同签订，收到预付款发票后，15个工作日内支付预付款</w:t>
      </w:r>
      <w:r>
        <w:rPr>
          <w:rFonts w:hint="eastAsia" w:ascii="宋体" w:hAnsi="宋体" w:cs="宋体"/>
          <w:kern w:val="0"/>
          <w:sz w:val="24"/>
          <w:szCs w:val="24"/>
          <w:lang w:eastAsia="zh-CN"/>
        </w:rPr>
        <w:t>；</w:t>
      </w:r>
    </w:p>
    <w:p w14:paraId="4B19DBE8">
      <w:pPr>
        <w:widowControl/>
        <w:numPr>
          <w:ilvl w:val="0"/>
          <w:numId w:val="0"/>
        </w:numPr>
        <w:spacing w:before="75" w:after="75"/>
        <w:jc w:val="left"/>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 xml:space="preserve">  2）</w:t>
      </w:r>
      <w:r>
        <w:rPr>
          <w:rFonts w:hint="eastAsia" w:ascii="宋体" w:hAnsi="宋体" w:eastAsia="宋体" w:cs="宋体"/>
          <w:kern w:val="0"/>
          <w:sz w:val="24"/>
          <w:szCs w:val="24"/>
        </w:rPr>
        <w:t>设备安装完成，收到尾款发票后，15个工作日内支付尾款</w:t>
      </w:r>
      <w:r>
        <w:rPr>
          <w:rFonts w:hint="eastAsia" w:ascii="宋体" w:hAnsi="宋体" w:cs="宋体"/>
          <w:kern w:val="0"/>
          <w:sz w:val="24"/>
          <w:szCs w:val="24"/>
          <w:lang w:eastAsia="zh-CN"/>
        </w:rPr>
        <w:t>。</w:t>
      </w:r>
    </w:p>
    <w:p w14:paraId="7226215C">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履约保证金</w:t>
      </w:r>
    </w:p>
    <w:p w14:paraId="0638B9C2">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sym w:font="Wingdings 2" w:char="0052"/>
      </w:r>
      <w:r>
        <w:rPr>
          <w:rFonts w:ascii="宋体" w:hAnsi="宋体" w:eastAsia="宋体" w:cs="宋体"/>
          <w:kern w:val="0"/>
          <w:sz w:val="24"/>
          <w:szCs w:val="24"/>
        </w:rPr>
        <w:t>无。□有，</w:t>
      </w:r>
    </w:p>
    <w:p w14:paraId="3A0486C6">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合同有效期</w:t>
      </w:r>
    </w:p>
    <w:p w14:paraId="57DEEA01">
      <w:pPr>
        <w:widowControl/>
        <w:spacing w:before="75" w:after="75"/>
        <w:ind w:firstLine="480"/>
        <w:jc w:val="left"/>
        <w:rPr>
          <w:rFonts w:ascii="宋体" w:hAnsi="宋体" w:eastAsia="宋体" w:cs="宋体"/>
          <w:kern w:val="0"/>
          <w:sz w:val="24"/>
          <w:szCs w:val="24"/>
          <w:u w:val="single"/>
        </w:rPr>
      </w:pPr>
      <w:r>
        <w:rPr>
          <w:rFonts w:hint="eastAsia" w:ascii="宋体" w:hAnsi="宋体" w:eastAsia="宋体" w:cs="宋体"/>
          <w:kern w:val="0"/>
          <w:sz w:val="24"/>
          <w:szCs w:val="24"/>
          <w:u w:val="single"/>
          <w:lang w:eastAsia="zh-CN"/>
        </w:rPr>
        <w:t>自合同签订之日起一年</w:t>
      </w:r>
      <w:r>
        <w:rPr>
          <w:rFonts w:ascii="宋体" w:hAnsi="宋体" w:eastAsia="宋体" w:cs="宋体"/>
          <w:kern w:val="0"/>
          <w:sz w:val="24"/>
          <w:szCs w:val="24"/>
          <w:u w:val="single"/>
        </w:rPr>
        <w:t>。</w:t>
      </w:r>
    </w:p>
    <w:p w14:paraId="39758322">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违约责任</w:t>
      </w:r>
    </w:p>
    <w:p w14:paraId="1ADA02D5">
      <w:pPr>
        <w:widowControl/>
        <w:spacing w:before="75" w:after="75"/>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10.1如果乙方未能按合同规定的时间按时足额交货的（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予以扣除。延期交货违约金比率为每迟交1天，按迟交货物金额的0.1 ％。但是，延期交货违约金的支付总额不得超过迟交货物部分合同金额的 1.5 ％。 </w:t>
      </w:r>
    </w:p>
    <w:p w14:paraId="37277FC6">
      <w:pPr>
        <w:widowControl/>
        <w:spacing w:before="75" w:after="75"/>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10.2如果乙方未能按合同规定的时间或双方另行确定的延期交货期按时足额交货的（不可抗力除外），每逾期1天，乙方应按迟交货物金额的 0.1 ％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 </w:t>
      </w:r>
    </w:p>
    <w:p w14:paraId="7DC5DE48">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10.3甲方逾期付款的（有正当拒付理由的除外）应按照逾期金额的每日 0.1 ％支付逾期付款违约金。</w:t>
      </w:r>
    </w:p>
    <w:p w14:paraId="48A1249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11、知识产权</w:t>
      </w:r>
    </w:p>
    <w:p w14:paraId="13C72280">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44424EDA">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w:t>
      </w:r>
    </w:p>
    <w:p w14:paraId="49F0C9E9">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12、解决争议的方法</w:t>
      </w:r>
    </w:p>
    <w:p w14:paraId="4A95B99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12.1甲、乙双方协商解决。</w:t>
      </w:r>
    </w:p>
    <w:p w14:paraId="6A5BC96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12.2若协商解决不成，则通过下列途径之一解决：</w:t>
      </w:r>
    </w:p>
    <w:p w14:paraId="4A3F93E1">
      <w:pPr>
        <w:widowControl/>
        <w:spacing w:before="75" w:after="75"/>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提交仲裁委员会仲裁，具体如下：向</w:t>
      </w:r>
      <w:r>
        <w:rPr>
          <w:rFonts w:hint="eastAsia" w:ascii="宋体" w:hAnsi="宋体" w:eastAsia="宋体" w:cs="宋体"/>
          <w:kern w:val="0"/>
          <w:sz w:val="24"/>
          <w:szCs w:val="24"/>
          <w:lang w:eastAsia="zh-CN"/>
        </w:rPr>
        <w:t>甲方当地</w:t>
      </w:r>
      <w:r>
        <w:rPr>
          <w:rFonts w:hint="eastAsia" w:ascii="宋体" w:hAnsi="宋体" w:eastAsia="宋体" w:cs="宋体"/>
          <w:kern w:val="0"/>
          <w:sz w:val="24"/>
          <w:szCs w:val="24"/>
        </w:rPr>
        <w:t>仲裁委员会申请仲裁。</w:t>
      </w:r>
    </w:p>
    <w:p w14:paraId="6261D0C4">
      <w:pPr>
        <w:widowControl/>
        <w:spacing w:before="75" w:after="75"/>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向人民法院提起诉讼，具体如下：向</w:t>
      </w:r>
      <w:r>
        <w:rPr>
          <w:rFonts w:hint="eastAsia" w:ascii="宋体" w:hAnsi="宋体" w:eastAsia="宋体" w:cs="宋体"/>
          <w:kern w:val="0"/>
          <w:sz w:val="24"/>
          <w:szCs w:val="24"/>
          <w:lang w:eastAsia="zh-CN"/>
        </w:rPr>
        <w:t>甲方当地</w:t>
      </w:r>
      <w:r>
        <w:rPr>
          <w:rFonts w:hint="eastAsia" w:ascii="宋体" w:hAnsi="宋体" w:eastAsia="宋体" w:cs="宋体"/>
          <w:kern w:val="0"/>
          <w:sz w:val="24"/>
          <w:szCs w:val="24"/>
        </w:rPr>
        <w:t>人民法院提起诉讼。</w:t>
      </w:r>
    </w:p>
    <w:p w14:paraId="3BF8BFF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13、不可抗力</w:t>
      </w:r>
    </w:p>
    <w:p w14:paraId="05EC866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13.1因不可抗力造成违约的，遭受不可抗力一方应及时向对方通报不能履行或不能完全履行的理由，并在随后取得有关主管机关证明后的</w:t>
      </w:r>
      <w:r>
        <w:rPr>
          <w:rFonts w:ascii="Calibri" w:hAnsi="Calibri" w:eastAsia="宋体" w:cs="Calibri"/>
          <w:kern w:val="0"/>
          <w:sz w:val="24"/>
          <w:szCs w:val="24"/>
        </w:rPr>
        <w:t>15</w:t>
      </w:r>
      <w:r>
        <w:rPr>
          <w:rFonts w:ascii="宋体" w:hAnsi="宋体" w:eastAsia="宋体"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14:paraId="029E5CCD">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0358CCFD">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14、</w:t>
      </w:r>
      <w:r>
        <w:rPr>
          <w:rFonts w:ascii="宋体" w:hAnsi="宋体" w:eastAsia="宋体" w:cs="宋体"/>
          <w:kern w:val="0"/>
          <w:sz w:val="24"/>
          <w:szCs w:val="24"/>
        </w:rPr>
        <w:t>合同条款</w:t>
      </w:r>
    </w:p>
    <w:p w14:paraId="1DBC6A8A">
      <w:pPr>
        <w:widowControl/>
        <w:numPr>
          <w:ilvl w:val="0"/>
          <w:numId w:val="0"/>
        </w:numPr>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14.1</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须提供</w:t>
      </w:r>
      <w:r>
        <w:rPr>
          <w:rFonts w:hint="eastAsia" w:ascii="宋体" w:hAnsi="宋体" w:eastAsia="宋体" w:cs="宋体"/>
          <w:kern w:val="0"/>
          <w:sz w:val="24"/>
          <w:szCs w:val="24"/>
          <w:lang w:eastAsia="zh-CN"/>
        </w:rPr>
        <w:t>的设备</w:t>
      </w:r>
      <w:r>
        <w:rPr>
          <w:rFonts w:hint="eastAsia" w:ascii="宋体" w:hAnsi="宋体" w:eastAsia="宋体" w:cs="宋体"/>
          <w:kern w:val="0"/>
          <w:sz w:val="24"/>
          <w:szCs w:val="24"/>
        </w:rPr>
        <w:t>自验收合格之日起至</w:t>
      </w:r>
      <w:r>
        <w:rPr>
          <w:rFonts w:hint="eastAsia" w:ascii="宋体" w:hAnsi="宋体" w:eastAsia="宋体" w:cs="宋体"/>
          <w:b/>
          <w:bCs/>
          <w:kern w:val="0"/>
          <w:sz w:val="24"/>
          <w:szCs w:val="24"/>
          <w:u w:val="single"/>
          <w:lang w:val="en-US" w:eastAsia="zh-CN"/>
        </w:rPr>
        <w:t xml:space="preserve"> 壹 </w:t>
      </w:r>
      <w:r>
        <w:rPr>
          <w:rFonts w:hint="eastAsia" w:ascii="宋体" w:hAnsi="宋体" w:eastAsia="宋体" w:cs="宋体"/>
          <w:kern w:val="0"/>
          <w:sz w:val="24"/>
          <w:szCs w:val="24"/>
        </w:rPr>
        <w:t>年的质量保证期。</w:t>
      </w:r>
    </w:p>
    <w:p w14:paraId="478F752E">
      <w:pPr>
        <w:widowControl/>
        <w:numPr>
          <w:ilvl w:val="0"/>
          <w:numId w:val="0"/>
        </w:numPr>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14.2</w:t>
      </w:r>
      <w:r>
        <w:rPr>
          <w:rFonts w:hint="eastAsia" w:ascii="宋体" w:hAnsi="宋体" w:eastAsia="宋体" w:cs="宋体"/>
          <w:kern w:val="0"/>
          <w:sz w:val="24"/>
          <w:szCs w:val="24"/>
        </w:rPr>
        <w:t>在质保期内，</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须负责货物的保修工作，保修费用由</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负责；</w:t>
      </w:r>
    </w:p>
    <w:p w14:paraId="7D9D7280">
      <w:pPr>
        <w:widowControl/>
        <w:numPr>
          <w:ilvl w:val="0"/>
          <w:numId w:val="0"/>
        </w:numPr>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14.3</w:t>
      </w:r>
      <w:r>
        <w:rPr>
          <w:rFonts w:hint="eastAsia" w:ascii="宋体" w:hAnsi="宋体" w:eastAsia="宋体" w:cs="宋体"/>
          <w:kern w:val="0"/>
          <w:sz w:val="24"/>
          <w:szCs w:val="24"/>
        </w:rPr>
        <w:t xml:space="preserve">质保期内如产品发生故障, </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须免费更换部件，该部件必须是原厂的产品。</w:t>
      </w:r>
    </w:p>
    <w:p w14:paraId="2CBD2C2B">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14.4</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在接到采购方故障通知后应在 4小时内作出响应，在48小时内应委派专业技术人员到达现场(逾期采购方有权另请他人维修，费用由</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承担)，免费提供咨询、维修和更换零部件等服务；</w:t>
      </w:r>
    </w:p>
    <w:p w14:paraId="795F98A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15、其他约定</w:t>
      </w:r>
    </w:p>
    <w:p w14:paraId="5064524D">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15.1合同文件与本合同具有同等法律效力。</w:t>
      </w:r>
    </w:p>
    <w:p w14:paraId="5496CD0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15.2本合同未尽事宜，双方可另行补充。</w:t>
      </w:r>
    </w:p>
    <w:p w14:paraId="4C88C96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15.3本合同自签订之日起生效。</w:t>
      </w:r>
    </w:p>
    <w:p w14:paraId="77A72EF1">
      <w:pPr>
        <w:widowControl/>
        <w:spacing w:before="75" w:after="75"/>
        <w:jc w:val="left"/>
        <w:rPr>
          <w:rFonts w:hint="eastAsia" w:ascii="宋体" w:hAnsi="宋体" w:eastAsia="宋体" w:cs="宋体"/>
          <w:kern w:val="0"/>
          <w:sz w:val="24"/>
          <w:szCs w:val="24"/>
        </w:rPr>
      </w:pPr>
      <w:r>
        <w:rPr>
          <w:rFonts w:ascii="宋体" w:hAnsi="宋体" w:eastAsia="宋体" w:cs="宋体"/>
          <w:kern w:val="0"/>
          <w:sz w:val="24"/>
          <w:szCs w:val="24"/>
        </w:rPr>
        <w:t>15.4</w:t>
      </w:r>
      <w:r>
        <w:rPr>
          <w:rFonts w:hint="eastAsia" w:ascii="宋体" w:hAnsi="宋体" w:eastAsia="宋体" w:cs="宋体"/>
          <w:kern w:val="0"/>
          <w:sz w:val="24"/>
          <w:szCs w:val="24"/>
        </w:rPr>
        <w:t>本合同纸质文件一式</w:t>
      </w:r>
      <w:r>
        <w:rPr>
          <w:rFonts w:hint="eastAsia" w:ascii="宋体" w:hAnsi="宋体" w:eastAsia="宋体" w:cs="宋体"/>
          <w:kern w:val="0"/>
          <w:sz w:val="24"/>
          <w:szCs w:val="24"/>
          <w:lang w:eastAsia="zh-CN"/>
        </w:rPr>
        <w:t>贰</w:t>
      </w:r>
      <w:r>
        <w:rPr>
          <w:rFonts w:hint="eastAsia" w:ascii="宋体" w:hAnsi="宋体" w:eastAsia="宋体" w:cs="宋体"/>
          <w:kern w:val="0"/>
          <w:sz w:val="24"/>
          <w:szCs w:val="24"/>
        </w:rPr>
        <w:t>份。</w:t>
      </w:r>
    </w:p>
    <w:p w14:paraId="7B36D10C">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15.5其他：</w:t>
      </w:r>
      <w:r>
        <w:rPr>
          <w:rFonts w:ascii="宋体" w:hAnsi="宋体" w:eastAsia="宋体" w:cs="宋体"/>
          <w:kern w:val="0"/>
          <w:sz w:val="24"/>
          <w:szCs w:val="24"/>
        </w:rPr>
        <w:sym w:font="Wingdings 2" w:char="0052"/>
      </w:r>
      <w:r>
        <w:rPr>
          <w:rFonts w:ascii="宋体" w:hAnsi="宋体" w:eastAsia="宋体" w:cs="宋体"/>
          <w:kern w:val="0"/>
          <w:sz w:val="24"/>
          <w:szCs w:val="24"/>
        </w:rPr>
        <w:t>无。</w:t>
      </w:r>
    </w:p>
    <w:p w14:paraId="76D53EE6">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（以下无正文）</w:t>
      </w:r>
    </w:p>
    <w:p w14:paraId="777BF720">
      <w:pPr>
        <w:rPr>
          <w:rFonts w:hint="eastAsia"/>
          <w:sz w:val="24"/>
        </w:rPr>
      </w:pPr>
    </w:p>
    <w:p w14:paraId="0760810F">
      <w:pPr>
        <w:rPr>
          <w:rFonts w:hint="eastAsia"/>
          <w:sz w:val="24"/>
        </w:rPr>
      </w:pPr>
    </w:p>
    <w:p w14:paraId="0325F249">
      <w:pPr>
        <w:ind w:left="5760" w:hanging="5760" w:hangingChars="2400"/>
        <w:rPr>
          <w:rFonts w:hint="eastAsia" w:eastAsia="宋体"/>
          <w:sz w:val="24"/>
          <w:lang w:eastAsia="zh-CN"/>
        </w:rPr>
      </w:pPr>
      <w:r>
        <w:rPr>
          <w:rFonts w:hint="eastAsia"/>
          <w:sz w:val="24"/>
        </w:rPr>
        <w:t>甲方：</w:t>
      </w:r>
      <w:r>
        <w:rPr>
          <w:rFonts w:hint="eastAsia" w:ascii="宋体" w:hAnsi="宋体" w:cs="宋体"/>
          <w:bCs/>
          <w:kern w:val="0"/>
          <w:sz w:val="24"/>
          <w:lang w:val="en-US" w:eastAsia="zh-CN"/>
        </w:rPr>
        <w:t xml:space="preserve"> </w:t>
      </w:r>
      <w:r>
        <w:rPr>
          <w:rFonts w:hint="eastAsia" w:ascii="宋体" w:hAnsi="宋体" w:cs="宋体"/>
          <w:bCs/>
          <w:kern w:val="0"/>
          <w:sz w:val="24"/>
        </w:rPr>
        <w:t xml:space="preserve">       </w:t>
      </w:r>
      <w:r>
        <w:rPr>
          <w:rFonts w:hint="eastAsia" w:ascii="宋体" w:hAnsi="宋体" w:cs="宋体"/>
          <w:bCs/>
          <w:kern w:val="0"/>
          <w:sz w:val="24"/>
          <w:lang w:val="en-US" w:eastAsia="zh-CN"/>
        </w:rPr>
        <w:t xml:space="preserve">                     </w:t>
      </w:r>
      <w:r>
        <w:rPr>
          <w:rFonts w:hint="eastAsia"/>
          <w:sz w:val="24"/>
        </w:rPr>
        <w:t>乙方：</w:t>
      </w:r>
      <w:r>
        <w:rPr>
          <w:rFonts w:hint="eastAsia"/>
          <w:sz w:val="24"/>
          <w:lang w:val="en-US" w:eastAsia="zh-CN"/>
        </w:rPr>
        <w:t xml:space="preserve"> </w:t>
      </w:r>
    </w:p>
    <w:p w14:paraId="1263BE16">
      <w:pPr>
        <w:ind w:firstLine="5040" w:firstLineChars="2100"/>
        <w:rPr>
          <w:rFonts w:hint="eastAsia"/>
          <w:sz w:val="24"/>
        </w:rPr>
      </w:pPr>
      <w:r>
        <w:rPr>
          <w:rFonts w:hint="eastAsia"/>
          <w:sz w:val="24"/>
        </w:rPr>
        <w:t xml:space="preserve">                    </w:t>
      </w:r>
    </w:p>
    <w:p w14:paraId="5D862595">
      <w:pPr>
        <w:rPr>
          <w:rFonts w:hint="eastAsia"/>
          <w:sz w:val="24"/>
        </w:rPr>
      </w:pPr>
    </w:p>
    <w:p w14:paraId="43576C8F">
      <w:pPr>
        <w:ind w:left="5040" w:hanging="5040" w:hangingChars="2100"/>
        <w:rPr>
          <w:rFonts w:hint="default" w:eastAsia="宋体"/>
          <w:sz w:val="24"/>
          <w:lang w:val="en-US" w:eastAsia="zh-CN"/>
        </w:rPr>
      </w:pPr>
      <w:r>
        <w:rPr>
          <w:rFonts w:hint="eastAsia"/>
          <w:sz w:val="24"/>
        </w:rPr>
        <w:t>地址：</w:t>
      </w:r>
      <w:r>
        <w:rPr>
          <w:rFonts w:hint="eastAsia" w:ascii="宋体" w:hAnsi="宋体" w:cs="宋体"/>
          <w:bCs/>
          <w:kern w:val="0"/>
          <w:sz w:val="24"/>
        </w:rPr>
        <w:t xml:space="preserve"> </w:t>
      </w:r>
      <w:r>
        <w:rPr>
          <w:rFonts w:hint="eastAsia" w:ascii="宋体" w:hAnsi="宋体" w:cs="宋体"/>
          <w:bCs/>
          <w:kern w:val="0"/>
          <w:sz w:val="24"/>
          <w:lang w:val="en-US" w:eastAsia="zh-CN"/>
        </w:rPr>
        <w:t xml:space="preserve">                            </w:t>
      </w:r>
      <w:r>
        <w:rPr>
          <w:rFonts w:hint="eastAsia" w:ascii="宋体" w:hAnsi="宋体" w:cs="宋体"/>
          <w:bCs/>
          <w:kern w:val="0"/>
          <w:sz w:val="24"/>
        </w:rPr>
        <w:t>地</w:t>
      </w:r>
      <w:r>
        <w:rPr>
          <w:rFonts w:hint="eastAsia"/>
          <w:sz w:val="24"/>
        </w:rPr>
        <w:t>址：</w:t>
      </w:r>
    </w:p>
    <w:p w14:paraId="0DE3F57E">
      <w:pPr>
        <w:spacing w:line="360" w:lineRule="auto"/>
        <w:jc w:val="left"/>
        <w:rPr>
          <w:rFonts w:hint="eastAsia"/>
          <w:sz w:val="24"/>
        </w:rPr>
      </w:pPr>
    </w:p>
    <w:p w14:paraId="6AD315A9">
      <w:pPr>
        <w:spacing w:line="360" w:lineRule="auto"/>
        <w:jc w:val="left"/>
        <w:rPr>
          <w:rFonts w:hint="eastAsia"/>
          <w:sz w:val="24"/>
        </w:rPr>
      </w:pPr>
      <w:r>
        <w:rPr>
          <w:rFonts w:hint="eastAsia"/>
          <w:sz w:val="24"/>
        </w:rPr>
        <w:t>代表人</w:t>
      </w:r>
      <w:r>
        <w:rPr>
          <w:rFonts w:hint="eastAsia"/>
          <w:sz w:val="24"/>
          <w:lang w:eastAsia="zh-CN"/>
        </w:rPr>
        <w:t>签字</w:t>
      </w:r>
      <w:r>
        <w:rPr>
          <w:rFonts w:hint="eastAsia"/>
          <w:sz w:val="24"/>
        </w:rPr>
        <w:t>：</w:t>
      </w:r>
      <w:r>
        <w:rPr>
          <w:rFonts w:hint="eastAsia"/>
          <w:sz w:val="24"/>
          <w:lang w:val="en-US" w:eastAsia="zh-CN"/>
        </w:rPr>
        <w:t xml:space="preserve">                       </w:t>
      </w:r>
      <w:r>
        <w:rPr>
          <w:rFonts w:hint="eastAsia"/>
          <w:sz w:val="24"/>
        </w:rPr>
        <w:t>代表人</w:t>
      </w:r>
      <w:r>
        <w:rPr>
          <w:rFonts w:hint="eastAsia"/>
          <w:sz w:val="24"/>
          <w:lang w:eastAsia="zh-CN"/>
        </w:rPr>
        <w:t>签字</w:t>
      </w:r>
      <w:r>
        <w:rPr>
          <w:rFonts w:hint="eastAsia"/>
          <w:sz w:val="24"/>
        </w:rPr>
        <w:t>：</w:t>
      </w:r>
    </w:p>
    <w:p w14:paraId="7ED55E0F">
      <w:pPr>
        <w:spacing w:line="360" w:lineRule="auto"/>
        <w:rPr>
          <w:rFonts w:hint="eastAsia"/>
          <w:sz w:val="24"/>
        </w:rPr>
      </w:pPr>
    </w:p>
    <w:p w14:paraId="11088B35">
      <w:pPr>
        <w:spacing w:line="360" w:lineRule="auto"/>
        <w:rPr>
          <w:rFonts w:hint="eastAsia" w:eastAsia="宋体"/>
          <w:sz w:val="24"/>
          <w:lang w:eastAsia="zh-CN"/>
        </w:rPr>
      </w:pPr>
      <w:r>
        <w:rPr>
          <w:rFonts w:hint="eastAsia"/>
          <w:sz w:val="24"/>
        </w:rPr>
        <w:t>日期：</w:t>
      </w:r>
      <w:r>
        <w:rPr>
          <w:rFonts w:hint="eastAsia"/>
          <w:sz w:val="24"/>
          <w:lang w:val="en-US" w:eastAsia="zh-CN"/>
        </w:rPr>
        <w:t xml:space="preserve">                </w:t>
      </w:r>
      <w:r>
        <w:rPr>
          <w:rFonts w:hint="eastAsia"/>
          <w:sz w:val="24"/>
        </w:rPr>
        <w:t xml:space="preserve">              日期：</w:t>
      </w:r>
      <w:r>
        <w:rPr>
          <w:rFonts w:hint="eastAsia"/>
          <w:sz w:val="24"/>
          <w:lang w:val="en-US" w:eastAsia="zh-CN"/>
        </w:rPr>
        <w:t xml:space="preserve"> </w:t>
      </w:r>
    </w:p>
    <w:p w14:paraId="4F0A35F1">
      <w:pPr>
        <w:jc w:val="both"/>
        <w:rPr>
          <w:rFonts w:hint="eastAsia"/>
          <w:sz w:val="24"/>
        </w:rPr>
      </w:pPr>
    </w:p>
    <w:p w14:paraId="4AE7E48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p>
    <w:p w14:paraId="269A2FD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p>
    <w:p w14:paraId="7041EAB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cs="宋体"/>
          <w:color w:val="auto"/>
          <w:sz w:val="28"/>
          <w:szCs w:val="28"/>
          <w:lang w:val="en-US" w:eastAsia="zh-CN"/>
        </w:rPr>
      </w:pP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9"/>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1">
    <w:nsid w:val="548F5355"/>
    <w:multiLevelType w:val="singleLevel"/>
    <w:tmpl w:val="548F535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A43050"/>
    <w:rsid w:val="03306448"/>
    <w:rsid w:val="039E3DB5"/>
    <w:rsid w:val="04973358"/>
    <w:rsid w:val="076D2FEB"/>
    <w:rsid w:val="0804406F"/>
    <w:rsid w:val="081C4C9C"/>
    <w:rsid w:val="0834033F"/>
    <w:rsid w:val="0AD43D25"/>
    <w:rsid w:val="0AEE0C79"/>
    <w:rsid w:val="0C0C7087"/>
    <w:rsid w:val="0C9C0329"/>
    <w:rsid w:val="0CA830A9"/>
    <w:rsid w:val="0CDA1129"/>
    <w:rsid w:val="0D0C3638"/>
    <w:rsid w:val="0D724C37"/>
    <w:rsid w:val="0E6A79B6"/>
    <w:rsid w:val="0E8467A8"/>
    <w:rsid w:val="0F153787"/>
    <w:rsid w:val="10554859"/>
    <w:rsid w:val="105B0B5E"/>
    <w:rsid w:val="108A4FA0"/>
    <w:rsid w:val="115251AE"/>
    <w:rsid w:val="128A572B"/>
    <w:rsid w:val="137205A3"/>
    <w:rsid w:val="138E2060"/>
    <w:rsid w:val="14416FC6"/>
    <w:rsid w:val="14DE0881"/>
    <w:rsid w:val="15474BF8"/>
    <w:rsid w:val="1569686F"/>
    <w:rsid w:val="16052A7F"/>
    <w:rsid w:val="167C30C3"/>
    <w:rsid w:val="169951BC"/>
    <w:rsid w:val="183B56FD"/>
    <w:rsid w:val="18AE0B48"/>
    <w:rsid w:val="18EF3710"/>
    <w:rsid w:val="1A394265"/>
    <w:rsid w:val="1B036E7C"/>
    <w:rsid w:val="1B215742"/>
    <w:rsid w:val="1CC932F4"/>
    <w:rsid w:val="1E303C84"/>
    <w:rsid w:val="1EA56673"/>
    <w:rsid w:val="1EF00CA7"/>
    <w:rsid w:val="1F633F72"/>
    <w:rsid w:val="1FB913FE"/>
    <w:rsid w:val="203C362E"/>
    <w:rsid w:val="20E02F65"/>
    <w:rsid w:val="211A411E"/>
    <w:rsid w:val="21D10A49"/>
    <w:rsid w:val="21E464DA"/>
    <w:rsid w:val="226244CC"/>
    <w:rsid w:val="22950329"/>
    <w:rsid w:val="22A30872"/>
    <w:rsid w:val="234F36E4"/>
    <w:rsid w:val="236A7C99"/>
    <w:rsid w:val="23761465"/>
    <w:rsid w:val="246A52EB"/>
    <w:rsid w:val="24741525"/>
    <w:rsid w:val="249C78F6"/>
    <w:rsid w:val="24AF2DCF"/>
    <w:rsid w:val="25AD5A5E"/>
    <w:rsid w:val="25F64131"/>
    <w:rsid w:val="26945745"/>
    <w:rsid w:val="2861758C"/>
    <w:rsid w:val="2892098A"/>
    <w:rsid w:val="297E0FC2"/>
    <w:rsid w:val="297F6480"/>
    <w:rsid w:val="2A8C2B55"/>
    <w:rsid w:val="2AC415FD"/>
    <w:rsid w:val="2B023949"/>
    <w:rsid w:val="2B474184"/>
    <w:rsid w:val="2B9065B4"/>
    <w:rsid w:val="2C2A04A0"/>
    <w:rsid w:val="2C4C065B"/>
    <w:rsid w:val="2C5C26DC"/>
    <w:rsid w:val="2CC118F2"/>
    <w:rsid w:val="2CDF621C"/>
    <w:rsid w:val="2D697A29"/>
    <w:rsid w:val="2E301AB4"/>
    <w:rsid w:val="2E7E609A"/>
    <w:rsid w:val="2F3740ED"/>
    <w:rsid w:val="2FF9333B"/>
    <w:rsid w:val="300F15EE"/>
    <w:rsid w:val="3062140F"/>
    <w:rsid w:val="31496EC2"/>
    <w:rsid w:val="31E57E30"/>
    <w:rsid w:val="31F6203D"/>
    <w:rsid w:val="32165023"/>
    <w:rsid w:val="33B379FC"/>
    <w:rsid w:val="33BB5A80"/>
    <w:rsid w:val="348738A9"/>
    <w:rsid w:val="354D07DD"/>
    <w:rsid w:val="36070CBD"/>
    <w:rsid w:val="366756A0"/>
    <w:rsid w:val="371B5B3B"/>
    <w:rsid w:val="3741602B"/>
    <w:rsid w:val="38A87E0A"/>
    <w:rsid w:val="39C752B8"/>
    <w:rsid w:val="3A0C4B4E"/>
    <w:rsid w:val="3CDB07AE"/>
    <w:rsid w:val="3D143517"/>
    <w:rsid w:val="3D3F6CF4"/>
    <w:rsid w:val="3D71306C"/>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E097504"/>
    <w:rsid w:val="4E143612"/>
    <w:rsid w:val="4E661F86"/>
    <w:rsid w:val="4E997C57"/>
    <w:rsid w:val="4E9D3635"/>
    <w:rsid w:val="4ED62599"/>
    <w:rsid w:val="4F4F373F"/>
    <w:rsid w:val="51A703F2"/>
    <w:rsid w:val="51AA471F"/>
    <w:rsid w:val="522E2CD6"/>
    <w:rsid w:val="524A20F8"/>
    <w:rsid w:val="524E2EDF"/>
    <w:rsid w:val="53CB6FAB"/>
    <w:rsid w:val="542826BF"/>
    <w:rsid w:val="545B5616"/>
    <w:rsid w:val="55915C48"/>
    <w:rsid w:val="56DC71A4"/>
    <w:rsid w:val="56EB10E9"/>
    <w:rsid w:val="59A9494B"/>
    <w:rsid w:val="59AF6DF2"/>
    <w:rsid w:val="59E02F96"/>
    <w:rsid w:val="5A10637D"/>
    <w:rsid w:val="5A244F70"/>
    <w:rsid w:val="5B280C0A"/>
    <w:rsid w:val="5BA1276A"/>
    <w:rsid w:val="5C1B076F"/>
    <w:rsid w:val="5C2441D3"/>
    <w:rsid w:val="5C9245A9"/>
    <w:rsid w:val="5C9A35A3"/>
    <w:rsid w:val="5D434E88"/>
    <w:rsid w:val="5DBB508D"/>
    <w:rsid w:val="5E047FD0"/>
    <w:rsid w:val="5E0778E1"/>
    <w:rsid w:val="5EA42C9D"/>
    <w:rsid w:val="5F1519BF"/>
    <w:rsid w:val="602A7EDE"/>
    <w:rsid w:val="616E7593"/>
    <w:rsid w:val="6189617B"/>
    <w:rsid w:val="620F4C9D"/>
    <w:rsid w:val="636B6B43"/>
    <w:rsid w:val="63F56C8F"/>
    <w:rsid w:val="63F81C8C"/>
    <w:rsid w:val="640D0C57"/>
    <w:rsid w:val="64433D8E"/>
    <w:rsid w:val="64C574CA"/>
    <w:rsid w:val="64D67929"/>
    <w:rsid w:val="664066EE"/>
    <w:rsid w:val="664A0B53"/>
    <w:rsid w:val="67A07D7A"/>
    <w:rsid w:val="67B160B6"/>
    <w:rsid w:val="680A030D"/>
    <w:rsid w:val="69113EED"/>
    <w:rsid w:val="6A0A1171"/>
    <w:rsid w:val="6B776A6D"/>
    <w:rsid w:val="6BCB02F6"/>
    <w:rsid w:val="6CA81B7D"/>
    <w:rsid w:val="6D7B66F3"/>
    <w:rsid w:val="6E661D1D"/>
    <w:rsid w:val="7007345D"/>
    <w:rsid w:val="706E1953"/>
    <w:rsid w:val="707966E1"/>
    <w:rsid w:val="729A0B48"/>
    <w:rsid w:val="729B4033"/>
    <w:rsid w:val="75A82C1C"/>
    <w:rsid w:val="75C93329"/>
    <w:rsid w:val="77354B5A"/>
    <w:rsid w:val="77875CB0"/>
    <w:rsid w:val="77CE5972"/>
    <w:rsid w:val="786F5C73"/>
    <w:rsid w:val="78EB1D38"/>
    <w:rsid w:val="78F75F2F"/>
    <w:rsid w:val="79162DAA"/>
    <w:rsid w:val="7956473D"/>
    <w:rsid w:val="79B76855"/>
    <w:rsid w:val="7AD654A8"/>
    <w:rsid w:val="7C207AE9"/>
    <w:rsid w:val="7C435390"/>
    <w:rsid w:val="7CE44BA4"/>
    <w:rsid w:val="7E040C0B"/>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Body Text"/>
    <w:basedOn w:val="1"/>
    <w:next w:val="5"/>
    <w:qFormat/>
    <w:uiPriority w:val="0"/>
    <w:pPr>
      <w:spacing w:line="380" w:lineRule="exact"/>
    </w:pPr>
    <w:rPr>
      <w:sz w:val="24"/>
    </w:rPr>
  </w:style>
  <w:style w:type="paragraph" w:customStyle="1" w:styleId="5">
    <w:name w:val="样式 表格正文 + 两端对齐"/>
    <w:basedOn w:val="1"/>
    <w:next w:val="6"/>
    <w:qFormat/>
    <w:uiPriority w:val="0"/>
    <w:pPr>
      <w:spacing w:line="300" w:lineRule="auto"/>
    </w:pPr>
  </w:style>
  <w:style w:type="paragraph" w:customStyle="1" w:styleId="6">
    <w:name w:val="正文1"/>
    <w:basedOn w:val="1"/>
    <w:qFormat/>
    <w:uiPriority w:val="0"/>
    <w:pPr>
      <w:spacing w:line="480" w:lineRule="exact"/>
      <w:ind w:firstLine="567"/>
    </w:pPr>
    <w:rPr>
      <w:rFonts w:ascii="幼圆" w:eastAsia="幼圆"/>
      <w:sz w:val="28"/>
      <w:szCs w:val="20"/>
    </w:rPr>
  </w:style>
  <w:style w:type="paragraph" w:styleId="7">
    <w:name w:val="Plain Text"/>
    <w:basedOn w:val="1"/>
    <w:next w:val="1"/>
    <w:qFormat/>
    <w:uiPriority w:val="0"/>
    <w:pPr>
      <w:widowControl w:val="0"/>
      <w:spacing w:before="0" w:beforeAutospacing="0" w:after="0" w:afterAutospacing="0" w:line="240" w:lineRule="auto"/>
      <w:jc w:val="both"/>
    </w:pPr>
    <w:rPr>
      <w:rFonts w:ascii="宋体" w:hAnsi="Courier New" w:cs="Courier New"/>
      <w:kern w:val="2"/>
      <w:sz w:val="21"/>
      <w:szCs w:val="21"/>
    </w:rPr>
  </w:style>
  <w:style w:type="paragraph" w:styleId="8">
    <w:name w:val="Balloon Text"/>
    <w:basedOn w:val="1"/>
    <w:link w:val="18"/>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next w:val="12"/>
    <w:qFormat/>
    <w:uiPriority w:val="0"/>
    <w:pPr>
      <w:spacing w:before="100" w:beforeAutospacing="1" w:after="100" w:afterAutospacing="1"/>
      <w:jc w:val="left"/>
    </w:pPr>
    <w:rPr>
      <w:rFonts w:cs="Times New Roman"/>
      <w:kern w:val="0"/>
      <w:sz w:val="24"/>
    </w:rPr>
  </w:style>
  <w:style w:type="paragraph" w:customStyle="1" w:styleId="12">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character" w:styleId="15">
    <w:name w:val="Strong"/>
    <w:basedOn w:val="14"/>
    <w:qFormat/>
    <w:uiPriority w:val="22"/>
    <w:rPr>
      <w:b/>
      <w:bCs/>
    </w:rPr>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8">
    <w:name w:val="批注框文本 Char"/>
    <w:basedOn w:val="14"/>
    <w:link w:val="8"/>
    <w:qFormat/>
    <w:uiPriority w:val="0"/>
    <w:rPr>
      <w:rFonts w:ascii="Calibri" w:hAnsi="Calibri" w:eastAsia="宋体" w:cs="Arial"/>
      <w:kern w:val="2"/>
      <w:sz w:val="18"/>
      <w:szCs w:val="18"/>
    </w:rPr>
  </w:style>
  <w:style w:type="paragraph" w:customStyle="1" w:styleId="19">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character" w:customStyle="1" w:styleId="21">
    <w:name w:val="font101"/>
    <w:basedOn w:val="14"/>
    <w:qFormat/>
    <w:uiPriority w:val="0"/>
    <w:rPr>
      <w:rFonts w:hint="eastAsia" w:ascii="宋体" w:hAnsi="宋体" w:eastAsia="宋体" w:cs="宋体"/>
      <w:color w:val="000000"/>
      <w:sz w:val="20"/>
      <w:szCs w:val="20"/>
      <w:u w:val="none"/>
    </w:rPr>
  </w:style>
  <w:style w:type="character" w:customStyle="1" w:styleId="22">
    <w:name w:val="font11"/>
    <w:basedOn w:val="14"/>
    <w:qFormat/>
    <w:uiPriority w:val="0"/>
    <w:rPr>
      <w:rFonts w:hint="eastAsia" w:ascii="微软雅黑" w:hAnsi="微软雅黑" w:eastAsia="微软雅黑" w:cs="微软雅黑"/>
      <w:color w:val="000000"/>
      <w:sz w:val="20"/>
      <w:szCs w:val="20"/>
      <w:u w:val="none"/>
    </w:rPr>
  </w:style>
  <w:style w:type="paragraph" w:customStyle="1" w:styleId="23">
    <w:name w:val="样式3"/>
    <w:basedOn w:val="7"/>
    <w:qFormat/>
    <w:uiPriority w:val="0"/>
    <w:pPr>
      <w:spacing w:line="0" w:lineRule="atLeast"/>
      <w:outlineLvl w:val="0"/>
    </w:pPr>
    <w:rPr>
      <w:sz w:val="28"/>
    </w:rPr>
  </w:style>
  <w:style w:type="character" w:customStyle="1" w:styleId="24">
    <w:name w:val="font131"/>
    <w:basedOn w:val="14"/>
    <w:qFormat/>
    <w:uiPriority w:val="0"/>
    <w:rPr>
      <w:rFonts w:hint="eastAsia" w:ascii="宋体" w:hAnsi="宋体" w:eastAsia="宋体" w:cs="宋体"/>
      <w:color w:val="000000"/>
      <w:sz w:val="20"/>
      <w:szCs w:val="20"/>
      <w:u w:val="none"/>
    </w:rPr>
  </w:style>
  <w:style w:type="character" w:customStyle="1" w:styleId="25">
    <w:name w:val="font121"/>
    <w:basedOn w:val="14"/>
    <w:qFormat/>
    <w:uiPriority w:val="0"/>
    <w:rPr>
      <w:rFonts w:hint="eastAsia" w:ascii="宋体" w:hAnsi="宋体" w:eastAsia="宋体" w:cs="宋体"/>
      <w:color w:val="000000"/>
      <w:sz w:val="20"/>
      <w:szCs w:val="20"/>
      <w:u w:val="none"/>
    </w:rPr>
  </w:style>
  <w:style w:type="character" w:customStyle="1" w:styleId="26">
    <w:name w:val="font51"/>
    <w:basedOn w:val="14"/>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12769</Words>
  <Characters>14586</Characters>
  <Lines>4</Lines>
  <Paragraphs>7</Paragraphs>
  <TotalTime>38</TotalTime>
  <ScaleCrop>false</ScaleCrop>
  <LinksUpToDate>false</LinksUpToDate>
  <CharactersWithSpaces>14691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2026-06-24T02:54:47Z</cp:lastPrinted>
  <dcterms:modified xsi:type="dcterms:W3CDTF">2026-06-24T03:02:11Z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