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eastAsia="zh-CN"/>
        </w:rPr>
        <w:t>LCCQJJ2026070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2026年7月8日上午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2026年7月8日上午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（工作日上班时间：08:00-12:00,15:00-18:00）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2026西雅国际食品和饮料展览会（广州）连城地瓜干特装搭建服务采购项目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（二）最高控制价：61300元（含税包干）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（三）竞价保证金：1200元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（四）采购内容及要求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（1）展馆地点：广州保利世贸博览馆一层2号馆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（2）展位编号：2B035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（3）展览面积：约60㎡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2.服务内容及要求：依据委托人提供的参考效果图完成展位整体设计、生产制作、运输进场、现场搭建、展期运维、拆除清运全流程包干服务，包括但不限于：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（1）手续代办：全程负责完成展馆特装申报、图纸消防报审、各类进场批件办理，承担特装管理费、电费、设备租赁费、保洁费、加班费、展馆押金等全部展馆相关费用。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（2）严格按照竞价文件、响应方案、双方确认图纸组织施工。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（3）全流程施工：负责展位全部展项的工厂预制、现场安装、电路调试、成品保护、展期巡检维护；从进场布展至全部撤展完毕，全权负责展位所有设施、样品、物料的保管、防护，承担损坏、丢失赔偿责任。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（4）方案调整配合：委托人提出设计优化、局部调整需求时，成交人须免费配合修改方案，不限调整次数，直至双方书面确认后方可投产，不得收取设计修改、增改人工等额外费用。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（5）现场人员保障：布展、展期、撤展全过程配备持证专业施工人员；展期每日固定配置木工、持证电工、音响操作人员各 1 名驻场值守，及时处理结构、电路、设备故障。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（6）撤场清运：展会结束后按展馆时限完成全部搭建物拆除、垃圾清运，清理现场无板材、胶渍、喷画残留，恢复场地原貌，协助委托人办理展品出门、押金退还手续。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（7）安全责任：所有施工人员特种作业持证上岗，统一购买第三者责任险；施工、展期内发生人身伤害、财产损毁、消防违规等全部事故，由成交人承担全部经济与法律责任。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3.展位设计标准及配置清单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heading_8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（1）基础设计规则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整体方案以委托人提供参考效果图为基准优化设计，所有材料、结构、电气必须符合国家消防规范、保利世贸博览馆特装搭建管理规定。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1" w:name="heading_9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（2）展位固定配置明细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地面：B1级阻燃展览地毯全覆盖；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门楣区域：4组门楣下灯箱展墙、4组门楣发光字；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产品展示区：4组中岛产品展台（配灯箱+门锁）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接待台：一张（配门锁）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形象配套：1项吉祥物灯箱、4组内侧灯箱+展柜组合（配门锁）；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功能配套：灯具、4套洽谈桌椅、1张泡茶桌（配套椅子、茶具、电烧水壶、桶装水）、4盆装饰绿植。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4.制作施工技术规范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（1）木结构标准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所有木质龙骨、夹板、背板、切口裸露部位必须完整涂刷阻燃防火涂料；板材拼接平整无鼓包、缝隙均匀无色差；基础墙体统一采用龙骨框架 +夹板面层，表面均匀涂刷乳胶漆；所有展台结构加固处理，大跨度构件增设支撑，保证承重、抗晃安全。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（2）金属构件标准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金属焊接部位打磨平整，多层均匀喷涂面漆，漆面光滑光泽均匀；金属框架全部做电气跨接、安全接地，配套专用保护地线，外部做绝缘包裹处理。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（3）玻璃构件标准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所有玻璃展柜、隔断统一采用钢化安全玻璃。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（4）电气施工强制要求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灯具、插座、电线、镇流器均采用消防检验合格产品；地面布线全程套管保护，地毯下线缆无中间接头；灯箱、灯柱预留对流散热孔；电路分路设置漏电保护装置。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（5）美工画面标准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喷画裱贴平整贴合，拼接缝隙整齐，画面色彩连贯无错位、起泡。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5.验收标准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（1）合规要求：整体设计、施工符合国家建筑、消防、电气、环保现行规范，严格遵守展馆管理规定，不得破坏展馆原有墙体、地面、承重结构；如需开孔，完工后复原至原有外观。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（2）成品验收：结构稳固无松动、漆面平整无瑕疵、灯光设备运行正常、画面完整美观，功能设施（储物柜、泡茶台、照明、饮水机等）全部可正常使用。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（3）现场验收：布展完成后组织双方现场验收，出具验收单；展期每日巡检，出现开裂、电路故障、画面破损等问题2小时内到场修复。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6.其他要求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（1）服务期限：自合同签订之日起至展览会结束。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（2）交付条件：验收合格。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（3）履约保证金：无。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（4）合同签订期限：成交人须在签订《竞价结果通知书》后3个工作日内提供《采购合同》；签订《竞价结果通知书》后7 个工作日内与委托人签订正式服务合同。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为总价包干报价，报价包含但不限于：方案设计费、材料采购、工厂制作、运输装卸、人工搭建、电路改造、美工喷画、灯具五金、防火处理、展馆全部规费、人员保险、驻场运维、拆除清运、税费、售后维修等项目全过程所有费用，委托人不再向成交人支付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（6）付款方式：</w:t>
      </w:r>
    </w:p>
    <w:tbl>
      <w:tblPr>
        <w:tblStyle w:val="12"/>
        <w:tblW w:w="97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70"/>
        <w:gridCol w:w="6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付费次序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比例（%）</w:t>
            </w:r>
          </w:p>
        </w:tc>
        <w:tc>
          <w:tcPr>
            <w:tcW w:w="6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合同签订后且提供相关票据的，15日内支付合同价款的40%；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项目验收后且提供相关票据的，15日内支付合同价款的60%；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备注：（1）成交后，委托人可根据项目需求和服务内容调整实际服务人员的数量，成交人须根据委托人实际需求派驻服务人员。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（2）成交人应综合考虑服务的职责与服务内容，提供工作能力相匹配的人员完成服务，委托人有权要求更换服务不到位的人员。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必须于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转入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平台系统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指定账户，以实际到账为准（户名：福建随行软件有限公司，开户行：招商银行福州分行营业部，账号：在线获取保证金子账号）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)营业执照副本、法定代表人身份证复印件；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)签订完整的承诺书；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)在参加本次采购活动前3年内在经营活动中没有重大违法记录的书面声明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（格式自拟）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（6）分项报价表（格式自拟）。</w:t>
      </w:r>
    </w:p>
    <w:tbl>
      <w:tblPr>
        <w:tblStyle w:val="12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40"/>
        <w:gridCol w:w="1350"/>
        <w:gridCol w:w="1410"/>
        <w:gridCol w:w="2010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以上材料复印件须加盖公章。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1.本场竞价须三家及以上竞价人在规定时间内参与竞价，如果在规定时间内参与竞价的竞价人不足三家，则按流标处理，竞价人不得有异议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，按3000元收取。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招标代理服务费须在成交之日起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个工作日汇到本公司指定账户（户名：连城县国有资产产权交易服务有限公司，开户行：中国农业银行连城县支行，账号：1377 0101 0400 18263）。招标代理服务费未按期付清的，视成交人根本违约，竞价保证金不予退回。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、特别提示</w:t>
      </w:r>
    </w:p>
    <w:tbl>
      <w:tblPr>
        <w:tblStyle w:val="12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278765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880" w:firstLineChars="21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2026西雅国际食品和饮料展览会（广州）连城地瓜干特装搭建服务采购项目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LCCQJJ2026070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</w:t>
      </w:r>
      <w:bookmarkStart w:id="2" w:name="_GoBack"/>
      <w:bookmarkEnd w:id="2"/>
      <w:r>
        <w:rPr>
          <w:rFonts w:hint="eastAsia" w:ascii="宋体" w:hAnsi="宋体" w:eastAsia="宋体" w:cs="宋体"/>
          <w:color w:val="000000"/>
          <w:sz w:val="28"/>
          <w:szCs w:val="28"/>
        </w:rPr>
        <w:t>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33787F"/>
    <w:rsid w:val="023E7D09"/>
    <w:rsid w:val="039E3DB5"/>
    <w:rsid w:val="04973358"/>
    <w:rsid w:val="051802BB"/>
    <w:rsid w:val="054D2CF8"/>
    <w:rsid w:val="0804406F"/>
    <w:rsid w:val="080F2686"/>
    <w:rsid w:val="08161E50"/>
    <w:rsid w:val="081C4C9C"/>
    <w:rsid w:val="0834033F"/>
    <w:rsid w:val="086E3978"/>
    <w:rsid w:val="0A564F20"/>
    <w:rsid w:val="0AE1644F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2E33CF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5D665CA"/>
    <w:rsid w:val="16052A7F"/>
    <w:rsid w:val="167C30C3"/>
    <w:rsid w:val="169951BC"/>
    <w:rsid w:val="169A6476"/>
    <w:rsid w:val="16B40FC8"/>
    <w:rsid w:val="183B56FD"/>
    <w:rsid w:val="18823700"/>
    <w:rsid w:val="18AE0B48"/>
    <w:rsid w:val="18EF3710"/>
    <w:rsid w:val="1A394265"/>
    <w:rsid w:val="1AF35E37"/>
    <w:rsid w:val="1B215742"/>
    <w:rsid w:val="1CC932F4"/>
    <w:rsid w:val="1DE026A3"/>
    <w:rsid w:val="1E303C84"/>
    <w:rsid w:val="1EF00CA7"/>
    <w:rsid w:val="1F633F72"/>
    <w:rsid w:val="1FB913FE"/>
    <w:rsid w:val="203C362E"/>
    <w:rsid w:val="211A411E"/>
    <w:rsid w:val="214331EC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1B745A"/>
    <w:rsid w:val="25AD5A5E"/>
    <w:rsid w:val="25F64131"/>
    <w:rsid w:val="26945745"/>
    <w:rsid w:val="26B24F9F"/>
    <w:rsid w:val="27E3558A"/>
    <w:rsid w:val="2861758C"/>
    <w:rsid w:val="2892098A"/>
    <w:rsid w:val="29494991"/>
    <w:rsid w:val="297E0FC2"/>
    <w:rsid w:val="2A8C2B55"/>
    <w:rsid w:val="2AA87FC0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3C1B78"/>
    <w:rsid w:val="2E7E609A"/>
    <w:rsid w:val="2E975000"/>
    <w:rsid w:val="2EF02962"/>
    <w:rsid w:val="2F3740ED"/>
    <w:rsid w:val="2FF9333B"/>
    <w:rsid w:val="30094FFB"/>
    <w:rsid w:val="300F15EE"/>
    <w:rsid w:val="3062140F"/>
    <w:rsid w:val="31296CC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8D751D1"/>
    <w:rsid w:val="39C752B8"/>
    <w:rsid w:val="3A0C4B4E"/>
    <w:rsid w:val="3B1F43AF"/>
    <w:rsid w:val="3C1B437C"/>
    <w:rsid w:val="3CDB07AE"/>
    <w:rsid w:val="3D3F6CF4"/>
    <w:rsid w:val="3D71306C"/>
    <w:rsid w:val="3DC87AC0"/>
    <w:rsid w:val="3E166E94"/>
    <w:rsid w:val="3EBF16C0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3346278"/>
    <w:rsid w:val="43BF3FB9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8D96892"/>
    <w:rsid w:val="497B4AF9"/>
    <w:rsid w:val="49B303BC"/>
    <w:rsid w:val="4A58410E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2DBD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5915C48"/>
    <w:rsid w:val="56207EF4"/>
    <w:rsid w:val="56C764DA"/>
    <w:rsid w:val="56DC71A4"/>
    <w:rsid w:val="575D3BB6"/>
    <w:rsid w:val="576039DC"/>
    <w:rsid w:val="59E02F96"/>
    <w:rsid w:val="5A10637D"/>
    <w:rsid w:val="5A244F70"/>
    <w:rsid w:val="5B280C0A"/>
    <w:rsid w:val="5B5A2B76"/>
    <w:rsid w:val="5BA1276A"/>
    <w:rsid w:val="5C1B076F"/>
    <w:rsid w:val="5C2441D3"/>
    <w:rsid w:val="5C2E45B4"/>
    <w:rsid w:val="5C9245A9"/>
    <w:rsid w:val="5C9A35A3"/>
    <w:rsid w:val="5D434E88"/>
    <w:rsid w:val="5D573A29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77675E"/>
    <w:rsid w:val="64C574CA"/>
    <w:rsid w:val="64D67929"/>
    <w:rsid w:val="664A0B53"/>
    <w:rsid w:val="66BD65CF"/>
    <w:rsid w:val="66C0263F"/>
    <w:rsid w:val="67A07D7A"/>
    <w:rsid w:val="67B160B6"/>
    <w:rsid w:val="680A030D"/>
    <w:rsid w:val="684133A2"/>
    <w:rsid w:val="69113EED"/>
    <w:rsid w:val="695B16AE"/>
    <w:rsid w:val="6B776A6D"/>
    <w:rsid w:val="6C805BCC"/>
    <w:rsid w:val="6CA81B7D"/>
    <w:rsid w:val="6D7B66F3"/>
    <w:rsid w:val="6E661D1D"/>
    <w:rsid w:val="6F92367A"/>
    <w:rsid w:val="7007345D"/>
    <w:rsid w:val="702A3CF7"/>
    <w:rsid w:val="707966E1"/>
    <w:rsid w:val="71DE7052"/>
    <w:rsid w:val="729A0B48"/>
    <w:rsid w:val="729B4033"/>
    <w:rsid w:val="75A82C1C"/>
    <w:rsid w:val="769E7B7B"/>
    <w:rsid w:val="77354B5A"/>
    <w:rsid w:val="77875CB0"/>
    <w:rsid w:val="77CE5972"/>
    <w:rsid w:val="786F5C73"/>
    <w:rsid w:val="78E43635"/>
    <w:rsid w:val="78F75F2F"/>
    <w:rsid w:val="79162DAA"/>
    <w:rsid w:val="7956473D"/>
    <w:rsid w:val="79974B76"/>
    <w:rsid w:val="79B76855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4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5">
    <w:name w:val="Body Text Indent 2"/>
    <w:basedOn w:val="1"/>
    <w:qFormat/>
    <w:uiPriority w:val="0"/>
    <w:pPr>
      <w:spacing w:line="20" w:lineRule="atLeast"/>
      <w:ind w:firstLine="478" w:firstLineChars="199"/>
      <w:jc w:val="left"/>
    </w:pPr>
    <w:rPr>
      <w:rFonts w:ascii="宋体" w:hAnsi="宋体"/>
      <w:sz w:val="24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11">
    <w:name w:val="Body Text First Indent 2"/>
    <w:basedOn w:val="4"/>
    <w:next w:val="1"/>
    <w:qFormat/>
    <w:uiPriority w:val="99"/>
    <w:pPr>
      <w:ind w:firstLine="420" w:firstLineChars="200"/>
    </w:p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6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7">
    <w:name w:val="批注框文本 Char"/>
    <w:basedOn w:val="14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5652</Words>
  <Characters>6051</Characters>
  <Lines>4</Lines>
  <Paragraphs>7</Paragraphs>
  <TotalTime>2</TotalTime>
  <ScaleCrop>false</ScaleCrop>
  <LinksUpToDate>false</LinksUpToDate>
  <CharactersWithSpaces>6166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2026-07-02T00:31:53Z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eyJoZGlkIjoiNzU4MzU2ZjA3NDFmMzk5NzYzMDY0YjlmOTgwOTVjNzgiLCJ1c2VySWQiOiIzNTE2Njc4MjgifQ==</vt:lpwstr>
  </property>
</Properties>
</file>