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rPr>
      </w:pPr>
      <w:r>
        <w:rPr>
          <w:rFonts w:hint="eastAsia" w:ascii="宋体" w:hAnsi="宋体" w:eastAsia="宋体" w:cs="宋体"/>
          <w:b/>
          <w:bCs/>
          <w:color w:val="auto"/>
          <w:kern w:val="0"/>
          <w:sz w:val="44"/>
          <w:szCs w:val="44"/>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rPr>
      </w:pPr>
      <w:r>
        <w:rPr>
          <w:rFonts w:hint="eastAsia" w:ascii="宋体" w:hAnsi="宋体" w:eastAsia="宋体" w:cs="宋体"/>
          <w:b/>
          <w:bCs/>
          <w:color w:val="auto"/>
          <w:kern w:val="0"/>
          <w:sz w:val="28"/>
          <w:szCs w:val="28"/>
          <w:shd w:val="clear" w:color="auto" w:fill="FFFFFF"/>
        </w:rPr>
        <w:t>（项目编号:</w:t>
      </w:r>
      <w:r>
        <w:rPr>
          <w:rFonts w:hint="eastAsia" w:ascii="宋体" w:hAnsi="宋体" w:cs="宋体"/>
          <w:b/>
          <w:bCs/>
          <w:color w:val="auto"/>
          <w:kern w:val="0"/>
          <w:sz w:val="28"/>
          <w:szCs w:val="28"/>
          <w:shd w:val="clear" w:color="auto" w:fill="FFFFFF"/>
          <w:lang w:eastAsia="zh-CN"/>
        </w:rPr>
        <w:t>LCCQJJ20260708-2</w:t>
      </w:r>
      <w:r>
        <w:rPr>
          <w:rFonts w:hint="eastAsia" w:ascii="宋体" w:hAnsi="宋体" w:eastAsia="宋体" w:cs="宋体"/>
          <w:b/>
          <w:bCs/>
          <w:color w:val="auto"/>
          <w:kern w:val="0"/>
          <w:sz w:val="28"/>
          <w:szCs w:val="28"/>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w:t>
      </w:r>
      <w:r>
        <w:rPr>
          <w:rFonts w:hint="eastAsia" w:ascii="宋体" w:hAnsi="宋体" w:cs="宋体"/>
          <w:color w:val="auto"/>
          <w:sz w:val="28"/>
          <w:szCs w:val="28"/>
          <w:lang w:val="en-US" w:eastAsia="zh-CN"/>
        </w:rPr>
        <w:t>截</w:t>
      </w:r>
      <w:r>
        <w:rPr>
          <w:rFonts w:hint="eastAsia" w:ascii="宋体" w:hAnsi="宋体" w:eastAsia="宋体" w:cs="宋体"/>
          <w:color w:val="auto"/>
          <w:sz w:val="28"/>
          <w:szCs w:val="28"/>
          <w:lang w:val="en-US" w:eastAsia="zh-CN"/>
        </w:rPr>
        <w:t>止时间：</w:t>
      </w:r>
      <w:r>
        <w:rPr>
          <w:rFonts w:hint="eastAsia" w:ascii="宋体" w:hAnsi="宋体" w:cs="宋体"/>
          <w:color w:val="auto"/>
          <w:sz w:val="28"/>
          <w:szCs w:val="28"/>
          <w:lang w:val="en-US" w:eastAsia="zh-CN"/>
        </w:rPr>
        <w:t>2026年7月8日10:00止</w:t>
      </w:r>
      <w:r>
        <w:rPr>
          <w:rFonts w:hint="eastAsia" w:ascii="宋体" w:hAnsi="宋体" w:eastAsia="宋体" w:cs="宋体"/>
          <w:color w:val="auto"/>
          <w:sz w:val="28"/>
          <w:szCs w:val="28"/>
          <w:lang w:val="en-US" w:eastAsia="zh-CN"/>
        </w:rPr>
        <w:t>。</w:t>
      </w:r>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w:t>
      </w:r>
      <w:r>
        <w:rPr>
          <w:rFonts w:hint="eastAsia" w:ascii="宋体" w:hAnsi="宋体" w:cs="宋体"/>
          <w:color w:val="auto"/>
          <w:sz w:val="28"/>
          <w:szCs w:val="28"/>
          <w:lang w:val="en-US" w:eastAsia="zh-CN"/>
        </w:rPr>
        <w:t>截止</w:t>
      </w:r>
      <w:r>
        <w:rPr>
          <w:rFonts w:hint="eastAsia" w:ascii="宋体" w:hAnsi="宋体" w:eastAsia="宋体" w:cs="宋体"/>
          <w:color w:val="auto"/>
          <w:sz w:val="28"/>
          <w:szCs w:val="28"/>
          <w:lang w:val="en-US" w:eastAsia="zh-CN"/>
        </w:rPr>
        <w:t>时间：</w:t>
      </w:r>
      <w:r>
        <w:rPr>
          <w:rFonts w:hint="eastAsia" w:ascii="宋体" w:hAnsi="宋体" w:cs="宋体"/>
          <w:color w:val="auto"/>
          <w:sz w:val="28"/>
          <w:szCs w:val="28"/>
          <w:lang w:val="en-US" w:eastAsia="zh-CN"/>
        </w:rPr>
        <w:t>2026年7月8日10:00</w:t>
      </w:r>
      <w:r>
        <w:rPr>
          <w:rFonts w:hint="eastAsia" w:ascii="宋体" w:hAnsi="宋体" w:eastAsia="宋体" w:cs="宋体"/>
          <w:color w:val="auto"/>
          <w:sz w:val="28"/>
          <w:szCs w:val="28"/>
          <w:lang w:val="en-US" w:eastAsia="zh-CN"/>
        </w:rPr>
        <w:t>止</w:t>
      </w:r>
      <w:r>
        <w:rPr>
          <w:rFonts w:hint="eastAsia" w:ascii="宋体" w:hAnsi="宋体" w:cs="宋体"/>
          <w:color w:val="auto"/>
          <w:sz w:val="28"/>
          <w:szCs w:val="28"/>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连城产权联系</w:t>
      </w:r>
      <w:r>
        <w:rPr>
          <w:rFonts w:hint="eastAsia" w:ascii="宋体" w:hAnsi="宋体" w:cs="宋体"/>
          <w:color w:val="auto"/>
          <w:sz w:val="28"/>
          <w:szCs w:val="28"/>
          <w:lang w:val="en-US" w:eastAsia="zh-CN"/>
        </w:rPr>
        <w:t>人及</w:t>
      </w:r>
      <w:r>
        <w:rPr>
          <w:rFonts w:hint="eastAsia" w:ascii="宋体" w:hAnsi="宋体" w:eastAsia="宋体" w:cs="宋体"/>
          <w:color w:val="auto"/>
          <w:sz w:val="28"/>
          <w:szCs w:val="28"/>
          <w:lang w:val="en-US" w:eastAsia="zh-CN"/>
        </w:rPr>
        <w:t>电话：</w:t>
      </w:r>
      <w:r>
        <w:rPr>
          <w:rFonts w:hint="eastAsia" w:ascii="宋体" w:hAnsi="宋体" w:cs="宋体"/>
          <w:color w:val="auto"/>
          <w:sz w:val="28"/>
          <w:szCs w:val="28"/>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b w:val="0"/>
          <w:bCs w:val="0"/>
          <w:color w:val="auto"/>
          <w:sz w:val="28"/>
          <w:szCs w:val="28"/>
          <w:lang w:val="en-US" w:eastAsia="zh-CN"/>
        </w:rPr>
        <w:t>连城县公立医疗卫生机构医养结合服务中心建设项目工程勘察</w:t>
      </w:r>
      <w:r>
        <w:rPr>
          <w:rFonts w:hint="eastAsia" w:ascii="宋体" w:hAnsi="宋体" w:eastAsia="宋体" w:cs="宋体"/>
          <w:b w:val="0"/>
          <w:bCs w:val="0"/>
          <w:color w:val="auto"/>
          <w:sz w:val="28"/>
          <w:szCs w:val="28"/>
          <w:lang w:val="en-US" w:eastAsia="zh-CN"/>
        </w:rPr>
        <w:t>。</w:t>
      </w:r>
    </w:p>
    <w:p w14:paraId="461370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项目地点：连城县莲峰镇。</w:t>
      </w:r>
    </w:p>
    <w:p w14:paraId="330B366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3</w:t>
      </w:r>
      <w:r>
        <w:rPr>
          <w:rFonts w:hint="eastAsia" w:ascii="宋体" w:hAnsi="宋体" w:cs="宋体"/>
          <w:b w:val="0"/>
          <w:bCs w:val="0"/>
          <w:color w:val="auto"/>
          <w:sz w:val="28"/>
          <w:szCs w:val="28"/>
          <w:lang w:val="en-US" w:eastAsia="zh-CN"/>
        </w:rPr>
        <w:t>.</w:t>
      </w:r>
      <w:r>
        <w:rPr>
          <w:rFonts w:hint="eastAsia" w:ascii="宋体" w:hAnsi="宋体" w:eastAsia="宋体" w:cs="宋体"/>
          <w:b w:val="0"/>
          <w:bCs w:val="0"/>
          <w:color w:val="auto"/>
          <w:sz w:val="28"/>
          <w:szCs w:val="28"/>
          <w:lang w:val="en-US" w:eastAsia="zh-CN"/>
        </w:rPr>
        <w:t>项目规模：总用地面积8034.48㎡，用地南临10米已建城市道路，东临16米已建城市道路，西邻文川医院，北临荒地。项目拟建康养综合楼一栋、中医康复综合楼一栋，建筑层数≤六层，总建筑面积控制在9000㎡～10000㎡以内（①用地性质：服务设施用地；②用地面积8034.48㎡；③容积率≤2.0；④建筑密度≤35%；⑤绿地率≥35%；⑥建筑高度≤45米）。总投资4667万元，建安费3454.55万元。</w:t>
      </w:r>
    </w:p>
    <w:p w14:paraId="48D06D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val="en-US" w:eastAsia="zh-CN"/>
        </w:rPr>
        <w:t>4.控制价分项报价表</w:t>
      </w:r>
    </w:p>
    <w:p w14:paraId="28461C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lang w:val="en-US" w:eastAsia="zh-CN"/>
        </w:rPr>
      </w:pPr>
    </w:p>
    <w:tbl>
      <w:tblPr>
        <w:tblStyle w:val="1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2819"/>
        <w:gridCol w:w="1069"/>
        <w:gridCol w:w="1256"/>
        <w:gridCol w:w="1725"/>
        <w:gridCol w:w="1551"/>
      </w:tblGrid>
      <w:tr w14:paraId="27B1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68" w:type="dxa"/>
            <w:vAlign w:val="center"/>
          </w:tcPr>
          <w:p w14:paraId="23626CE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cs="宋体"/>
                <w:b/>
                <w:bCs w:val="0"/>
                <w:color w:val="auto"/>
                <w:sz w:val="28"/>
                <w:szCs w:val="28"/>
                <w:lang w:val="en-US" w:eastAsia="zh-CN"/>
              </w:rPr>
            </w:pPr>
            <w:r>
              <w:rPr>
                <w:rFonts w:hint="eastAsia" w:ascii="宋体" w:hAnsi="宋体" w:cs="宋体"/>
                <w:b/>
                <w:bCs w:val="0"/>
                <w:color w:val="auto"/>
                <w:sz w:val="28"/>
                <w:szCs w:val="28"/>
                <w:lang w:val="en-US" w:eastAsia="zh-CN"/>
              </w:rPr>
              <w:t>序号</w:t>
            </w:r>
          </w:p>
        </w:tc>
        <w:tc>
          <w:tcPr>
            <w:tcW w:w="2819" w:type="dxa"/>
            <w:vAlign w:val="center"/>
          </w:tcPr>
          <w:p w14:paraId="6EB0E4E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cs="宋体"/>
                <w:b/>
                <w:bCs w:val="0"/>
                <w:color w:val="auto"/>
                <w:sz w:val="28"/>
                <w:szCs w:val="28"/>
                <w:lang w:val="en-US" w:eastAsia="zh-CN"/>
              </w:rPr>
            </w:pPr>
            <w:r>
              <w:rPr>
                <w:rFonts w:hint="eastAsia" w:ascii="宋体" w:hAnsi="宋体" w:cs="宋体"/>
                <w:b/>
                <w:bCs w:val="0"/>
                <w:color w:val="auto"/>
                <w:sz w:val="28"/>
                <w:szCs w:val="28"/>
                <w:lang w:val="en-US" w:eastAsia="zh-CN"/>
              </w:rPr>
              <w:t>分项名称</w:t>
            </w:r>
          </w:p>
        </w:tc>
        <w:tc>
          <w:tcPr>
            <w:tcW w:w="1069" w:type="dxa"/>
            <w:vAlign w:val="center"/>
          </w:tcPr>
          <w:p w14:paraId="15A4120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cs="宋体"/>
                <w:b/>
                <w:bCs w:val="0"/>
                <w:color w:val="auto"/>
                <w:sz w:val="28"/>
                <w:szCs w:val="28"/>
                <w:lang w:val="en-US" w:eastAsia="zh-CN"/>
              </w:rPr>
            </w:pPr>
            <w:r>
              <w:rPr>
                <w:rFonts w:hint="eastAsia" w:ascii="宋体" w:hAnsi="宋体" w:cs="宋体"/>
                <w:b/>
                <w:bCs w:val="0"/>
                <w:color w:val="auto"/>
                <w:sz w:val="28"/>
                <w:szCs w:val="28"/>
                <w:lang w:val="en-US" w:eastAsia="zh-CN"/>
              </w:rPr>
              <w:t>单位</w:t>
            </w:r>
          </w:p>
        </w:tc>
        <w:tc>
          <w:tcPr>
            <w:tcW w:w="1256" w:type="dxa"/>
            <w:vAlign w:val="center"/>
          </w:tcPr>
          <w:p w14:paraId="43A1254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cs="宋体"/>
                <w:b/>
                <w:bCs w:val="0"/>
                <w:color w:val="auto"/>
                <w:sz w:val="28"/>
                <w:szCs w:val="28"/>
                <w:lang w:val="en-US" w:eastAsia="zh-CN"/>
              </w:rPr>
            </w:pPr>
            <w:r>
              <w:rPr>
                <w:rFonts w:hint="eastAsia" w:ascii="宋体" w:hAnsi="宋体" w:cs="宋体"/>
                <w:b/>
                <w:bCs w:val="0"/>
                <w:color w:val="auto"/>
                <w:sz w:val="28"/>
                <w:szCs w:val="28"/>
                <w:lang w:val="en-US" w:eastAsia="zh-CN"/>
              </w:rPr>
              <w:t>数量</w:t>
            </w:r>
          </w:p>
        </w:tc>
        <w:tc>
          <w:tcPr>
            <w:tcW w:w="1725" w:type="dxa"/>
            <w:shd w:val="clear" w:color="auto" w:fill="auto"/>
            <w:vAlign w:val="center"/>
          </w:tcPr>
          <w:p w14:paraId="36A1FB9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val="0"/>
                <w:color w:val="auto"/>
                <w:kern w:val="2"/>
                <w:sz w:val="28"/>
                <w:szCs w:val="28"/>
                <w:lang w:val="en-US" w:eastAsia="zh-CN" w:bidi="ar-SA"/>
              </w:rPr>
            </w:pPr>
            <w:r>
              <w:rPr>
                <w:rFonts w:hint="eastAsia" w:ascii="宋体" w:hAnsi="宋体" w:cs="宋体"/>
                <w:b/>
                <w:bCs w:val="0"/>
                <w:color w:val="auto"/>
                <w:sz w:val="28"/>
                <w:szCs w:val="28"/>
                <w:lang w:val="en-US" w:eastAsia="zh-CN"/>
              </w:rPr>
              <w:t>单价（元）</w:t>
            </w:r>
          </w:p>
        </w:tc>
        <w:tc>
          <w:tcPr>
            <w:tcW w:w="1551" w:type="dxa"/>
            <w:shd w:val="clear" w:color="auto" w:fill="auto"/>
            <w:vAlign w:val="center"/>
          </w:tcPr>
          <w:p w14:paraId="6CFACF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bCs w:val="0"/>
                <w:color w:val="auto"/>
                <w:kern w:val="2"/>
                <w:sz w:val="28"/>
                <w:szCs w:val="28"/>
                <w:lang w:val="en-US" w:eastAsia="zh-CN" w:bidi="ar-SA"/>
              </w:rPr>
            </w:pPr>
            <w:r>
              <w:rPr>
                <w:rFonts w:hint="eastAsia" w:ascii="宋体" w:hAnsi="宋体" w:cs="宋体"/>
                <w:b/>
                <w:bCs w:val="0"/>
                <w:color w:val="auto"/>
                <w:sz w:val="28"/>
                <w:szCs w:val="28"/>
                <w:lang w:val="en-US" w:eastAsia="zh-CN"/>
              </w:rPr>
              <w:t>合计（元）</w:t>
            </w:r>
          </w:p>
        </w:tc>
      </w:tr>
      <w:tr w14:paraId="6460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vAlign w:val="center"/>
          </w:tcPr>
          <w:p w14:paraId="4CA4F09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w:t>
            </w:r>
          </w:p>
        </w:tc>
        <w:tc>
          <w:tcPr>
            <w:tcW w:w="2819" w:type="dxa"/>
            <w:vAlign w:val="center"/>
          </w:tcPr>
          <w:p w14:paraId="71C7BA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勘察费</w:t>
            </w:r>
          </w:p>
        </w:tc>
        <w:tc>
          <w:tcPr>
            <w:tcW w:w="1069" w:type="dxa"/>
            <w:vAlign w:val="center"/>
          </w:tcPr>
          <w:p w14:paraId="0B803D7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米</w:t>
            </w:r>
          </w:p>
        </w:tc>
        <w:tc>
          <w:tcPr>
            <w:tcW w:w="1256" w:type="dxa"/>
            <w:vAlign w:val="center"/>
          </w:tcPr>
          <w:p w14:paraId="25DDD3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700</w:t>
            </w:r>
          </w:p>
        </w:tc>
        <w:tc>
          <w:tcPr>
            <w:tcW w:w="1725" w:type="dxa"/>
            <w:vAlign w:val="center"/>
          </w:tcPr>
          <w:p w14:paraId="52AA7C4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118.75</w:t>
            </w:r>
          </w:p>
        </w:tc>
        <w:tc>
          <w:tcPr>
            <w:tcW w:w="1551" w:type="dxa"/>
            <w:vAlign w:val="center"/>
          </w:tcPr>
          <w:p w14:paraId="2969E60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83125</w:t>
            </w:r>
          </w:p>
        </w:tc>
      </w:tr>
      <w:tr w14:paraId="1188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vAlign w:val="center"/>
          </w:tcPr>
          <w:p w14:paraId="6C80F40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2</w:t>
            </w:r>
          </w:p>
        </w:tc>
        <w:tc>
          <w:tcPr>
            <w:tcW w:w="2819" w:type="dxa"/>
            <w:vAlign w:val="center"/>
          </w:tcPr>
          <w:p w14:paraId="78A5859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b w:val="0"/>
                <w:bCs w:val="0"/>
                <w:color w:val="auto"/>
                <w:sz w:val="28"/>
                <w:szCs w:val="28"/>
                <w:vertAlign w:val="baseline"/>
                <w:lang w:val="en-US" w:eastAsia="zh-CN"/>
              </w:rPr>
            </w:pPr>
            <w:r>
              <w:rPr>
                <w:rFonts w:hint="eastAsia" w:ascii="宋体" w:hAnsi="宋体" w:eastAsia="宋体" w:cs="宋体"/>
                <w:i w:val="0"/>
                <w:iCs w:val="0"/>
                <w:caps w:val="0"/>
                <w:color w:val="404040"/>
                <w:spacing w:val="0"/>
                <w:sz w:val="28"/>
                <w:szCs w:val="24"/>
                <w:shd w:val="clear" w:fill="FFFFFF"/>
              </w:rPr>
              <w:t>地下室基坑支护岩土工程设计费</w:t>
            </w:r>
          </w:p>
        </w:tc>
        <w:tc>
          <w:tcPr>
            <w:tcW w:w="1069" w:type="dxa"/>
            <w:vAlign w:val="center"/>
          </w:tcPr>
          <w:p w14:paraId="1B194E2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项</w:t>
            </w:r>
          </w:p>
        </w:tc>
        <w:tc>
          <w:tcPr>
            <w:tcW w:w="1256" w:type="dxa"/>
            <w:vAlign w:val="center"/>
          </w:tcPr>
          <w:p w14:paraId="5CEF3A6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1</w:t>
            </w:r>
          </w:p>
        </w:tc>
        <w:tc>
          <w:tcPr>
            <w:tcW w:w="1725" w:type="dxa"/>
            <w:vAlign w:val="center"/>
          </w:tcPr>
          <w:p w14:paraId="25A9951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47750</w:t>
            </w:r>
          </w:p>
        </w:tc>
        <w:tc>
          <w:tcPr>
            <w:tcW w:w="1551" w:type="dxa"/>
            <w:vAlign w:val="center"/>
          </w:tcPr>
          <w:p w14:paraId="44BB293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val="0"/>
                <w:bCs w:val="0"/>
                <w:color w:val="auto"/>
                <w:sz w:val="28"/>
                <w:szCs w:val="28"/>
                <w:vertAlign w:val="baseline"/>
                <w:lang w:val="en-US" w:eastAsia="zh-CN"/>
              </w:rPr>
            </w:pPr>
            <w:r>
              <w:rPr>
                <w:rFonts w:hint="eastAsia" w:ascii="宋体" w:hAnsi="宋体" w:eastAsia="宋体" w:cs="宋体"/>
                <w:b w:val="0"/>
                <w:bCs w:val="0"/>
                <w:color w:val="auto"/>
                <w:sz w:val="28"/>
                <w:szCs w:val="28"/>
                <w:vertAlign w:val="baseline"/>
                <w:lang w:val="en-US" w:eastAsia="zh-CN"/>
              </w:rPr>
              <w:t>47750</w:t>
            </w:r>
          </w:p>
        </w:tc>
      </w:tr>
      <w:tr w14:paraId="6BCE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37" w:type="dxa"/>
            <w:gridSpan w:val="5"/>
            <w:vAlign w:val="center"/>
          </w:tcPr>
          <w:p w14:paraId="0AD1738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val="0"/>
                <w:color w:val="auto"/>
                <w:sz w:val="28"/>
                <w:szCs w:val="28"/>
                <w:vertAlign w:val="baseline"/>
                <w:lang w:val="en-US" w:eastAsia="zh-CN"/>
              </w:rPr>
            </w:pPr>
            <w:r>
              <w:rPr>
                <w:rFonts w:hint="eastAsia" w:ascii="宋体" w:hAnsi="宋体" w:eastAsia="宋体" w:cs="宋体"/>
                <w:b/>
                <w:bCs w:val="0"/>
                <w:color w:val="auto"/>
                <w:sz w:val="28"/>
                <w:szCs w:val="28"/>
                <w:vertAlign w:val="baseline"/>
                <w:lang w:val="en-US" w:eastAsia="zh-CN"/>
              </w:rPr>
              <w:t>合计</w:t>
            </w:r>
          </w:p>
        </w:tc>
        <w:tc>
          <w:tcPr>
            <w:tcW w:w="1551" w:type="dxa"/>
            <w:vAlign w:val="center"/>
          </w:tcPr>
          <w:p w14:paraId="190E9E1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宋体" w:hAnsi="宋体" w:eastAsia="宋体" w:cs="宋体"/>
                <w:b/>
                <w:bCs w:val="0"/>
                <w:color w:val="auto"/>
                <w:sz w:val="28"/>
                <w:szCs w:val="28"/>
                <w:vertAlign w:val="baseline"/>
                <w:lang w:val="en-US" w:eastAsia="zh-CN"/>
              </w:rPr>
            </w:pPr>
            <w:r>
              <w:rPr>
                <w:rFonts w:hint="eastAsia" w:ascii="宋体" w:hAnsi="宋体" w:eastAsia="宋体" w:cs="宋体"/>
                <w:b/>
                <w:bCs w:val="0"/>
                <w:color w:val="auto"/>
                <w:sz w:val="28"/>
                <w:szCs w:val="28"/>
                <w:vertAlign w:val="baseline"/>
                <w:lang w:val="en-US" w:eastAsia="zh-CN"/>
              </w:rPr>
              <w:t>130875</w:t>
            </w:r>
          </w:p>
        </w:tc>
      </w:tr>
      <w:tr w14:paraId="0FEE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88" w:type="dxa"/>
            <w:gridSpan w:val="6"/>
            <w:vAlign w:val="center"/>
          </w:tcPr>
          <w:p w14:paraId="093C3A6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宋体" w:hAnsi="宋体" w:eastAsia="宋体" w:cs="宋体"/>
                <w:b/>
                <w:bCs w:val="0"/>
                <w:color w:val="auto"/>
                <w:sz w:val="28"/>
                <w:szCs w:val="28"/>
                <w:vertAlign w:val="baseline"/>
                <w:lang w:val="en-US" w:eastAsia="zh-CN"/>
              </w:rPr>
            </w:pPr>
            <w:r>
              <w:rPr>
                <w:rFonts w:hint="eastAsia" w:ascii="宋体" w:hAnsi="宋体" w:eastAsia="宋体" w:cs="宋体"/>
                <w:b/>
                <w:bCs w:val="0"/>
                <w:color w:val="auto"/>
                <w:sz w:val="28"/>
                <w:szCs w:val="28"/>
                <w:vertAlign w:val="baseline"/>
                <w:lang w:val="en-US" w:eastAsia="zh-CN"/>
              </w:rPr>
              <w:t>注：上述价格均为含税价格</w:t>
            </w:r>
            <w:r>
              <w:rPr>
                <w:rFonts w:hint="eastAsia" w:ascii="宋体" w:hAnsi="宋体" w:cs="宋体"/>
                <w:b/>
                <w:bCs w:val="0"/>
                <w:color w:val="auto"/>
                <w:sz w:val="28"/>
                <w:szCs w:val="28"/>
                <w:vertAlign w:val="baseline"/>
                <w:lang w:val="en-US" w:eastAsia="zh-CN"/>
              </w:rPr>
              <w:t>。</w:t>
            </w:r>
          </w:p>
        </w:tc>
      </w:tr>
    </w:tbl>
    <w:p w14:paraId="6D10313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b w:val="0"/>
          <w:bCs w:val="0"/>
          <w:color w:val="auto"/>
          <w:sz w:val="28"/>
          <w:szCs w:val="28"/>
          <w:lang w:val="en-US" w:eastAsia="zh-CN"/>
        </w:rPr>
        <w:t>5.</w:t>
      </w:r>
      <w:r>
        <w:rPr>
          <w:rFonts w:hint="eastAsia" w:ascii="宋体" w:hAnsi="宋体" w:eastAsia="宋体" w:cs="宋体"/>
          <w:b w:val="0"/>
          <w:bCs w:val="0"/>
          <w:color w:val="auto"/>
          <w:sz w:val="28"/>
          <w:szCs w:val="28"/>
          <w:lang w:val="en-US" w:eastAsia="zh-CN"/>
        </w:rPr>
        <w:t>竞价保证金</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2600</w:t>
      </w:r>
      <w:r>
        <w:rPr>
          <w:rFonts w:hint="eastAsia" w:ascii="宋体" w:hAnsi="宋体" w:eastAsia="宋体" w:cs="宋体"/>
          <w:color w:val="auto"/>
          <w:sz w:val="28"/>
          <w:szCs w:val="28"/>
          <w:lang w:val="en-US" w:eastAsia="zh-CN"/>
        </w:rPr>
        <w:t>元</w:t>
      </w:r>
      <w:r>
        <w:rPr>
          <w:rFonts w:hint="eastAsia" w:ascii="宋体" w:hAnsi="宋体" w:cs="宋体"/>
          <w:color w:val="auto"/>
          <w:sz w:val="28"/>
          <w:szCs w:val="28"/>
          <w:lang w:val="en-US" w:eastAsia="zh-CN"/>
        </w:rPr>
        <w:t>。</w:t>
      </w:r>
    </w:p>
    <w:p w14:paraId="2E887E4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6.</w:t>
      </w:r>
      <w:r>
        <w:rPr>
          <w:rFonts w:hint="eastAsia" w:ascii="宋体" w:hAnsi="宋体" w:eastAsia="宋体" w:cs="宋体"/>
          <w:color w:val="auto"/>
          <w:sz w:val="28"/>
          <w:szCs w:val="28"/>
          <w:lang w:val="en-US" w:eastAsia="zh-CN"/>
        </w:rPr>
        <w:t>工作要求（具体按委托人要求及《</w:t>
      </w:r>
      <w:r>
        <w:rPr>
          <w:rFonts w:hint="eastAsia" w:ascii="宋体" w:hAnsi="宋体" w:cs="宋体"/>
          <w:color w:val="auto"/>
          <w:sz w:val="28"/>
          <w:szCs w:val="28"/>
          <w:lang w:val="en-US" w:eastAsia="zh-CN"/>
        </w:rPr>
        <w:t>勘察合同</w:t>
      </w:r>
      <w:r>
        <w:rPr>
          <w:rFonts w:hint="eastAsia" w:ascii="宋体" w:hAnsi="宋体" w:eastAsia="宋体" w:cs="宋体"/>
          <w:color w:val="auto"/>
          <w:sz w:val="28"/>
          <w:szCs w:val="28"/>
          <w:lang w:val="en-US" w:eastAsia="zh-CN"/>
        </w:rPr>
        <w:t>》执行）</w:t>
      </w:r>
      <w:r>
        <w:rPr>
          <w:rFonts w:hint="eastAsia" w:ascii="宋体" w:hAnsi="宋体" w:cs="宋体"/>
          <w:color w:val="auto"/>
          <w:sz w:val="28"/>
          <w:szCs w:val="28"/>
          <w:lang w:val="en-US" w:eastAsia="zh-CN"/>
        </w:rPr>
        <w:t>：</w:t>
      </w:r>
    </w:p>
    <w:p w14:paraId="5191475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lang w:val="en-US" w:eastAsia="zh-CN"/>
        </w:rPr>
      </w:pPr>
      <w:r>
        <w:rPr>
          <w:rFonts w:hint="eastAsia" w:ascii="宋体" w:hAnsi="宋体" w:cs="宋体"/>
          <w:b w:val="0"/>
          <w:bCs w:val="0"/>
          <w:color w:val="auto"/>
          <w:sz w:val="28"/>
          <w:szCs w:val="28"/>
          <w:lang w:val="en-US" w:eastAsia="zh-CN"/>
        </w:rPr>
        <w:t>（1）工作范围：</w:t>
      </w:r>
      <w:r>
        <w:rPr>
          <w:rFonts w:hint="eastAsia" w:ascii="宋体" w:hAnsi="宋体" w:eastAsia="宋体" w:cs="宋体"/>
          <w:color w:val="auto"/>
          <w:sz w:val="28"/>
          <w:szCs w:val="28"/>
          <w:lang w:val="en-US" w:eastAsia="zh-CN"/>
        </w:rPr>
        <w:t>本项目实施范围内为满足设计和规范所要求的工程初步和详细勘察、全部勘察报告和资料、岩土工程设计，以及工程施工、验收、备案所需要的配合服务，包括但不限于收集资料，现场踏勘，制订勘察纲要，进行测绘、勘探、取样、试验、测试等勘察作业，编制工程勘察文件，配合服务以及地下室基坑支护岩土工程设计</w:t>
      </w:r>
      <w:r>
        <w:rPr>
          <w:rFonts w:hint="eastAsia" w:ascii="宋体" w:hAnsi="宋体" w:cs="宋体"/>
          <w:color w:val="auto"/>
          <w:sz w:val="28"/>
          <w:szCs w:val="28"/>
          <w:lang w:val="en-US" w:eastAsia="zh-CN"/>
        </w:rPr>
        <w:t>。</w:t>
      </w:r>
    </w:p>
    <w:p w14:paraId="286A1A6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质量标准：满足《岩土工程勘察规范》（GB50021-2001，2019版）中的相关要求，同时勘察报告达到《建设工程勘察质量管理办法》，勘察深度满足工程设计要求。</w:t>
      </w:r>
    </w:p>
    <w:p w14:paraId="53869A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（3）服务周期：</w:t>
      </w:r>
    </w:p>
    <w:p w14:paraId="02B1316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1）合同签订之日起10日内完成勘察工作</w:t>
      </w:r>
      <w:r>
        <w:rPr>
          <w:rFonts w:hint="eastAsia" w:ascii="宋体" w:hAnsi="宋体" w:eastAsia="宋体" w:cs="宋体"/>
          <w:b w:val="0"/>
          <w:bCs w:val="0"/>
          <w:color w:val="auto"/>
          <w:sz w:val="28"/>
          <w:szCs w:val="28"/>
          <w:highlight w:val="none"/>
          <w:lang w:val="en-US" w:eastAsia="zh-CN"/>
        </w:rPr>
        <w:t>并提交成果</w:t>
      </w:r>
      <w:r>
        <w:rPr>
          <w:rFonts w:hint="eastAsia" w:ascii="宋体" w:hAnsi="宋体" w:cs="宋体"/>
          <w:b w:val="0"/>
          <w:bCs w:val="0"/>
          <w:color w:val="auto"/>
          <w:sz w:val="28"/>
          <w:szCs w:val="28"/>
          <w:highlight w:val="none"/>
          <w:lang w:val="en-US" w:eastAsia="zh-CN"/>
        </w:rPr>
        <w:t>。</w:t>
      </w:r>
    </w:p>
    <w:p w14:paraId="0434DE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2）自委托人提供经图审合格的施工图起10日内完成设计并提交成果。</w:t>
      </w:r>
    </w:p>
    <w:p w14:paraId="309B17D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lang w:val="en-US" w:eastAsia="zh-CN"/>
        </w:rPr>
        <w:t>工作内</w:t>
      </w:r>
      <w:r>
        <w:rPr>
          <w:rFonts w:hint="eastAsia" w:ascii="宋体" w:hAnsi="宋体" w:eastAsia="宋体" w:cs="宋体"/>
          <w:b w:val="0"/>
          <w:bCs w:val="0"/>
          <w:color w:val="auto"/>
          <w:sz w:val="28"/>
          <w:szCs w:val="28"/>
          <w:lang w:val="en-US" w:eastAsia="zh-CN"/>
        </w:rPr>
        <w:t>容：</w:t>
      </w:r>
      <w:bookmarkStart w:id="0" w:name="_GoBack"/>
      <w:bookmarkEnd w:id="0"/>
    </w:p>
    <w:p w14:paraId="572F69D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本次勘察钻孔约20个（暂估），勘察米数约700米（暂估）（具体以平面布置图为准）。</w:t>
      </w:r>
    </w:p>
    <w:p w14:paraId="663BCE9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color w:val="auto"/>
          <w:kern w:val="0"/>
          <w:sz w:val="28"/>
          <w:szCs w:val="28"/>
          <w:shd w:val="clear" w:color="auto" w:fill="FFFFFF"/>
          <w:lang w:val="en-US" w:eastAsia="zh-CN" w:bidi="ar-SA"/>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地下室基坑支护岩土工程</w:t>
      </w:r>
      <w:r>
        <w:rPr>
          <w:rFonts w:hint="eastAsia" w:ascii="宋体" w:hAnsi="宋体" w:cs="宋体"/>
          <w:b w:val="0"/>
          <w:bCs w:val="0"/>
          <w:color w:val="auto"/>
          <w:sz w:val="28"/>
          <w:szCs w:val="28"/>
          <w:lang w:val="en-US" w:eastAsia="zh-CN"/>
        </w:rPr>
        <w:t>设计。</w:t>
      </w:r>
    </w:p>
    <w:p w14:paraId="064DB8EA">
      <w:pPr>
        <w:keepNext w:val="0"/>
        <w:keepLines w:val="0"/>
        <w:pageBreakBefore w:val="0"/>
        <w:widowControl/>
        <w:kinsoku/>
        <w:wordWrap/>
        <w:topLinePunct w:val="0"/>
        <w:bidi w:val="0"/>
        <w:spacing w:line="360" w:lineRule="auto"/>
        <w:ind w:left="0" w:firstLine="480"/>
        <w:jc w:val="left"/>
        <w:rPr>
          <w:rFonts w:hint="default" w:ascii="宋体" w:hAnsi="宋体" w:cs="宋体"/>
          <w:color w:val="auto"/>
          <w:sz w:val="28"/>
          <w:szCs w:val="28"/>
          <w:lang w:val="en-US" w:eastAsia="zh-CN"/>
        </w:rPr>
      </w:pPr>
      <w:r>
        <w:rPr>
          <w:rFonts w:hint="eastAsia" w:ascii="宋体" w:hAnsi="宋体" w:eastAsia="宋体" w:cs="宋体"/>
          <w:b/>
          <w:bCs/>
          <w:color w:val="auto"/>
          <w:kern w:val="2"/>
          <w:sz w:val="28"/>
          <w:szCs w:val="28"/>
          <w:lang w:val="en-US" w:eastAsia="zh-CN" w:bidi="ar-SA"/>
        </w:rPr>
        <w:t>特别提示</w:t>
      </w:r>
      <w:r>
        <w:rPr>
          <w:rFonts w:hint="eastAsia" w:ascii="宋体" w:hAnsi="宋体" w:eastAsia="宋体" w:cs="宋体"/>
          <w:b w:val="0"/>
          <w:bCs w:val="0"/>
          <w:color w:val="auto"/>
          <w:kern w:val="2"/>
          <w:sz w:val="28"/>
          <w:szCs w:val="28"/>
          <w:lang w:val="en-US" w:eastAsia="zh-CN" w:bidi="ar-SA"/>
        </w:rPr>
        <w:t>：本项目不集中组织现场踏勘，竞价人可根据本公告所提供的内容要求自行踏勘现场(相关责任由竞价人自行承担)，竞价人对本次</w:t>
      </w:r>
      <w:r>
        <w:rPr>
          <w:rFonts w:hint="eastAsia" w:ascii="宋体" w:hAnsi="宋体" w:cs="宋体"/>
          <w:b w:val="0"/>
          <w:bCs w:val="0"/>
          <w:color w:val="auto"/>
          <w:kern w:val="2"/>
          <w:sz w:val="28"/>
          <w:szCs w:val="28"/>
          <w:lang w:val="en-US" w:eastAsia="zh-CN" w:bidi="ar-SA"/>
        </w:rPr>
        <w:t>竞价</w:t>
      </w:r>
      <w:r>
        <w:rPr>
          <w:rFonts w:hint="eastAsia" w:ascii="宋体" w:hAnsi="宋体" w:eastAsia="宋体" w:cs="宋体"/>
          <w:b w:val="0"/>
          <w:bCs w:val="0"/>
          <w:color w:val="auto"/>
          <w:kern w:val="2"/>
          <w:sz w:val="28"/>
          <w:szCs w:val="28"/>
          <w:lang w:val="en-US" w:eastAsia="zh-CN" w:bidi="ar-SA"/>
        </w:rPr>
        <w:t>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14:paraId="379DE5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1.竞价人必须遵守中华人民共和国法律、法规，能够提供本竞价文件所述货物及服务的具有独立法人资格的境内供应商（失信被执行人除外）；</w:t>
      </w:r>
    </w:p>
    <w:p w14:paraId="24D675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2.竞价人具有履行合同所必需的能力</w:t>
      </w:r>
      <w:r>
        <w:rPr>
          <w:rFonts w:hint="eastAsia" w:ascii="宋体" w:hAnsi="宋体" w:cs="宋体"/>
          <w:color w:val="auto"/>
          <w:sz w:val="28"/>
          <w:szCs w:val="28"/>
          <w:lang w:val="en-US" w:eastAsia="zh-CN"/>
        </w:rPr>
        <w:t>；</w:t>
      </w:r>
    </w:p>
    <w:p w14:paraId="50421B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竞价人须具备建设行政主管部门核发有效的工程勘察综合类资质甲级或工程勘察专业类岩土工程（勘察）乙级及以上资质；</w:t>
      </w:r>
    </w:p>
    <w:p w14:paraId="11EF52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4.本项目不允许挂靠其他公司资格及分包，不接受联合体参与竞价；</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5.符合具备法律、行政法规规定的其他条件；</w:t>
      </w:r>
    </w:p>
    <w:p w14:paraId="03F33D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竞价人必须是委托人邀请的单位</w:t>
      </w:r>
      <w:r>
        <w:rPr>
          <w:rFonts w:hint="eastAsia" w:ascii="宋体" w:hAnsi="宋体" w:cs="宋体"/>
          <w:color w:val="auto"/>
          <w:sz w:val="28"/>
          <w:szCs w:val="28"/>
          <w:lang w:val="en-US" w:eastAsia="zh-CN"/>
        </w:rPr>
        <w:t>；</w:t>
      </w:r>
    </w:p>
    <w:p w14:paraId="54798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cs="宋体"/>
          <w:color w:val="auto"/>
          <w:sz w:val="28"/>
          <w:szCs w:val="28"/>
          <w:lang w:val="en-US" w:eastAsia="zh-CN"/>
        </w:rPr>
        <w:t>勘察单位</w:t>
      </w:r>
      <w:r>
        <w:rPr>
          <w:rFonts w:hint="eastAsia" w:ascii="宋体" w:hAnsi="宋体" w:eastAsia="宋体" w:cs="宋体"/>
          <w:color w:val="auto"/>
          <w:sz w:val="28"/>
          <w:szCs w:val="28"/>
        </w:rPr>
        <w:t>。</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14:paraId="6C80DFA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auto"/>
          <w:sz w:val="28"/>
          <w:szCs w:val="28"/>
          <w:lang w:val="en-US" w:eastAsia="zh-CN"/>
        </w:rPr>
        <w:t>2600</w:t>
      </w:r>
      <w:r>
        <w:rPr>
          <w:rFonts w:hint="eastAsia" w:ascii="宋体" w:hAnsi="宋体" w:eastAsia="宋体" w:cs="宋体"/>
          <w:color w:val="auto"/>
          <w:sz w:val="28"/>
          <w:szCs w:val="28"/>
          <w:lang w:val="en-US" w:eastAsia="zh-CN"/>
        </w:rPr>
        <w:t>元，</w:t>
      </w:r>
      <w:r>
        <w:rPr>
          <w:rFonts w:hint="eastAsia" w:ascii="宋体" w:hAnsi="宋体" w:eastAsia="宋体" w:cs="宋体"/>
          <w:color w:val="auto"/>
          <w:sz w:val="28"/>
          <w:szCs w:val="28"/>
          <w:highlight w:val="none"/>
          <w:lang w:val="en-US" w:eastAsia="zh-CN"/>
        </w:rPr>
        <w:t>必须于</w:t>
      </w:r>
      <w:r>
        <w:rPr>
          <w:rFonts w:hint="eastAsia" w:ascii="宋体" w:hAnsi="宋体" w:cs="宋体"/>
          <w:color w:val="auto"/>
          <w:sz w:val="28"/>
          <w:szCs w:val="28"/>
          <w:highlight w:val="none"/>
          <w:lang w:val="en-US" w:eastAsia="zh-CN"/>
        </w:rPr>
        <w:t>2026年7月8日上午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w:t>
      </w:r>
      <w:r>
        <w:rPr>
          <w:rFonts w:hint="eastAsia" w:ascii="宋体" w:hAnsi="宋体" w:cs="宋体"/>
          <w:color w:val="auto"/>
          <w:sz w:val="28"/>
          <w:szCs w:val="28"/>
          <w:highlight w:val="none"/>
          <w:lang w:val="en-US" w:eastAsia="zh-CN"/>
        </w:rPr>
        <w:t>转入</w:t>
      </w:r>
      <w:r>
        <w:rPr>
          <w:rFonts w:hint="eastAsia" w:ascii="宋体" w:hAnsi="宋体" w:cs="宋体"/>
          <w:b/>
          <w:bCs/>
          <w:color w:val="auto"/>
          <w:sz w:val="28"/>
          <w:szCs w:val="28"/>
          <w:highlight w:val="none"/>
          <w:lang w:val="en-US" w:eastAsia="zh-CN"/>
        </w:rPr>
        <w:t>平台系统</w:t>
      </w:r>
      <w:r>
        <w:rPr>
          <w:rFonts w:hint="eastAsia" w:ascii="宋体" w:hAnsi="宋体" w:eastAsia="宋体" w:cs="宋体"/>
          <w:b/>
          <w:bCs/>
          <w:color w:val="auto"/>
          <w:sz w:val="28"/>
          <w:szCs w:val="28"/>
          <w:highlight w:val="none"/>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highlight w:val="none"/>
          <w:lang w:val="en-US" w:eastAsia="zh-CN"/>
        </w:rPr>
        <w:t>报名参加的竞价人与缴交竞价保证金的名称要一致。竞价保证金缴至以上账户时，交款单中“款项来源”或“用途”一栏内须填写“****项目的竞价保证金”。</w:t>
      </w:r>
    </w:p>
    <w:p w14:paraId="07AC1E3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highlight w:val="none"/>
          <w:lang w:val="en-US" w:eastAsia="zh-CN"/>
        </w:rPr>
        <w:t>服务安全评估委托协议书</w:t>
      </w:r>
      <w:r>
        <w:rPr>
          <w:rFonts w:hint="eastAsia" w:ascii="宋体" w:hAnsi="宋体" w:eastAsia="宋体" w:cs="宋体"/>
          <w:color w:val="auto"/>
          <w:sz w:val="28"/>
          <w:szCs w:val="28"/>
          <w:highlight w:val="none"/>
          <w:lang w:val="en-US" w:eastAsia="zh-CN"/>
        </w:rPr>
        <w:t>》，由委托人经过相应审批程序后签订。</w:t>
      </w:r>
    </w:p>
    <w:p w14:paraId="22DC6EA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3F0B75D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14:paraId="1BFA0D9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（1）营业执照副本、法定代表人身份证复印件；</w:t>
      </w:r>
    </w:p>
    <w:p w14:paraId="2FB782B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r>
        <w:rPr>
          <w:rFonts w:hint="eastAsia" w:ascii="宋体" w:hAnsi="宋体" w:eastAsia="宋体" w:cs="宋体"/>
          <w:color w:val="auto"/>
          <w:sz w:val="28"/>
          <w:szCs w:val="28"/>
          <w:lang w:val="en-US" w:eastAsia="zh-CN"/>
        </w:rPr>
        <w:t>有效的建设行政主管部门核发有效的工程勘察综合类资质甲级或工程勘察专业类岩土工程（勘察）乙级及以上资质复印件</w:t>
      </w:r>
      <w:r>
        <w:rPr>
          <w:rFonts w:hint="eastAsia" w:ascii="宋体" w:hAnsi="宋体" w:cs="宋体"/>
          <w:color w:val="auto"/>
          <w:sz w:val="28"/>
          <w:szCs w:val="28"/>
          <w:lang w:val="en-US" w:eastAsia="zh-CN"/>
        </w:rPr>
        <w:t>；</w:t>
      </w:r>
    </w:p>
    <w:p w14:paraId="0A26899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）签订完整的</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承诺书</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w:t>
      </w:r>
    </w:p>
    <w:p w14:paraId="23D486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4</w:t>
      </w:r>
      <w:r>
        <w:rPr>
          <w:rFonts w:hint="eastAsia" w:ascii="宋体" w:hAnsi="宋体" w:eastAsia="宋体" w:cs="宋体"/>
          <w:color w:val="auto"/>
          <w:sz w:val="28"/>
          <w:szCs w:val="28"/>
          <w:lang w:val="en-US" w:eastAsia="zh-CN"/>
        </w:rPr>
        <w:t>）已缴纳的竞价保证金凭证</w:t>
      </w:r>
      <w:r>
        <w:rPr>
          <w:rFonts w:hint="eastAsia" w:ascii="宋体" w:hAnsi="宋体" w:cs="宋体"/>
          <w:color w:val="auto"/>
          <w:sz w:val="28"/>
          <w:szCs w:val="28"/>
          <w:lang w:val="en-US" w:eastAsia="zh-CN"/>
        </w:rPr>
        <w:t>；</w:t>
      </w:r>
    </w:p>
    <w:p w14:paraId="42EDA2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r>
        <w:rPr>
          <w:rFonts w:hint="eastAsia" w:ascii="宋体" w:hAnsi="宋体" w:cs="宋体"/>
          <w:color w:val="auto"/>
          <w:sz w:val="28"/>
          <w:szCs w:val="28"/>
          <w:highlight w:val="none"/>
          <w:lang w:val="en-US" w:eastAsia="zh-CN"/>
        </w:rPr>
        <w:t>。</w:t>
      </w:r>
    </w:p>
    <w:p w14:paraId="655B575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以上材料须加盖公章</w:t>
      </w:r>
      <w:r>
        <w:rPr>
          <w:rFonts w:hint="eastAsia" w:ascii="宋体" w:hAnsi="宋体" w:eastAsia="宋体" w:cs="宋体"/>
          <w:b/>
          <w:bCs/>
          <w:color w:val="auto"/>
          <w:sz w:val="28"/>
          <w:szCs w:val="28"/>
          <w:highlight w:val="none"/>
          <w:lang w:val="en-US" w:eastAsia="zh-CN"/>
        </w:rPr>
        <w:t>后</w:t>
      </w:r>
      <w:r>
        <w:rPr>
          <w:rFonts w:hint="eastAsia" w:ascii="宋体" w:hAnsi="宋体" w:eastAsia="宋体" w:cs="宋体"/>
          <w:b/>
          <w:bCs/>
          <w:color w:val="auto"/>
          <w:sz w:val="28"/>
          <w:szCs w:val="28"/>
          <w:highlight w:val="none"/>
        </w:rPr>
        <w:t>上传至</w:t>
      </w:r>
      <w:r>
        <w:rPr>
          <w:rFonts w:hint="eastAsia" w:ascii="宋体" w:hAnsi="宋体" w:eastAsia="宋体" w:cs="宋体"/>
          <w:b/>
          <w:bCs/>
          <w:color w:val="auto"/>
          <w:sz w:val="28"/>
          <w:szCs w:val="28"/>
          <w:highlight w:val="none"/>
          <w:lang w:val="en-US" w:eastAsia="zh-CN"/>
        </w:rPr>
        <w:t>“连城县招标投标交易平台”</w:t>
      </w:r>
      <w:r>
        <w:rPr>
          <w:rFonts w:hint="eastAsia" w:ascii="宋体" w:hAnsi="宋体" w:eastAsia="宋体" w:cs="宋体"/>
          <w:b/>
          <w:bCs/>
          <w:color w:val="auto"/>
          <w:sz w:val="28"/>
          <w:szCs w:val="28"/>
          <w:highlight w:val="none"/>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lang w:val="en-US" w:eastAsia="zh-CN"/>
        </w:rPr>
        <w:t>并</w:t>
      </w:r>
      <w:r>
        <w:rPr>
          <w:rFonts w:hint="eastAsia" w:ascii="宋体" w:hAnsi="宋体" w:eastAsia="宋体" w:cs="宋体"/>
          <w:color w:val="auto"/>
          <w:sz w:val="28"/>
          <w:szCs w:val="28"/>
          <w:lang w:val="en-US" w:eastAsia="zh-CN"/>
        </w:rPr>
        <w:t>需支付平台使用费100元，并将报名资料上传至交易平台</w:t>
      </w:r>
      <w:r>
        <w:rPr>
          <w:rFonts w:hint="eastAsia" w:ascii="宋体" w:hAnsi="宋体" w:cs="宋体"/>
          <w:color w:val="auto"/>
          <w:sz w:val="28"/>
          <w:szCs w:val="28"/>
          <w:lang w:val="en-US" w:eastAsia="zh-CN"/>
        </w:rPr>
        <w:t>（</w:t>
      </w:r>
      <w:r>
        <w:rPr>
          <w:rFonts w:hint="eastAsia" w:ascii="宋体" w:hAnsi="宋体" w:eastAsia="宋体" w:cs="宋体"/>
          <w:color w:val="auto"/>
          <w:sz w:val="28"/>
          <w:szCs w:val="28"/>
        </w:rPr>
        <w:t>https://lcyjy.enjoy5191.com/home</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。若因系统原因无法上传报名材料，可通过现场递交或邮件（邮箱地址</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lccqjyw20251@16</w:t>
      </w:r>
      <w:r>
        <w:rPr>
          <w:rFonts w:hint="eastAsia" w:ascii="宋体" w:hAnsi="宋体" w:cs="宋体"/>
          <w:color w:val="auto"/>
          <w:sz w:val="28"/>
          <w:szCs w:val="28"/>
          <w:lang w:val="en-US" w:eastAsia="zh-CN"/>
        </w:rPr>
        <w:t>3.com</w:t>
      </w:r>
      <w:r>
        <w:rPr>
          <w:rFonts w:hint="eastAsia" w:ascii="宋体" w:hAnsi="宋体" w:eastAsia="宋体" w:cs="宋体"/>
          <w:color w:val="auto"/>
          <w:sz w:val="28"/>
          <w:szCs w:val="28"/>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本场竞价</w:t>
      </w:r>
      <w:r>
        <w:rPr>
          <w:rFonts w:hint="eastAsia" w:ascii="宋体" w:hAnsi="宋体" w:eastAsia="宋体" w:cs="宋体"/>
          <w:color w:val="auto"/>
          <w:sz w:val="28"/>
          <w:szCs w:val="28"/>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14:paraId="0777FC65">
      <w:pPr>
        <w:keepNext w:val="0"/>
        <w:keepLines w:val="0"/>
        <w:pageBreakBefore w:val="0"/>
        <w:widowControl/>
        <w:shd w:val="clear"/>
        <w:kinsoku/>
        <w:wordWrap w:val="0"/>
        <w:overflowPunct/>
        <w:topLinePunct w:val="0"/>
        <w:autoSpaceDE/>
        <w:autoSpaceDN/>
        <w:bidi w:val="0"/>
        <w:adjustRightInd/>
        <w:snapToGrid/>
        <w:spacing w:before="0"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w:t>
      </w:r>
      <w:r>
        <w:rPr>
          <w:rFonts w:hint="eastAsia" w:ascii="宋体" w:hAnsi="宋体" w:cs="宋体"/>
          <w:color w:val="auto"/>
          <w:kern w:val="2"/>
          <w:sz w:val="28"/>
          <w:szCs w:val="28"/>
          <w:highlight w:val="none"/>
          <w:shd w:val="clear"/>
          <w:lang w:val="en-US" w:eastAsia="zh-CN"/>
        </w:rPr>
        <w:t>邀请</w:t>
      </w:r>
      <w:r>
        <w:rPr>
          <w:rFonts w:hint="eastAsia" w:ascii="宋体" w:hAnsi="宋体" w:eastAsia="宋体" w:cs="宋体"/>
          <w:color w:val="auto"/>
          <w:kern w:val="2"/>
          <w:sz w:val="28"/>
          <w:szCs w:val="28"/>
          <w:highlight w:val="none"/>
          <w:shd w:val="clear"/>
        </w:rPr>
        <w:t>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3.1竞价人以总价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auto"/>
          <w:kern w:val="2"/>
          <w:sz w:val="28"/>
          <w:szCs w:val="28"/>
          <w:u w:val="none"/>
          <w:lang w:val="en-US" w:eastAsia="zh-CN" w:bidi="ar-SA"/>
        </w:rPr>
        <w:t>总价形式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auto"/>
          <w:kern w:val="2"/>
          <w:sz w:val="28"/>
          <w:szCs w:val="28"/>
          <w:shd w:val="clear"/>
          <w:lang w:val="en-US" w:eastAsia="zh-CN"/>
        </w:rPr>
        <w:t>总价最低的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七、交易服务费</w:t>
      </w:r>
    </w:p>
    <w:p w14:paraId="57E127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rPr>
        <w:t>竞价成交后，</w:t>
      </w:r>
      <w:r>
        <w:rPr>
          <w:rFonts w:hint="eastAsia" w:ascii="宋体" w:hAnsi="宋体" w:eastAsia="宋体" w:cs="宋体"/>
          <w:b/>
          <w:bCs/>
          <w:color w:val="auto"/>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auto"/>
          <w:sz w:val="28"/>
          <w:szCs w:val="28"/>
        </w:rPr>
        <w:t>服务费按成交价×1.5%计费向成交</w:t>
      </w:r>
      <w:r>
        <w:rPr>
          <w:rFonts w:hint="eastAsia" w:ascii="宋体" w:hAnsi="宋体" w:eastAsia="宋体" w:cs="宋体"/>
          <w:b/>
          <w:bCs/>
          <w:color w:val="auto"/>
          <w:sz w:val="28"/>
          <w:szCs w:val="28"/>
          <w:lang w:val="en-US" w:eastAsia="zh-CN"/>
        </w:rPr>
        <w:t>人</w:t>
      </w:r>
      <w:r>
        <w:rPr>
          <w:rFonts w:hint="eastAsia" w:ascii="宋体" w:hAnsi="宋体" w:eastAsia="宋体" w:cs="宋体"/>
          <w:b/>
          <w:bCs/>
          <w:color w:val="auto"/>
          <w:sz w:val="28"/>
          <w:szCs w:val="28"/>
        </w:rPr>
        <w:t>收取</w:t>
      </w:r>
      <w:r>
        <w:rPr>
          <w:rFonts w:hint="eastAsia" w:ascii="宋体" w:hAnsi="宋体" w:cs="宋体"/>
          <w:color w:val="auto"/>
          <w:sz w:val="28"/>
          <w:szCs w:val="28"/>
          <w:lang w:eastAsia="zh-CN"/>
        </w:rPr>
        <w:t>，</w:t>
      </w:r>
      <w:r>
        <w:rPr>
          <w:rFonts w:hint="eastAsia" w:ascii="宋体" w:hAnsi="宋体" w:eastAsia="宋体" w:cs="宋体"/>
          <w:b/>
          <w:bCs/>
          <w:color w:val="auto"/>
          <w:sz w:val="28"/>
          <w:szCs w:val="28"/>
          <w:shd w:val="clear"/>
          <w:lang w:val="en-US" w:eastAsia="zh-CN"/>
        </w:rPr>
        <w:t>当成交金额低于3万元时，代理费按实际金额计收；成交金额大于等于3万元且代理费不足3000元时，按3000元收取。</w:t>
      </w:r>
      <w:r>
        <w:rPr>
          <w:rFonts w:hint="eastAsia" w:ascii="宋体" w:hAnsi="宋体" w:eastAsia="宋体" w:cs="宋体"/>
          <w:b w:val="0"/>
          <w:bCs w:val="0"/>
          <w:color w:val="auto"/>
          <w:sz w:val="28"/>
          <w:szCs w:val="28"/>
          <w:shd w:val="clear"/>
          <w:lang w:val="en-US" w:eastAsia="zh-CN"/>
        </w:rPr>
        <w:t>招标代理服务费须在成交之日起7个工</w:t>
      </w:r>
      <w:r>
        <w:rPr>
          <w:rFonts w:hint="eastAsia" w:ascii="宋体" w:hAnsi="宋体" w:eastAsia="宋体" w:cs="宋体"/>
          <w:color w:val="auto"/>
          <w:sz w:val="28"/>
          <w:szCs w:val="28"/>
          <w:highlight w:val="none"/>
          <w:lang w:val="en-US" w:eastAsia="zh-CN"/>
        </w:rPr>
        <w:t>作日汇到本公司指定账户（户名：连城县国有资产产权交易服务有限公司，开户行：中国农业银行连城县支行，账号：1377 0101 0400 18263）。招标代理服务费未按期付清的，视成交人根本违约，竞价保证金不予退回。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14:paraId="2C23D43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1.</w:t>
      </w:r>
      <w:r>
        <w:rPr>
          <w:rFonts w:hint="eastAsia" w:ascii="宋体" w:hAnsi="宋体" w:eastAsia="宋体" w:cs="宋体"/>
          <w:b w:val="0"/>
          <w:bCs w:val="0"/>
          <w:color w:val="auto"/>
          <w:sz w:val="28"/>
          <w:szCs w:val="28"/>
          <w:lang w:val="en-US" w:eastAsia="zh-CN"/>
        </w:rPr>
        <w:t>本次勘察费最终结算按成交单价x实际完成工作量计取。成交人同时向委托人提交经评审合格的勘察成果资料和等额的增值税专用发票后，委托人10日内一次性支付全部费用。</w:t>
      </w:r>
    </w:p>
    <w:p w14:paraId="1620675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cs="宋体"/>
          <w:b w:val="0"/>
          <w:bCs w:val="0"/>
          <w:color w:val="auto"/>
          <w:sz w:val="28"/>
          <w:szCs w:val="28"/>
          <w:lang w:val="en-US" w:eastAsia="zh-CN"/>
        </w:rPr>
        <w:t>2.</w:t>
      </w:r>
      <w:r>
        <w:rPr>
          <w:rFonts w:hint="eastAsia" w:ascii="宋体" w:hAnsi="宋体" w:eastAsia="宋体" w:cs="宋体"/>
          <w:b w:val="0"/>
          <w:bCs w:val="0"/>
          <w:color w:val="auto"/>
          <w:sz w:val="28"/>
          <w:szCs w:val="28"/>
          <w:lang w:val="en-US" w:eastAsia="zh-CN"/>
        </w:rPr>
        <w:t>本次设计费按成交价含税包干计取。成交人同时向委托人提交经评审合格的基坑设计成果资料和等额的增值税专用发票后，委托人10日内一次性支付全部费用。</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2.成交价为包干价，包括但不限于税费、服务费、文印费、差旅费、交通费、住宿费等所有相关费用，竞价人应对本次</w:t>
      </w:r>
      <w:r>
        <w:rPr>
          <w:rFonts w:hint="eastAsia" w:ascii="宋体" w:hAnsi="宋体" w:cs="宋体"/>
          <w:color w:val="auto"/>
          <w:sz w:val="28"/>
          <w:szCs w:val="28"/>
          <w:lang w:val="en-US" w:eastAsia="zh-CN"/>
        </w:rPr>
        <w:t>竞价</w:t>
      </w:r>
      <w:r>
        <w:rPr>
          <w:rFonts w:hint="eastAsia" w:ascii="宋体" w:hAnsi="宋体" w:eastAsia="宋体" w:cs="宋体"/>
          <w:color w:val="auto"/>
          <w:sz w:val="28"/>
          <w:szCs w:val="28"/>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color w:val="auto"/>
          <w:sz w:val="28"/>
          <w:szCs w:val="28"/>
          <w:lang w:val="en-US" w:eastAsia="zh-CN"/>
        </w:rPr>
        <w:t>勘察合同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color w:val="auto"/>
          <w:sz w:val="28"/>
          <w:szCs w:val="28"/>
          <w:lang w:val="en-US" w:eastAsia="zh-CN"/>
        </w:rPr>
        <w:t>勘察合同</w:t>
      </w:r>
      <w:r>
        <w:rPr>
          <w:rFonts w:hint="eastAsia" w:ascii="宋体" w:hAnsi="宋体" w:eastAsia="宋体" w:cs="宋体"/>
          <w:color w:val="auto"/>
          <w:sz w:val="28"/>
          <w:szCs w:val="28"/>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3"/>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bCs/>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2026年7月2日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rPr>
      </w:pPr>
    </w:p>
    <w:p w14:paraId="2AF4948C">
      <w:pPr>
        <w:rPr>
          <w:rFonts w:hint="eastAsia" w:ascii="宋体" w:hAnsi="宋体" w:eastAsia="宋体" w:cs="宋体"/>
          <w:b/>
          <w:color w:val="auto"/>
          <w:sz w:val="28"/>
          <w:szCs w:val="28"/>
        </w:rPr>
      </w:pPr>
      <w:r>
        <w:rPr>
          <w:rFonts w:hint="eastAsia" w:ascii="宋体" w:hAnsi="宋体" w:eastAsia="宋体" w:cs="宋体"/>
          <w:b/>
          <w:color w:val="auto"/>
          <w:sz w:val="28"/>
          <w:szCs w:val="28"/>
        </w:rPr>
        <w:br w:type="page"/>
      </w: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u w:val="single"/>
        </w:rPr>
      </w:pPr>
      <w:r>
        <w:rPr>
          <w:rFonts w:hint="eastAsia" w:ascii="宋体" w:hAnsi="宋体" w:eastAsia="宋体" w:cs="宋体"/>
          <w:b/>
          <w:bCs/>
          <w:color w:val="auto"/>
          <w:sz w:val="28"/>
          <w:szCs w:val="28"/>
        </w:rPr>
        <w:t>连城县国有资产产权交易服务有限公司</w:t>
      </w:r>
      <w:r>
        <w:rPr>
          <w:rFonts w:hint="eastAsia" w:ascii="宋体" w:hAnsi="宋体" w:eastAsia="宋体" w:cs="宋体"/>
          <w:color w:val="auto"/>
          <w:sz w:val="28"/>
          <w:szCs w:val="28"/>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本人（公司）承诺提供的报名材料真实、合法、有效，自愿报名参加贵司于</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2026年7月8日</w:t>
      </w:r>
      <w:r>
        <w:rPr>
          <w:rFonts w:hint="eastAsia" w:ascii="宋体" w:hAnsi="宋体" w:eastAsia="宋体" w:cs="宋体"/>
          <w:color w:val="auto"/>
          <w:sz w:val="28"/>
          <w:szCs w:val="28"/>
        </w:rPr>
        <w:t>上午举行的 “连城县招标投标交易平台</w:t>
      </w:r>
      <w:r>
        <w:rPr>
          <w:rFonts w:hint="eastAsia" w:ascii="宋体" w:hAnsi="宋体" w:eastAsia="宋体" w:cs="宋体"/>
          <w:color w:val="auto"/>
          <w:sz w:val="28"/>
          <w:szCs w:val="28"/>
          <w:lang w:val="en-US" w:eastAsia="zh-CN"/>
        </w:rPr>
        <w:t>反</w:t>
      </w:r>
      <w:r>
        <w:rPr>
          <w:rFonts w:hint="eastAsia" w:ascii="宋体" w:hAnsi="宋体" w:eastAsia="宋体" w:cs="宋体"/>
          <w:color w:val="auto"/>
          <w:sz w:val="28"/>
          <w:szCs w:val="28"/>
        </w:rPr>
        <w:t>向一次报价”</w:t>
      </w:r>
      <w:r>
        <w:rPr>
          <w:rFonts w:hint="eastAsia" w:ascii="宋体" w:hAnsi="宋体" w:cs="宋体"/>
          <w:color w:val="auto"/>
          <w:sz w:val="28"/>
          <w:szCs w:val="28"/>
          <w:u w:val="single"/>
          <w:lang w:eastAsia="zh-CN"/>
        </w:rPr>
        <w:t>连城县公立医疗卫生机构医养结合服务中心建设项目工程勘察</w:t>
      </w:r>
      <w:r>
        <w:rPr>
          <w:rFonts w:hint="eastAsia" w:ascii="宋体" w:hAnsi="宋体" w:eastAsia="宋体" w:cs="宋体"/>
          <w:color w:val="auto"/>
          <w:sz w:val="28"/>
          <w:szCs w:val="28"/>
        </w:rPr>
        <w:t>。收悉项目编号为</w:t>
      </w:r>
      <w:r>
        <w:rPr>
          <w:rFonts w:hint="eastAsia" w:ascii="宋体" w:hAnsi="宋体" w:cs="宋体"/>
          <w:color w:val="auto"/>
          <w:sz w:val="28"/>
          <w:szCs w:val="28"/>
          <w:u w:val="single"/>
          <w:lang w:eastAsia="zh-CN"/>
        </w:rPr>
        <w:t>LCCQJJ20260708-2</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法定代表人或授权代理人（签章）：</w:t>
      </w:r>
      <w:r>
        <w:rPr>
          <w:rFonts w:hint="eastAsia" w:ascii="宋体" w:hAnsi="宋体" w:eastAsia="宋体" w:cs="宋体"/>
          <w:color w:val="auto"/>
          <w:sz w:val="28"/>
          <w:szCs w:val="28"/>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p>
    <w:p w14:paraId="390A9ABA">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年    月    日</w:t>
      </w:r>
    </w:p>
    <w:p w14:paraId="7041EABA">
      <w:pPr>
        <w:rPr>
          <w:rFonts w:hint="default" w:ascii="宋体" w:hAnsi="宋体" w:eastAsia="宋体" w:cs="宋体"/>
          <w:color w:val="auto"/>
          <w:sz w:val="28"/>
          <w:szCs w:val="28"/>
          <w:lang w:val="en-US" w:eastAsia="zh-CN"/>
        </w:rPr>
      </w:pPr>
    </w:p>
    <w:sectPr>
      <w:footerReference r:id="rId3" w:type="default"/>
      <w:pgSz w:w="11906" w:h="16838"/>
      <w:pgMar w:top="1383" w:right="1587" w:bottom="1383"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A43050"/>
    <w:rsid w:val="03306448"/>
    <w:rsid w:val="039E3DB5"/>
    <w:rsid w:val="04973358"/>
    <w:rsid w:val="076D2FEB"/>
    <w:rsid w:val="0804406F"/>
    <w:rsid w:val="081C4C9C"/>
    <w:rsid w:val="0834033F"/>
    <w:rsid w:val="085D5D81"/>
    <w:rsid w:val="0AD43D25"/>
    <w:rsid w:val="0AEE0C79"/>
    <w:rsid w:val="0C0C7087"/>
    <w:rsid w:val="0C9C0329"/>
    <w:rsid w:val="0CA830A9"/>
    <w:rsid w:val="0CDA1129"/>
    <w:rsid w:val="0D0C3638"/>
    <w:rsid w:val="0D724C37"/>
    <w:rsid w:val="0E6A79B6"/>
    <w:rsid w:val="0E8467A8"/>
    <w:rsid w:val="0F153787"/>
    <w:rsid w:val="10376C1E"/>
    <w:rsid w:val="10554859"/>
    <w:rsid w:val="105B0B5E"/>
    <w:rsid w:val="108A4FA0"/>
    <w:rsid w:val="115251AE"/>
    <w:rsid w:val="128A572B"/>
    <w:rsid w:val="137205A3"/>
    <w:rsid w:val="138E2060"/>
    <w:rsid w:val="14416FC6"/>
    <w:rsid w:val="14DE0881"/>
    <w:rsid w:val="15474BF8"/>
    <w:rsid w:val="1569686F"/>
    <w:rsid w:val="16052A7F"/>
    <w:rsid w:val="167C30C3"/>
    <w:rsid w:val="169951BC"/>
    <w:rsid w:val="183B56FD"/>
    <w:rsid w:val="18AE0B48"/>
    <w:rsid w:val="18EF3710"/>
    <w:rsid w:val="1A394265"/>
    <w:rsid w:val="1B036E7C"/>
    <w:rsid w:val="1B215742"/>
    <w:rsid w:val="1CC932F4"/>
    <w:rsid w:val="1E303C84"/>
    <w:rsid w:val="1EA56673"/>
    <w:rsid w:val="1EF00CA7"/>
    <w:rsid w:val="1F633F72"/>
    <w:rsid w:val="1FB913FE"/>
    <w:rsid w:val="203C362E"/>
    <w:rsid w:val="20E02F65"/>
    <w:rsid w:val="211A411E"/>
    <w:rsid w:val="21D10A49"/>
    <w:rsid w:val="21E464DA"/>
    <w:rsid w:val="226244CC"/>
    <w:rsid w:val="22950329"/>
    <w:rsid w:val="22A30872"/>
    <w:rsid w:val="234F36E4"/>
    <w:rsid w:val="236A7C99"/>
    <w:rsid w:val="23761465"/>
    <w:rsid w:val="246A52EB"/>
    <w:rsid w:val="24741525"/>
    <w:rsid w:val="249C78F6"/>
    <w:rsid w:val="24AF2DCF"/>
    <w:rsid w:val="25AD5A5E"/>
    <w:rsid w:val="25F64131"/>
    <w:rsid w:val="264F6618"/>
    <w:rsid w:val="26945745"/>
    <w:rsid w:val="2861758C"/>
    <w:rsid w:val="2892098A"/>
    <w:rsid w:val="297E0FC2"/>
    <w:rsid w:val="297F6480"/>
    <w:rsid w:val="2A8C2B55"/>
    <w:rsid w:val="2AC415FD"/>
    <w:rsid w:val="2B023949"/>
    <w:rsid w:val="2B474184"/>
    <w:rsid w:val="2B9065B4"/>
    <w:rsid w:val="2C2A04A0"/>
    <w:rsid w:val="2C4C065B"/>
    <w:rsid w:val="2C5C26DC"/>
    <w:rsid w:val="2CC118F2"/>
    <w:rsid w:val="2CDF621C"/>
    <w:rsid w:val="2D697A29"/>
    <w:rsid w:val="2E293BF2"/>
    <w:rsid w:val="2E301AB4"/>
    <w:rsid w:val="2E7E609A"/>
    <w:rsid w:val="2F3740ED"/>
    <w:rsid w:val="2FF9333B"/>
    <w:rsid w:val="300F15EE"/>
    <w:rsid w:val="3062140F"/>
    <w:rsid w:val="31496EC2"/>
    <w:rsid w:val="31E57E30"/>
    <w:rsid w:val="31F6203D"/>
    <w:rsid w:val="32165023"/>
    <w:rsid w:val="33B379FC"/>
    <w:rsid w:val="33BB5A80"/>
    <w:rsid w:val="348738A9"/>
    <w:rsid w:val="354D07DD"/>
    <w:rsid w:val="36070CBD"/>
    <w:rsid w:val="366756A0"/>
    <w:rsid w:val="371B5B3B"/>
    <w:rsid w:val="3741602B"/>
    <w:rsid w:val="38A87E0A"/>
    <w:rsid w:val="39C752B8"/>
    <w:rsid w:val="3A0C4B4E"/>
    <w:rsid w:val="3C700EFF"/>
    <w:rsid w:val="3CDB07AE"/>
    <w:rsid w:val="3D143517"/>
    <w:rsid w:val="3D3F6CF4"/>
    <w:rsid w:val="3D71306C"/>
    <w:rsid w:val="3DC87AC0"/>
    <w:rsid w:val="3E166E94"/>
    <w:rsid w:val="3E21674B"/>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758626E"/>
    <w:rsid w:val="47CB141F"/>
    <w:rsid w:val="47ED28F0"/>
    <w:rsid w:val="48556CDA"/>
    <w:rsid w:val="485D0F10"/>
    <w:rsid w:val="4A58410E"/>
    <w:rsid w:val="4ACA1E61"/>
    <w:rsid w:val="4B42467C"/>
    <w:rsid w:val="4C6355B6"/>
    <w:rsid w:val="4D235499"/>
    <w:rsid w:val="4D2550DF"/>
    <w:rsid w:val="4D515A96"/>
    <w:rsid w:val="4DA2556F"/>
    <w:rsid w:val="4E097504"/>
    <w:rsid w:val="4E143612"/>
    <w:rsid w:val="4E661F86"/>
    <w:rsid w:val="4E997C57"/>
    <w:rsid w:val="4E9D3635"/>
    <w:rsid w:val="4ED62599"/>
    <w:rsid w:val="4F4F373F"/>
    <w:rsid w:val="51A703F2"/>
    <w:rsid w:val="51AA471F"/>
    <w:rsid w:val="522E2CD6"/>
    <w:rsid w:val="524A20F8"/>
    <w:rsid w:val="524E2EDF"/>
    <w:rsid w:val="53A04DAC"/>
    <w:rsid w:val="53CB6FAB"/>
    <w:rsid w:val="542826BF"/>
    <w:rsid w:val="545B5616"/>
    <w:rsid w:val="55915C48"/>
    <w:rsid w:val="56DC71A4"/>
    <w:rsid w:val="56EB10E9"/>
    <w:rsid w:val="59A9494B"/>
    <w:rsid w:val="59AF6DF2"/>
    <w:rsid w:val="59E02F96"/>
    <w:rsid w:val="5A10637D"/>
    <w:rsid w:val="5A244F70"/>
    <w:rsid w:val="5B280C0A"/>
    <w:rsid w:val="5BA1276A"/>
    <w:rsid w:val="5C1B076F"/>
    <w:rsid w:val="5C2441D3"/>
    <w:rsid w:val="5C836E64"/>
    <w:rsid w:val="5C9245A9"/>
    <w:rsid w:val="5C9A35A3"/>
    <w:rsid w:val="5D434E88"/>
    <w:rsid w:val="5DBB508D"/>
    <w:rsid w:val="5E047FD0"/>
    <w:rsid w:val="5E0778E1"/>
    <w:rsid w:val="5EA42C9D"/>
    <w:rsid w:val="5F1519BF"/>
    <w:rsid w:val="602A7EDE"/>
    <w:rsid w:val="610F5540"/>
    <w:rsid w:val="616E7593"/>
    <w:rsid w:val="6189617B"/>
    <w:rsid w:val="620F4C9D"/>
    <w:rsid w:val="636B6B43"/>
    <w:rsid w:val="63F56C8F"/>
    <w:rsid w:val="63F81C8C"/>
    <w:rsid w:val="640D0C57"/>
    <w:rsid w:val="64433D8E"/>
    <w:rsid w:val="64C574CA"/>
    <w:rsid w:val="64D67929"/>
    <w:rsid w:val="664066EE"/>
    <w:rsid w:val="664A0B53"/>
    <w:rsid w:val="67A07D7A"/>
    <w:rsid w:val="67B160B6"/>
    <w:rsid w:val="680A030D"/>
    <w:rsid w:val="69113EED"/>
    <w:rsid w:val="6A0A1171"/>
    <w:rsid w:val="6B776A6D"/>
    <w:rsid w:val="6BCB02F6"/>
    <w:rsid w:val="6CA81B7D"/>
    <w:rsid w:val="6D7B66F3"/>
    <w:rsid w:val="6E661D1D"/>
    <w:rsid w:val="7007345D"/>
    <w:rsid w:val="706E1953"/>
    <w:rsid w:val="707966E1"/>
    <w:rsid w:val="729A0B48"/>
    <w:rsid w:val="729B4033"/>
    <w:rsid w:val="74BC7EEB"/>
    <w:rsid w:val="75A82C1C"/>
    <w:rsid w:val="75C93329"/>
    <w:rsid w:val="77354B5A"/>
    <w:rsid w:val="77875CB0"/>
    <w:rsid w:val="77CE5972"/>
    <w:rsid w:val="786F5C73"/>
    <w:rsid w:val="78EB1D38"/>
    <w:rsid w:val="78F75F2F"/>
    <w:rsid w:val="79162DAA"/>
    <w:rsid w:val="7956473D"/>
    <w:rsid w:val="79B76855"/>
    <w:rsid w:val="7AD654A8"/>
    <w:rsid w:val="7C207AE9"/>
    <w:rsid w:val="7C435390"/>
    <w:rsid w:val="7CE44BA4"/>
    <w:rsid w:val="7E040C0B"/>
    <w:rsid w:val="7E663674"/>
    <w:rsid w:val="7F314DC2"/>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Body Text"/>
    <w:basedOn w:val="1"/>
    <w:next w:val="5"/>
    <w:qFormat/>
    <w:uiPriority w:val="0"/>
    <w:pPr>
      <w:spacing w:line="380" w:lineRule="exact"/>
    </w:pPr>
    <w:rPr>
      <w:sz w:val="24"/>
    </w:rPr>
  </w:style>
  <w:style w:type="paragraph" w:customStyle="1" w:styleId="5">
    <w:name w:val="样式 表格正文 + 两端对齐"/>
    <w:basedOn w:val="1"/>
    <w:next w:val="6"/>
    <w:qFormat/>
    <w:uiPriority w:val="0"/>
    <w:pPr>
      <w:spacing w:line="300" w:lineRule="auto"/>
    </w:pPr>
  </w:style>
  <w:style w:type="paragraph" w:customStyle="1" w:styleId="6">
    <w:name w:val="正文1"/>
    <w:basedOn w:val="1"/>
    <w:qFormat/>
    <w:uiPriority w:val="0"/>
    <w:pPr>
      <w:spacing w:line="480" w:lineRule="exact"/>
      <w:ind w:firstLine="567"/>
    </w:pPr>
    <w:rPr>
      <w:rFonts w:ascii="幼圆" w:eastAsia="幼圆"/>
      <w:sz w:val="28"/>
      <w:szCs w:val="20"/>
    </w:rPr>
  </w:style>
  <w:style w:type="paragraph" w:styleId="7">
    <w:name w:val="Plain Text"/>
    <w:basedOn w:val="1"/>
    <w:next w:val="1"/>
    <w:qFormat/>
    <w:uiPriority w:val="0"/>
    <w:pPr>
      <w:widowControl w:val="0"/>
      <w:spacing w:before="0" w:beforeAutospacing="0" w:after="0" w:afterAutospacing="0" w:line="240" w:lineRule="auto"/>
      <w:jc w:val="both"/>
    </w:pPr>
    <w:rPr>
      <w:rFonts w:ascii="宋体" w:hAnsi="Courier New" w:cs="Courier New"/>
      <w:kern w:val="2"/>
      <w:sz w:val="21"/>
      <w:szCs w:val="21"/>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2"/>
    <w:qFormat/>
    <w:uiPriority w:val="0"/>
    <w:pPr>
      <w:spacing w:before="100" w:beforeAutospacing="1" w:after="100" w:afterAutospacing="1"/>
      <w:jc w:val="left"/>
    </w:pPr>
    <w:rPr>
      <w:rFonts w:cs="Times New Roman"/>
      <w:kern w:val="0"/>
      <w:sz w:val="24"/>
    </w:rPr>
  </w:style>
  <w:style w:type="paragraph" w:customStyle="1" w:styleId="12">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9">
    <w:name w:val="批注框文本 Char"/>
    <w:basedOn w:val="15"/>
    <w:link w:val="8"/>
    <w:qFormat/>
    <w:uiPriority w:val="0"/>
    <w:rPr>
      <w:rFonts w:ascii="Calibri" w:hAnsi="Calibri" w:eastAsia="宋体" w:cs="Arial"/>
      <w:kern w:val="2"/>
      <w:sz w:val="18"/>
      <w:szCs w:val="18"/>
    </w:rPr>
  </w:style>
  <w:style w:type="paragraph" w:customStyle="1" w:styleId="20">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character" w:customStyle="1" w:styleId="22">
    <w:name w:val="font101"/>
    <w:basedOn w:val="15"/>
    <w:qFormat/>
    <w:uiPriority w:val="0"/>
    <w:rPr>
      <w:rFonts w:hint="eastAsia" w:ascii="宋体" w:hAnsi="宋体" w:eastAsia="宋体" w:cs="宋体"/>
      <w:color w:val="000000"/>
      <w:sz w:val="20"/>
      <w:szCs w:val="20"/>
      <w:u w:val="none"/>
    </w:rPr>
  </w:style>
  <w:style w:type="character" w:customStyle="1" w:styleId="23">
    <w:name w:val="font11"/>
    <w:basedOn w:val="15"/>
    <w:qFormat/>
    <w:uiPriority w:val="0"/>
    <w:rPr>
      <w:rFonts w:hint="eastAsia" w:ascii="微软雅黑" w:hAnsi="微软雅黑" w:eastAsia="微软雅黑" w:cs="微软雅黑"/>
      <w:color w:val="000000"/>
      <w:sz w:val="20"/>
      <w:szCs w:val="20"/>
      <w:u w:val="none"/>
    </w:rPr>
  </w:style>
  <w:style w:type="paragraph" w:customStyle="1" w:styleId="24">
    <w:name w:val="样式3"/>
    <w:basedOn w:val="7"/>
    <w:qFormat/>
    <w:uiPriority w:val="0"/>
    <w:pPr>
      <w:spacing w:line="0" w:lineRule="atLeast"/>
      <w:outlineLvl w:val="0"/>
    </w:pPr>
    <w:rPr>
      <w:sz w:val="28"/>
    </w:rPr>
  </w:style>
  <w:style w:type="character" w:customStyle="1" w:styleId="25">
    <w:name w:val="font131"/>
    <w:basedOn w:val="15"/>
    <w:qFormat/>
    <w:uiPriority w:val="0"/>
    <w:rPr>
      <w:rFonts w:hint="eastAsia" w:ascii="宋体" w:hAnsi="宋体" w:eastAsia="宋体" w:cs="宋体"/>
      <w:color w:val="000000"/>
      <w:sz w:val="20"/>
      <w:szCs w:val="20"/>
      <w:u w:val="none"/>
    </w:rPr>
  </w:style>
  <w:style w:type="character" w:customStyle="1" w:styleId="26">
    <w:name w:val="font121"/>
    <w:basedOn w:val="15"/>
    <w:qFormat/>
    <w:uiPriority w:val="0"/>
    <w:rPr>
      <w:rFonts w:hint="eastAsia" w:ascii="宋体" w:hAnsi="宋体" w:eastAsia="宋体" w:cs="宋体"/>
      <w:color w:val="000000"/>
      <w:sz w:val="20"/>
      <w:szCs w:val="20"/>
      <w:u w:val="none"/>
    </w:rPr>
  </w:style>
  <w:style w:type="character" w:customStyle="1" w:styleId="27">
    <w:name w:val="font51"/>
    <w:basedOn w:val="15"/>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4581</Words>
  <Characters>4976</Characters>
  <Lines>4</Lines>
  <Paragraphs>7</Paragraphs>
  <TotalTime>9</TotalTime>
  <ScaleCrop>false</ScaleCrop>
  <LinksUpToDate>false</LinksUpToDate>
  <CharactersWithSpaces>5072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2026-06-24T02:54:00Z</cp:lastPrinted>
  <dcterms:modified xsi:type="dcterms:W3CDTF">2026-07-02T09:58:00Z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