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LCCQJJ20260713</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2026年7月13日上午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2026年7月13日上午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福建连城国有投资集团有限公司无纸化会议系统采购项目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5"/>
        <w:tblW w:w="10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35"/>
        <w:gridCol w:w="6587"/>
        <w:gridCol w:w="705"/>
        <w:gridCol w:w="73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序号</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产品</w:t>
            </w:r>
          </w:p>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名称</w:t>
            </w:r>
          </w:p>
        </w:tc>
        <w:tc>
          <w:tcPr>
            <w:tcW w:w="6587"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技术参数</w:t>
            </w:r>
          </w:p>
        </w:tc>
        <w:tc>
          <w:tcPr>
            <w:tcW w:w="70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单位</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数量</w:t>
            </w:r>
          </w:p>
        </w:tc>
        <w:tc>
          <w:tcPr>
            <w:tcW w:w="1290"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lang w:val="en-US"/>
              </w:rPr>
            </w:pPr>
            <w:r>
              <w:rPr>
                <w:rFonts w:hint="eastAsia" w:ascii="宋体" w:hAnsi="宋体" w:eastAsia="宋体" w:cs="宋体"/>
                <w:b w:val="0"/>
                <w:bCs/>
                <w:color w:val="000000"/>
                <w:sz w:val="24"/>
                <w:szCs w:val="24"/>
                <w:lang w:val="en-US" w:eastAsia="zh-CN"/>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1</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平板终端</w:t>
            </w:r>
          </w:p>
        </w:tc>
        <w:tc>
          <w:tcPr>
            <w:tcW w:w="6587" w:type="dxa"/>
            <w:noWrap w:val="0"/>
            <w:vAlign w:val="center"/>
          </w:tcPr>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1、CPU：8核2.2GHz及以上</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2、内存：6GB及以上</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3、支持2.4G/5G WiFi、蜂窝网络</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4、屏幕不低于10.95英寸，屏幕刷新率达到90HZ及以上</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5、存储：128GB及以上</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6、接口：≥1个Type-C（USB 3.0+DP+充电），≥1个3.5mm 音频口，≥1个5G SIM卡 插槽</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7、屏幕分辨率不低于 1920*1080</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8、屏幕色彩不低于1500万色</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9、扬声器不低于4个内置杨声器</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10、厚度不高于8mm</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11、裸机重量不高于550g</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12、电池不低于7500mAh</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13、标配磁吸键盘，触摸板支持多点触控操作，重量≤350g</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14、支持开机具备双模式选择，具备下拉菜单模式进行安卓/云电脑平台快速切换。</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15、AI 功能：支持语音唤起系统查询设置，包括打开蓝牙、拍照功能等，支持语音唤起工具类应用，包括设置闹钟、语音导航、发短信等。</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16、具备设备找回功能，支持设备远程锁死、定位、响铃报警、修改密码、清除数据等。</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kern w:val="2"/>
                <w:sz w:val="24"/>
                <w:szCs w:val="24"/>
                <w:lang w:val="en-US" w:eastAsia="zh-CN" w:bidi="ar-SA"/>
              </w:rPr>
              <w:t>17、支持手势功能，比如黑屏双击唤醒、三指下滑截屏。</w:t>
            </w:r>
          </w:p>
        </w:tc>
        <w:tc>
          <w:tcPr>
            <w:tcW w:w="70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台</w:t>
            </w:r>
          </w:p>
        </w:tc>
        <w:tc>
          <w:tcPr>
            <w:tcW w:w="735" w:type="dxa"/>
            <w:noWrap w:val="0"/>
            <w:vAlign w:val="center"/>
          </w:tcPr>
          <w:p>
            <w:pPr>
              <w:keepNext w:val="0"/>
              <w:keepLines w:val="0"/>
              <w:pageBreakBefore w:val="0"/>
              <w:widowControl/>
              <w:suppressLineNumbers w:val="0"/>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25</w:t>
            </w:r>
          </w:p>
        </w:tc>
        <w:tc>
          <w:tcPr>
            <w:tcW w:w="1290" w:type="dxa"/>
            <w:noWrap w:val="0"/>
            <w:vAlign w:val="center"/>
          </w:tcPr>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按月支付</w:t>
            </w:r>
            <w:r>
              <w:rPr>
                <w:rFonts w:hint="eastAsia" w:ascii="宋体" w:hAnsi="宋体" w:eastAsia="宋体" w:cs="宋体"/>
                <w:b w:val="0"/>
                <w:bCs/>
                <w:color w:val="000000"/>
                <w:sz w:val="24"/>
                <w:szCs w:val="24"/>
                <w:lang w:val="en-US" w:eastAsia="zh-CN"/>
              </w:rPr>
              <w:drawing>
                <wp:anchor distT="0" distB="0" distL="114300" distR="114300" simplePos="0" relativeHeight="251663360" behindDoc="0" locked="0" layoutInCell="1" allowOverlap="1">
                  <wp:simplePos x="0" y="0"/>
                  <wp:positionH relativeFrom="column">
                    <wp:posOffset>7186930</wp:posOffset>
                  </wp:positionH>
                  <wp:positionV relativeFrom="paragraph">
                    <wp:posOffset>7126605</wp:posOffset>
                  </wp:positionV>
                  <wp:extent cx="772795" cy="993140"/>
                  <wp:effectExtent l="0" t="0" r="8255" b="16510"/>
                  <wp:wrapNone/>
                  <wp:docPr id="3" name="图片 2"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2336" behindDoc="0" locked="0" layoutInCell="1" allowOverlap="1">
                  <wp:simplePos x="0" y="0"/>
                  <wp:positionH relativeFrom="column">
                    <wp:posOffset>7034530</wp:posOffset>
                  </wp:positionH>
                  <wp:positionV relativeFrom="paragraph">
                    <wp:posOffset>6974205</wp:posOffset>
                  </wp:positionV>
                  <wp:extent cx="772795" cy="993140"/>
                  <wp:effectExtent l="0" t="0" r="8255" b="16510"/>
                  <wp:wrapNone/>
                  <wp:docPr id="5" name="图片 3"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1312" behindDoc="0" locked="0" layoutInCell="1" allowOverlap="1">
                  <wp:simplePos x="0" y="0"/>
                  <wp:positionH relativeFrom="column">
                    <wp:posOffset>6882130</wp:posOffset>
                  </wp:positionH>
                  <wp:positionV relativeFrom="paragraph">
                    <wp:posOffset>6821805</wp:posOffset>
                  </wp:positionV>
                  <wp:extent cx="772795" cy="993140"/>
                  <wp:effectExtent l="0" t="0" r="8255" b="16510"/>
                  <wp:wrapNone/>
                  <wp:docPr id="4" name="图片 4"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0288" behindDoc="0" locked="0" layoutInCell="1" allowOverlap="1">
                  <wp:simplePos x="0" y="0"/>
                  <wp:positionH relativeFrom="column">
                    <wp:posOffset>6729730</wp:posOffset>
                  </wp:positionH>
                  <wp:positionV relativeFrom="paragraph">
                    <wp:posOffset>6669405</wp:posOffset>
                  </wp:positionV>
                  <wp:extent cx="772795" cy="993140"/>
                  <wp:effectExtent l="0" t="0" r="8255" b="16510"/>
                  <wp:wrapNone/>
                  <wp:docPr id="1" name="图片 1"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2</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智慧大屏</w:t>
            </w:r>
          </w:p>
        </w:tc>
        <w:tc>
          <w:tcPr>
            <w:tcW w:w="6587" w:type="dxa"/>
            <w:noWrap w:val="0"/>
            <w:vAlign w:val="center"/>
          </w:tcPr>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1、采用一体化结构设计，内置硬件编解码器，支持OPS主机，集成触控显示屏、麦克风、摄像头、编解码器，标配无线投屏器，满足便捷投屏需求。</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2、支持框架协议：ITU-T H.323、IETF SIP</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3、支持IPv4协议栈。</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4、提供至少3种视频输入接口（其中至少包括：1×DP，1×VGA，内置摄像头、HDMI×2，HDMI接口支持音视频同传），具备5路高清视频输入能力</w:t>
            </w:r>
          </w:p>
          <w:p>
            <w:pPr>
              <w:keepNext w:val="0"/>
              <w:pageBreakBefore w:val="0"/>
              <w:overflowPunct/>
              <w:topLinePunct w:val="0"/>
              <w:autoSpaceDE/>
              <w:autoSpaceDN/>
              <w:bidi w:val="0"/>
              <w:adjustRightInd/>
              <w:snapToGrid/>
              <w:spacing w:line="360" w:lineRule="auto"/>
              <w:rPr>
                <w:rFonts w:hint="eastAsia" w:ascii="宋体" w:hAnsi="宋体" w:eastAsia="宋体" w:cs="宋体"/>
                <w:b/>
                <w:bCs w:val="0"/>
                <w:color w:val="0000FF"/>
                <w:sz w:val="24"/>
                <w:szCs w:val="24"/>
              </w:rPr>
            </w:pPr>
            <w:r>
              <w:rPr>
                <w:rFonts w:hint="eastAsia" w:ascii="宋体" w:hAnsi="宋体" w:eastAsia="宋体" w:cs="宋体"/>
                <w:b w:val="0"/>
                <w:bCs/>
                <w:sz w:val="24"/>
                <w:szCs w:val="24"/>
              </w:rPr>
              <w:t>5、提供至少2种视频输出接口（其中至少包括：HDMI×1、内置显示屏，HDMI接口支持音视频同传），具备2路高清视频输出能力</w:t>
            </w:r>
            <w:r>
              <w:rPr>
                <w:rFonts w:hint="eastAsia" w:ascii="宋体" w:hAnsi="宋体" w:eastAsia="宋体" w:cs="宋体"/>
                <w:b/>
                <w:bCs w:val="0"/>
                <w:color w:val="0000FF"/>
                <w:sz w:val="24"/>
                <w:szCs w:val="24"/>
              </w:rPr>
              <w:t>（需提供具有ilAC-MRA、CNAS及CMA标识的第三方权威机构检测报告复印件）</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6、提供至少3种音频输入接口（其中至少包括：3.5mm 接口×2、内置麦克风、HDMI×2），具备5路音频输入能力</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7、提供至少3种音频输出接口（其中至少包括：3.5mm接口×1，内置扬声器，HDMI×1、S/PDIF×1），具备4路音频输出能力</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8、10/100/1000M LAN×2,提供至少2个LAN口并支持网络交换能力</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9、USB×3，USB Type-C×1，提供至少4个USB 接口，具备设备外设（麦克风、USB存储等）接入能力；</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10、支持H.261、H.263、H.264、H.265、MPEG-4视频编解码协议</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11、主流分辨率支持：1080P30FPS/720P60FPS/720P30FPS                                                                                                                                                                       辅流分辨率支持：1920×1080,1280×720, 1024×768                                                                                                                                                                                                              1-30帧/秒可调</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12、码率支持64Kbps～8Mbps可调</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13、支持多种协议，支持各种分辨率：从QCIF到HD1080P，支持分层编码传输控制技术、丢包恢复（PLC）技术，支持在丢包30%内的情况下图像流畅</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14、辅流接口为HDMI及无线投屏器，支持双流伴音，无需增加额外的线缆、转接器或者软件。</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15、支持双流功能、支持BFCP、H.239双流协议。</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16、支持信令加密及媒体加密</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17、支持SSL、身份认证、数据完整性校验，防火墙保护</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19、支持媒体流以TCP方式传输，在网络丢包严重的情况下，自动感知丢包延迟，并进行补偿，30%以内丢包对系统没有影响</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20、支持字幕显示，可自定义字幕内容、大小、颜色，会场轻松标识。</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21、终端支持本地会议录制，支持USB口插入存储设备，实现本地会议的便捷录制。</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22、支持全中文图形化界面，支持遥控器中文输入，应具有基本的维护检测功能，如：本端音频自环、事件日志记录、内置声音和图像测试等功能。</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23、具有基本的系统监测诊断功能，包括呼叫状态显示、网络信息统计、本端音视频自环测试、日志、远程升级维护等功能</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rPr>
              <w:t>24、服务年限：≥3年</w:t>
            </w:r>
          </w:p>
        </w:tc>
        <w:tc>
          <w:tcPr>
            <w:tcW w:w="70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台</w:t>
            </w:r>
          </w:p>
        </w:tc>
        <w:tc>
          <w:tcPr>
            <w:tcW w:w="735" w:type="dxa"/>
            <w:noWrap w:val="0"/>
            <w:vAlign w:val="center"/>
          </w:tcPr>
          <w:p>
            <w:pPr>
              <w:keepNext w:val="0"/>
              <w:keepLines w:val="0"/>
              <w:pageBreakBefore w:val="0"/>
              <w:widowControl/>
              <w:suppressLineNumbers w:val="0"/>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1</w:t>
            </w:r>
          </w:p>
        </w:tc>
        <w:tc>
          <w:tcPr>
            <w:tcW w:w="1290" w:type="dxa"/>
            <w:noWrap w:val="0"/>
            <w:vAlign w:val="top"/>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按月支付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3</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维保服务费</w:t>
            </w:r>
          </w:p>
        </w:tc>
        <w:tc>
          <w:tcPr>
            <w:tcW w:w="6587" w:type="dxa"/>
            <w:noWrap w:val="0"/>
            <w:vAlign w:val="center"/>
          </w:tcPr>
          <w:p>
            <w:pPr>
              <w:keepNext w:val="0"/>
              <w:pageBreakBefore w:val="0"/>
              <w:overflowPunct/>
              <w:topLinePunct w:val="0"/>
              <w:autoSpaceDE/>
              <w:autoSpaceDN/>
              <w:bidi w:val="0"/>
              <w:adjustRightInd/>
              <w:snapToGrid/>
              <w:spacing w:line="360" w:lineRule="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3年维保服务费</w:t>
            </w:r>
          </w:p>
        </w:tc>
        <w:tc>
          <w:tcPr>
            <w:tcW w:w="70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项</w:t>
            </w:r>
          </w:p>
        </w:tc>
        <w:tc>
          <w:tcPr>
            <w:tcW w:w="735" w:type="dxa"/>
            <w:noWrap w:val="0"/>
            <w:vAlign w:val="center"/>
          </w:tcPr>
          <w:p>
            <w:pPr>
              <w:keepNext w:val="0"/>
              <w:keepLines w:val="0"/>
              <w:pageBreakBefore w:val="0"/>
              <w:widowControl/>
              <w:suppressLineNumbers w:val="0"/>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1</w:t>
            </w:r>
          </w:p>
        </w:tc>
        <w:tc>
          <w:tcPr>
            <w:tcW w:w="1290" w:type="dxa"/>
            <w:noWrap w:val="0"/>
            <w:vAlign w:val="top"/>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按月支付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4</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无纸化会议系统</w:t>
            </w:r>
          </w:p>
        </w:tc>
        <w:tc>
          <w:tcPr>
            <w:tcW w:w="6587" w:type="dxa"/>
            <w:noWrap w:val="0"/>
            <w:vAlign w:val="center"/>
          </w:tcPr>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服务器</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1、最高传输速率：≥1775Mbps</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2、2.4GHZ传输速率：≥574Mbps</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3、5GHZ传输速率：≥1201Mbps</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4、内存/闪存：≥256MB /≥128MB</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5、整机接口：支持1个10/100/1000Mbps WAN口，3个10/100/1000Mbps LAN/WAN复用接口，1个10/100M/1000Mbps LAN口</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路由器</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6、CPU：8505</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7、重量：≥1kg</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8、网卡：≥4*inter i226-V 2.5G网卡+2*inter 82599ES万兆光口</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9、存储：≥DDR5/8G+M.2/512G</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10、尺寸：≥154.6mm*131.7mm*60mm</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11、对外接口：支持2*usb2.0/1*usb3.2/type-c*1（10GBS）/tf插槽*1/HDMI2.0*2 4096*2160@60hz/DP1.4*1/音频接口*1</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lang w:val="en-US" w:eastAsia="zh-CN"/>
              </w:rPr>
              <w:t>12、服务年限：≥3年</w:t>
            </w:r>
          </w:p>
        </w:tc>
        <w:tc>
          <w:tcPr>
            <w:tcW w:w="70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项</w:t>
            </w:r>
          </w:p>
        </w:tc>
        <w:tc>
          <w:tcPr>
            <w:tcW w:w="735" w:type="dxa"/>
            <w:noWrap w:val="0"/>
            <w:vAlign w:val="center"/>
          </w:tcPr>
          <w:p>
            <w:pPr>
              <w:keepNext w:val="0"/>
              <w:keepLines w:val="0"/>
              <w:pageBreakBefore w:val="0"/>
              <w:widowControl/>
              <w:suppressLineNumbers w:val="0"/>
              <w:overflowPunct/>
              <w:topLinePunct w:val="0"/>
              <w:autoSpaceDE/>
              <w:autoSpaceDN/>
              <w:bidi w:val="0"/>
              <w:adjustRightInd/>
              <w:snapToGrid/>
              <w:spacing w:line="360" w:lineRule="auto"/>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w:t>
            </w:r>
          </w:p>
        </w:tc>
        <w:tc>
          <w:tcPr>
            <w:tcW w:w="1290" w:type="dxa"/>
            <w:noWrap w:val="0"/>
            <w:vAlign w:val="top"/>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5</w:t>
            </w:r>
          </w:p>
        </w:tc>
        <w:tc>
          <w:tcPr>
            <w:tcW w:w="735" w:type="dxa"/>
            <w:noWrap w:val="0"/>
            <w:vAlign w:val="center"/>
          </w:tcPr>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平板支架</w:t>
            </w:r>
          </w:p>
        </w:tc>
        <w:tc>
          <w:tcPr>
            <w:tcW w:w="6587" w:type="dxa"/>
            <w:noWrap w:val="0"/>
            <w:vAlign w:val="center"/>
          </w:tcPr>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1、全金属平板支架</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2、材质：碳素钢</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3、使用范围：4-13寸平板</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4、服务年限：3年</w:t>
            </w:r>
          </w:p>
        </w:tc>
        <w:tc>
          <w:tcPr>
            <w:tcW w:w="705" w:type="dxa"/>
            <w:noWrap w:val="0"/>
            <w:vAlign w:val="center"/>
          </w:tcPr>
          <w:p>
            <w:pPr>
              <w:keepNext w:val="0"/>
              <w:pageBreakBefore w:val="0"/>
              <w:overflowPunct/>
              <w:topLinePunct w:val="0"/>
              <w:autoSpaceDE/>
              <w:autoSpaceDN/>
              <w:bidi w:val="0"/>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个</w:t>
            </w:r>
          </w:p>
        </w:tc>
        <w:tc>
          <w:tcPr>
            <w:tcW w:w="735" w:type="dxa"/>
            <w:noWrap w:val="0"/>
            <w:vAlign w:val="center"/>
          </w:tcPr>
          <w:p>
            <w:pPr>
              <w:keepNext w:val="0"/>
              <w:pageBreakBefore w:val="0"/>
              <w:overflowPunct/>
              <w:topLinePunct w:val="0"/>
              <w:autoSpaceDE/>
              <w:autoSpaceDN/>
              <w:bidi w:val="0"/>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25</w:t>
            </w:r>
          </w:p>
        </w:tc>
        <w:tc>
          <w:tcPr>
            <w:tcW w:w="1290" w:type="dxa"/>
            <w:noWrap w:val="0"/>
            <w:vAlign w:val="top"/>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6</w:t>
            </w:r>
          </w:p>
        </w:tc>
        <w:tc>
          <w:tcPr>
            <w:tcW w:w="735" w:type="dxa"/>
            <w:noWrap w:val="0"/>
            <w:vAlign w:val="center"/>
          </w:tcPr>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充电柜</w:t>
            </w:r>
          </w:p>
        </w:tc>
        <w:tc>
          <w:tcPr>
            <w:tcW w:w="6587" w:type="dxa"/>
            <w:noWrap w:val="0"/>
            <w:vAlign w:val="center"/>
          </w:tcPr>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1、材质：冷轧钢</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2、可存放数量≥30台</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3、充电模式：独立供电</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4、服务年限：3年</w:t>
            </w:r>
          </w:p>
        </w:tc>
        <w:tc>
          <w:tcPr>
            <w:tcW w:w="705" w:type="dxa"/>
            <w:noWrap w:val="0"/>
            <w:vAlign w:val="center"/>
          </w:tcPr>
          <w:p>
            <w:pPr>
              <w:keepNext w:val="0"/>
              <w:pageBreakBefore w:val="0"/>
              <w:overflowPunct/>
              <w:topLinePunct w:val="0"/>
              <w:autoSpaceDE/>
              <w:autoSpaceDN/>
              <w:bidi w:val="0"/>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c>
          <w:tcPr>
            <w:tcW w:w="735" w:type="dxa"/>
            <w:noWrap w:val="0"/>
            <w:vAlign w:val="center"/>
          </w:tcPr>
          <w:p>
            <w:pPr>
              <w:keepNext w:val="0"/>
              <w:pageBreakBefore w:val="0"/>
              <w:overflowPunct/>
              <w:topLinePunct w:val="0"/>
              <w:autoSpaceDE/>
              <w:autoSpaceDN/>
              <w:bidi w:val="0"/>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290" w:type="dxa"/>
            <w:noWrap w:val="0"/>
            <w:vAlign w:val="top"/>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997" w:type="dxa"/>
            <w:gridSpan w:val="3"/>
            <w:noWrap w:val="0"/>
            <w:vAlign w:val="center"/>
          </w:tcPr>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合计（元）</w:t>
            </w:r>
          </w:p>
        </w:tc>
        <w:tc>
          <w:tcPr>
            <w:tcW w:w="2730" w:type="dxa"/>
            <w:gridSpan w:val="3"/>
            <w:noWrap w:val="0"/>
            <w:vAlign w:val="center"/>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105110</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w:t>
      </w:r>
      <w:r>
        <w:rPr>
          <w:rFonts w:hint="eastAsia" w:ascii="宋体" w:hAnsi="宋体" w:cs="宋体"/>
          <w:b w:val="0"/>
          <w:bCs w:val="0"/>
          <w:color w:val="auto"/>
          <w:sz w:val="28"/>
          <w:szCs w:val="28"/>
          <w:lang w:val="en-US" w:eastAsia="zh-CN"/>
        </w:rPr>
        <w:t>控制</w:t>
      </w:r>
      <w:r>
        <w:rPr>
          <w:rFonts w:hint="eastAsia" w:ascii="宋体" w:hAnsi="宋体" w:eastAsia="宋体" w:cs="宋体"/>
          <w:b w:val="0"/>
          <w:bCs w:val="0"/>
          <w:color w:val="auto"/>
          <w:sz w:val="28"/>
          <w:szCs w:val="28"/>
          <w:lang w:val="en-US" w:eastAsia="zh-CN"/>
        </w:rPr>
        <w:t>价：</w:t>
      </w:r>
      <w:r>
        <w:rPr>
          <w:rFonts w:hint="eastAsia" w:ascii="宋体" w:hAnsi="宋体" w:cs="宋体"/>
          <w:color w:val="0000FF"/>
          <w:sz w:val="28"/>
          <w:szCs w:val="28"/>
          <w:lang w:val="en-US" w:eastAsia="zh-CN"/>
        </w:rPr>
        <w:t>105110</w:t>
      </w:r>
      <w:r>
        <w:rPr>
          <w:rFonts w:hint="eastAsia" w:ascii="宋体" w:hAnsi="宋体" w:eastAsia="宋体" w:cs="宋体"/>
          <w:color w:val="0000FF"/>
          <w:sz w:val="28"/>
          <w:szCs w:val="28"/>
          <w:lang w:val="en-US" w:eastAsia="zh-CN"/>
        </w:rPr>
        <w:t>元（含税包干）</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20</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（1）供货期：合同签订后</w:t>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日内完成供货</w:t>
      </w:r>
      <w:r>
        <w:rPr>
          <w:rFonts w:hint="eastAsia" w:ascii="宋体" w:hAnsi="宋体" w:cs="宋体"/>
          <w:b w:val="0"/>
          <w:bCs w:val="0"/>
          <w:color w:val="auto"/>
          <w:sz w:val="28"/>
          <w:szCs w:val="28"/>
          <w:highlight w:val="none"/>
          <w:lang w:val="en-US" w:eastAsia="zh-CN"/>
        </w:rPr>
        <w:t>，货物到场并完成进场验收后7日完成安装、调试</w:t>
      </w:r>
      <w:r>
        <w:rPr>
          <w:rFonts w:hint="eastAsia" w:ascii="宋体" w:hAnsi="宋体" w:eastAsia="宋体" w:cs="宋体"/>
          <w:b w:val="0"/>
          <w:bCs w:val="0"/>
          <w:color w:val="auto"/>
          <w:sz w:val="28"/>
          <w:szCs w:val="28"/>
          <w:highlight w:val="none"/>
          <w:lang w:val="en-US" w:eastAsia="zh-CN"/>
        </w:rPr>
        <w:t>并经委托人验收合格（若因委托人原因造成安装及验收延期的，安装及验收期限做相应顺延）。成交人应免费送货上门、并搬运至委托人指定地点。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（2）验收要求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①验收标准：根据本竞价文件、成交人的响应文件、承诺及有关国家、行业规定。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②验收过程中发现成交人提供的货物或服务不符合招标要求，委托不支付任何费用，成交人不得提出任何异议，成交人须按要求无条件整改，整改至委托人满意为止，整改过程中一切费由成交人自行负责。若成交人整改不到位（整改次数超过2次的），影响委托人正常运行的，委托人根据实际情况有权对成交人进行处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③货物到货验收时成交人代表必须在场，并提供产品合格证、质量保证文件等相关证明材料。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④设备到场后，所有部件成交人都不得私自开箱(或拆封)，必须先经过委托人检验后方可开箱进行安装，否则委托人有权拒绝安装和验收。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⑤在本项目建设全部完成后进行验收，所有软硬件产品都已安装调试到位后，由成交人向委托人发出验收申请，并由委托人根据合同规定和相关的国家标准对项目的实施结果进行验收，并对有异议和疑义项提出书面说明，如果无异议双方签署《验收合格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⑥验收过程所发生的一切费用由成交人承担。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（3）包装要求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①标志：产品表层有明显的型号规格等标志，该标志在寿命期内应清晰、永久。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②包装：产品的包装应保证在运输、储藏和安装期间的安全及性能不受损害。包装盒/箱内应附有产品合格证、出厂日期、产品说明书、附件及附件清单等。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③运输：产品在运输过程中应避免雨雪的直接淋袭或烈日的暴晒。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①颜色、款式委托人可根据实际情况在生产前进行调整，但不得实质性改变竞价文件和响应文件的要求。成交人根据委托人书面确认的颜色和款式进行供货，未按要求提供的，后果由成交人自行承担；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②是否收取履约保证金：是。履约保证金百分比：</w:t>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%。成交</w:t>
      </w:r>
      <w:r>
        <w:rPr>
          <w:rFonts w:hint="eastAsia" w:ascii="宋体" w:hAnsi="宋体" w:cs="宋体"/>
          <w:b w:val="0"/>
          <w:bCs w:val="0"/>
          <w:color w:val="auto"/>
          <w:sz w:val="28"/>
          <w:szCs w:val="28"/>
          <w:highlight w:val="none"/>
          <w:lang w:val="en-US" w:eastAsia="zh-CN"/>
        </w:rPr>
        <w:t>人</w:t>
      </w:r>
      <w:r>
        <w:rPr>
          <w:rFonts w:hint="eastAsia" w:ascii="宋体" w:hAnsi="宋体" w:eastAsia="宋体" w:cs="宋体"/>
          <w:b w:val="0"/>
          <w:bCs w:val="0"/>
          <w:color w:val="auto"/>
          <w:sz w:val="28"/>
          <w:szCs w:val="28"/>
          <w:highlight w:val="none"/>
          <w:lang w:val="en-US" w:eastAsia="zh-CN"/>
        </w:rPr>
        <w:t>在合同签订之前以现金（银行转帐或电汇）、有效银行保函和保险保函形式之一向</w:t>
      </w:r>
      <w:r>
        <w:rPr>
          <w:rFonts w:hint="eastAsia" w:ascii="宋体" w:hAnsi="宋体" w:cs="宋体"/>
          <w:b w:val="0"/>
          <w:bCs w:val="0"/>
          <w:color w:val="auto"/>
          <w:sz w:val="28"/>
          <w:szCs w:val="28"/>
          <w:highlight w:val="none"/>
          <w:lang w:val="en-US" w:eastAsia="zh-CN"/>
        </w:rPr>
        <w:t>委托人</w:t>
      </w:r>
      <w:r>
        <w:rPr>
          <w:rFonts w:hint="eastAsia" w:ascii="宋体" w:hAnsi="宋体" w:eastAsia="宋体" w:cs="宋体"/>
          <w:b w:val="0"/>
          <w:bCs w:val="0"/>
          <w:color w:val="auto"/>
          <w:sz w:val="28"/>
          <w:szCs w:val="28"/>
          <w:highlight w:val="none"/>
          <w:lang w:val="en-US" w:eastAsia="zh-CN"/>
        </w:rPr>
        <w:t>缴交</w:t>
      </w:r>
      <w:r>
        <w:rPr>
          <w:rFonts w:hint="eastAsia" w:ascii="宋体" w:hAnsi="宋体" w:cs="宋体"/>
          <w:b w:val="0"/>
          <w:bCs w:val="0"/>
          <w:color w:val="auto"/>
          <w:sz w:val="28"/>
          <w:szCs w:val="28"/>
          <w:highlight w:val="none"/>
          <w:lang w:val="en-US" w:eastAsia="zh-CN"/>
        </w:rPr>
        <w:t>成交</w:t>
      </w:r>
      <w:r>
        <w:rPr>
          <w:rFonts w:hint="eastAsia" w:ascii="宋体" w:hAnsi="宋体" w:eastAsia="宋体" w:cs="宋体"/>
          <w:b w:val="0"/>
          <w:bCs w:val="0"/>
          <w:color w:val="auto"/>
          <w:sz w:val="28"/>
          <w:szCs w:val="28"/>
          <w:highlight w:val="none"/>
          <w:lang w:val="en-US" w:eastAsia="zh-CN"/>
        </w:rPr>
        <w:t>金额</w:t>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%的履约保证金。在服务合同期满后30天内一次性无息退还（有扣除的除外）。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具体要求以《采购合同》为准。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1.遵守中华人民共和国法律、法规，且能够诚信经营的境内供应商均有可能成为合格的竞价人,但已经被列入失信被执行人名单（截止报名时间）的除外。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20</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13</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0000FF"/>
          <w:sz w:val="28"/>
          <w:szCs w:val="28"/>
          <w:highlight w:val="none"/>
          <w:lang w:val="en-US" w:eastAsia="zh-CN"/>
        </w:rPr>
        <w:t>平台系统</w:t>
      </w:r>
      <w:r>
        <w:rPr>
          <w:rFonts w:hint="eastAsia" w:ascii="宋体" w:hAnsi="宋体" w:eastAsia="宋体" w:cs="宋体"/>
          <w:b/>
          <w:bCs/>
          <w:color w:val="0000FF"/>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cs="宋体"/>
          <w:color w:val="0000FF"/>
          <w:sz w:val="28"/>
          <w:szCs w:val="28"/>
          <w:lang w:val="en-US" w:eastAsia="zh-CN"/>
        </w:rPr>
      </w:pPr>
      <w:r>
        <w:rPr>
          <w:rFonts w:hint="eastAsia" w:ascii="宋体" w:hAnsi="宋体" w:cs="宋体"/>
          <w:color w:val="0000FF"/>
          <w:sz w:val="28"/>
          <w:szCs w:val="28"/>
          <w:lang w:val="en-US" w:eastAsia="zh-CN"/>
        </w:rPr>
        <w:t>（6）检测报告；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（7）分项报价表。</w:t>
      </w:r>
    </w:p>
    <w:tbl>
      <w:tblPr>
        <w:tblStyle w:val="15"/>
        <w:tblpPr w:leftFromText="180" w:rightFromText="180" w:vertAnchor="text" w:horzAnchor="page" w:tblpX="1212" w:tblpY="147"/>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655"/>
        <w:gridCol w:w="2010"/>
        <w:gridCol w:w="1380"/>
        <w:gridCol w:w="135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序号</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产品名称</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品牌、型号</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数量</w:t>
            </w: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单价</w:t>
            </w: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1</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0000FF"/>
                <w:sz w:val="24"/>
                <w:szCs w:val="24"/>
                <w:lang w:val="en-US" w:eastAsia="zh-CN"/>
              </w:rPr>
            </w:pPr>
            <w:r>
              <w:rPr>
                <w:rFonts w:hint="default" w:ascii="宋体" w:hAnsi="宋体" w:eastAsia="宋体" w:cs="宋体"/>
                <w:color w:val="0000FF"/>
                <w:sz w:val="24"/>
                <w:szCs w:val="24"/>
                <w:lang w:val="en-US" w:eastAsia="zh-CN"/>
              </w:rPr>
              <w:t>平板终端</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2</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0000FF"/>
                <w:sz w:val="24"/>
                <w:szCs w:val="24"/>
                <w:lang w:val="en-US" w:eastAsia="zh-CN"/>
              </w:rPr>
            </w:pPr>
            <w:r>
              <w:rPr>
                <w:rFonts w:hint="default" w:ascii="宋体" w:hAnsi="宋体" w:eastAsia="宋体" w:cs="宋体"/>
                <w:color w:val="0000FF"/>
                <w:sz w:val="24"/>
                <w:szCs w:val="24"/>
                <w:lang w:val="en-US" w:eastAsia="zh-CN"/>
              </w:rPr>
              <w:t>智慧大屏</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宋体" w:hAnsi="宋体" w:eastAsia="宋体" w:cs="宋体"/>
                <w:color w:val="0000FF"/>
                <w:sz w:val="24"/>
                <w:szCs w:val="24"/>
                <w:lang w:val="en-US" w:eastAsia="zh-CN"/>
              </w:rPr>
            </w:pPr>
            <w:r>
              <w:rPr>
                <w:rFonts w:hint="eastAsia" w:ascii="宋体" w:hAnsi="宋体" w:cs="宋体"/>
                <w:color w:val="0000FF"/>
                <w:sz w:val="24"/>
                <w:szCs w:val="24"/>
                <w:lang w:val="en-US" w:eastAsia="zh-CN"/>
              </w:rPr>
              <w:t>3</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0000FF"/>
                <w:sz w:val="24"/>
                <w:szCs w:val="24"/>
                <w:lang w:val="en-US" w:eastAsia="zh-CN"/>
              </w:rPr>
            </w:pPr>
            <w:r>
              <w:rPr>
                <w:rFonts w:hint="default" w:ascii="宋体" w:hAnsi="宋体" w:eastAsia="宋体" w:cs="宋体"/>
                <w:color w:val="0000FF"/>
                <w:sz w:val="24"/>
                <w:szCs w:val="24"/>
                <w:lang w:val="en-US" w:eastAsia="zh-CN"/>
              </w:rPr>
              <w:t>维保服务费</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宋体" w:hAnsi="宋体" w:eastAsia="宋体" w:cs="宋体"/>
                <w:color w:val="0000FF"/>
                <w:sz w:val="24"/>
                <w:szCs w:val="24"/>
                <w:lang w:val="en-US" w:eastAsia="zh-CN"/>
              </w:rPr>
            </w:pPr>
            <w:r>
              <w:rPr>
                <w:rFonts w:hint="eastAsia" w:ascii="宋体" w:hAnsi="宋体" w:cs="宋体"/>
                <w:color w:val="0000FF"/>
                <w:sz w:val="24"/>
                <w:szCs w:val="24"/>
                <w:lang w:val="en-US" w:eastAsia="zh-CN"/>
              </w:rPr>
              <w:t>4</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0000FF"/>
                <w:sz w:val="24"/>
                <w:szCs w:val="24"/>
                <w:lang w:val="en-US" w:eastAsia="zh-CN"/>
              </w:rPr>
            </w:pPr>
            <w:r>
              <w:rPr>
                <w:rFonts w:hint="default" w:ascii="宋体" w:hAnsi="宋体" w:eastAsia="宋体" w:cs="宋体"/>
                <w:color w:val="0000FF"/>
                <w:sz w:val="24"/>
                <w:szCs w:val="24"/>
                <w:lang w:val="en-US" w:eastAsia="zh-CN"/>
              </w:rPr>
              <w:t>无纸化会议系统</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宋体" w:hAnsi="宋体" w:eastAsia="宋体" w:cs="宋体"/>
                <w:color w:val="0000FF"/>
                <w:sz w:val="24"/>
                <w:szCs w:val="24"/>
                <w:lang w:val="en-US" w:eastAsia="zh-CN"/>
              </w:rPr>
            </w:pPr>
            <w:r>
              <w:rPr>
                <w:rFonts w:hint="eastAsia" w:ascii="宋体" w:hAnsi="宋体" w:cs="宋体"/>
                <w:color w:val="0000FF"/>
                <w:sz w:val="24"/>
                <w:szCs w:val="24"/>
                <w:lang w:val="en-US" w:eastAsia="zh-CN"/>
              </w:rPr>
              <w:t>5</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color w:val="0000FF"/>
                <w:sz w:val="24"/>
                <w:szCs w:val="24"/>
                <w:lang w:val="en-US" w:eastAsia="zh-CN"/>
              </w:rPr>
            </w:pPr>
            <w:r>
              <w:rPr>
                <w:rFonts w:hint="default" w:ascii="宋体" w:hAnsi="宋体" w:eastAsia="宋体" w:cs="宋体"/>
                <w:color w:val="0000FF"/>
                <w:sz w:val="24"/>
                <w:szCs w:val="24"/>
                <w:lang w:val="en-US" w:eastAsia="zh-CN"/>
              </w:rPr>
              <w:t>平板支架</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宋体" w:hAnsi="宋体" w:cs="宋体"/>
                <w:color w:val="0000FF"/>
                <w:sz w:val="24"/>
                <w:szCs w:val="24"/>
                <w:lang w:val="en-US" w:eastAsia="zh-CN"/>
              </w:rPr>
            </w:pPr>
            <w:r>
              <w:rPr>
                <w:rFonts w:hint="eastAsia" w:ascii="宋体" w:hAnsi="宋体" w:cs="宋体"/>
                <w:color w:val="0000FF"/>
                <w:sz w:val="24"/>
                <w:szCs w:val="24"/>
                <w:lang w:val="en-US" w:eastAsia="zh-CN"/>
              </w:rPr>
              <w:t>6</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default" w:ascii="宋体" w:hAnsi="宋体" w:eastAsia="宋体" w:cs="宋体"/>
                <w:color w:val="0000FF"/>
                <w:sz w:val="24"/>
                <w:szCs w:val="24"/>
                <w:lang w:val="en-US" w:eastAsia="zh-CN"/>
              </w:rPr>
            </w:pPr>
            <w:r>
              <w:rPr>
                <w:rFonts w:hint="default" w:ascii="宋体" w:hAnsi="宋体" w:eastAsia="宋体" w:cs="宋体"/>
                <w:color w:val="0000FF"/>
                <w:sz w:val="24"/>
                <w:szCs w:val="24"/>
                <w:lang w:val="en-US" w:eastAsia="zh-CN"/>
              </w:rPr>
              <w:t>充电柜</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0" w:firstLineChars="200"/>
              <w:textAlignment w:val="auto"/>
              <w:rPr>
                <w:rFonts w:hint="eastAsia" w:ascii="宋体" w:hAnsi="宋体" w:eastAsia="宋体" w:cs="宋体"/>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5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合计（元）</w:t>
            </w:r>
          </w:p>
        </w:tc>
        <w:tc>
          <w:tcPr>
            <w:tcW w:w="652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560" w:firstLineChars="200"/>
              <w:textAlignment w:val="auto"/>
              <w:rPr>
                <w:rFonts w:hint="eastAsia" w:ascii="宋体" w:hAnsi="宋体" w:eastAsia="宋体" w:cs="宋体"/>
                <w:color w:val="0000FF"/>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cs="宋体"/>
          <w:b/>
          <w:bCs/>
          <w:color w:val="0000FF"/>
          <w:sz w:val="28"/>
          <w:szCs w:val="28"/>
          <w:lang w:val="en-US" w:eastAsia="zh-CN"/>
        </w:rPr>
      </w:pPr>
      <w:r>
        <w:rPr>
          <w:rFonts w:hint="eastAsia" w:ascii="宋体" w:hAnsi="宋体" w:eastAsia="宋体" w:cs="宋体"/>
          <w:b/>
          <w:bCs/>
          <w:color w:val="0000FF"/>
          <w:sz w:val="28"/>
          <w:szCs w:val="28"/>
          <w:lang w:val="en-US" w:eastAsia="zh-CN"/>
        </w:rPr>
        <w:t>备注：竞价系统填报的总价应与分项报价表的投报总价相同</w:t>
      </w:r>
      <w:r>
        <w:rPr>
          <w:rFonts w:hint="eastAsia" w:ascii="宋体" w:hAnsi="宋体" w:cs="宋体"/>
          <w:b/>
          <w:bCs/>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rPr>
        <w:t>。</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r>
        <w:rPr>
          <w:rFonts w:hint="eastAsia" w:ascii="宋体" w:hAnsi="宋体" w:eastAsia="宋体" w:cs="宋体"/>
          <w:b/>
          <w:bCs/>
          <w:color w:val="0000FF"/>
          <w:kern w:val="2"/>
          <w:sz w:val="28"/>
          <w:szCs w:val="28"/>
          <w:highlight w:val="none"/>
          <w:shd w:val="clear"/>
          <w:lang w:val="en-US" w:eastAsia="zh-CN"/>
        </w:rPr>
        <w:t>报价截止时间后，系统将自动开启解密，提交报价的供应商需在30分钟内进行解密，否则视为撤回报价。</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sz w:val="28"/>
          <w:szCs w:val="28"/>
          <w:lang w:val="en-US" w:eastAsia="zh-CN"/>
        </w:rPr>
        <w:t>总价报价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竞价成交后，</w:t>
      </w:r>
      <w:r>
        <w:rPr>
          <w:rFonts w:hint="eastAsia" w:ascii="宋体" w:hAnsi="宋体" w:eastAsia="宋体" w:cs="宋体"/>
          <w:b/>
          <w:bCs/>
          <w:color w:val="000000" w:themeColor="text1"/>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000000" w:themeColor="text1"/>
          <w:sz w:val="28"/>
          <w:szCs w:val="28"/>
          <w:highlight w:val="none"/>
        </w:rPr>
        <w:t>服务费按成交价×1.5%计费向成交</w:t>
      </w:r>
      <w:r>
        <w:rPr>
          <w:rFonts w:hint="eastAsia" w:ascii="宋体" w:hAnsi="宋体" w:eastAsia="宋体" w:cs="宋体"/>
          <w:b/>
          <w:bCs/>
          <w:color w:val="000000" w:themeColor="text1"/>
          <w:sz w:val="28"/>
          <w:szCs w:val="28"/>
          <w:highlight w:val="none"/>
          <w:lang w:val="en-US" w:eastAsia="zh-CN"/>
        </w:rPr>
        <w:t>人</w:t>
      </w:r>
      <w:r>
        <w:rPr>
          <w:rFonts w:hint="eastAsia" w:ascii="宋体" w:hAnsi="宋体" w:eastAsia="宋体" w:cs="宋体"/>
          <w:b/>
          <w:bCs/>
          <w:color w:val="000000" w:themeColor="text1"/>
          <w:sz w:val="28"/>
          <w:szCs w:val="28"/>
          <w:highlight w:val="none"/>
        </w:rPr>
        <w:t>收取</w:t>
      </w:r>
      <w:r>
        <w:rPr>
          <w:rFonts w:hint="eastAsia" w:ascii="宋体" w:hAnsi="宋体" w:eastAsia="宋体" w:cs="宋体"/>
          <w:color w:val="000000" w:themeColor="text1"/>
          <w:sz w:val="28"/>
          <w:szCs w:val="28"/>
          <w:highlight w:val="none"/>
        </w:rPr>
        <w:t>。当成交（或中标）金额低于3万元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，代理费按实际金额计收；成交（或中标）金额大于等于3万元且代理费不足3000元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，按3000元收取。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招标代理服务费须在成交之日起</w:t>
      </w:r>
      <w:r>
        <w:rPr>
          <w:rFonts w:hint="eastAsia" w:ascii="宋体" w:hAnsi="宋体" w:cs="宋体"/>
          <w:color w:val="000000"/>
          <w:sz w:val="28"/>
          <w:szCs w:val="28"/>
          <w:highlight w:val="none"/>
          <w:lang w:val="en-US" w:eastAsia="zh-CN"/>
        </w:rPr>
        <w:t>7</w:t>
      </w:r>
      <w:r>
        <w:rPr>
          <w:rFonts w:hint="eastAsia" w:ascii="宋体" w:hAnsi="宋体" w:eastAsia="宋体" w:cs="宋体"/>
          <w:color w:val="000000"/>
          <w:sz w:val="28"/>
          <w:szCs w:val="28"/>
          <w:highlight w:val="none"/>
          <w:lang w:val="en-US" w:eastAsia="zh-CN"/>
        </w:rPr>
        <w:t>个工作日汇到本公司指定账户（户名：连城县国有资产产权交易服务有限公司，开户行：中国农业银行连城县支行，账号：1377 0101 0400 18263）。招标代理服务费未按期付清的，视成交人根本违约，竞价保证金不予退回。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val="en-US" w:eastAsia="zh-CN"/>
        </w:rPr>
        <w:t>平板终端、智慧大屏、集成维保服务费分36期按月支付。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2.</w:t>
      </w:r>
      <w:r>
        <w:rPr>
          <w:rFonts w:hint="eastAsia" w:ascii="宋体" w:hAnsi="宋体" w:eastAsia="宋体" w:cs="宋体"/>
          <w:color w:val="000000"/>
          <w:sz w:val="28"/>
          <w:szCs w:val="28"/>
          <w:highlight w:val="none"/>
          <w:lang w:val="en-US" w:eastAsia="zh-CN"/>
        </w:rPr>
        <w:t>无纸化会议系统、平板支架、充电柜在成交人完成货物供应并经委托人验收合格后一次性完成支付。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注：委托人支付费用前成交人均需开具相应的增值税发票。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4"/>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406400</wp:posOffset>
            </wp:positionH>
            <wp:positionV relativeFrom="paragraph">
              <wp:posOffset>165100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spacing w:line="480" w:lineRule="exact"/>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7</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13</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福建连城国有投资集团有限公司无纸化会议系统采购项目</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LCCQJJ20260713</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48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13"/>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13"/>
        <w:rPr>
          <w:rFonts w:hint="eastAsia" w:ascii="宋体" w:hAnsi="宋体" w:eastAsia="宋体" w:cs="宋体"/>
          <w:color w:val="000000"/>
          <w:sz w:val="28"/>
          <w:szCs w:val="28"/>
        </w:rPr>
      </w:pPr>
    </w:p>
    <w:p>
      <w:pPr>
        <w:rPr>
          <w:rFonts w:hint="eastAsia"/>
        </w:rPr>
      </w:pPr>
    </w:p>
    <w:p>
      <w:pPr>
        <w:pStyle w:val="24"/>
        <w:keepNext w:val="0"/>
        <w:pageBreakBefore w:val="0"/>
        <w:kinsoku/>
        <w:wordWrap/>
        <w:overflowPunct/>
        <w:topLinePunct w:val="0"/>
        <w:bidi w:val="0"/>
        <w:spacing w:line="480" w:lineRule="exact"/>
        <w:jc w:val="both"/>
        <w:textAlignment w:val="auto"/>
        <w:outlineLvl w:val="9"/>
        <w:rPr>
          <w:rStyle w:val="17"/>
          <w:rFonts w:hint="eastAsia" w:hAnsi="宋体" w:eastAsia="宋体" w:cs="宋体"/>
          <w:color w:val="000000" w:themeColor="text1"/>
          <w:spacing w:val="0"/>
          <w:sz w:val="32"/>
          <w:szCs w:val="32"/>
          <w:highlight w:val="none"/>
          <w:lang w:val="en-US" w:eastAsia="zh-CN"/>
        </w:rPr>
      </w:pPr>
      <w:r>
        <w:rPr>
          <w:rStyle w:val="17"/>
          <w:rFonts w:hint="eastAsia" w:hAnsi="宋体" w:eastAsia="宋体" w:cs="宋体"/>
          <w:color w:val="000000" w:themeColor="text1"/>
          <w:spacing w:val="0"/>
          <w:sz w:val="32"/>
          <w:szCs w:val="32"/>
          <w:highlight w:val="none"/>
          <w:lang w:val="en-US" w:eastAsia="zh-CN"/>
        </w:rPr>
        <w:t xml:space="preserve">附件                  </w:t>
      </w:r>
    </w:p>
    <w:p>
      <w:pPr>
        <w:pStyle w:val="24"/>
        <w:keepNext w:val="0"/>
        <w:pageBreakBefore w:val="0"/>
        <w:kinsoku/>
        <w:wordWrap/>
        <w:overflowPunct/>
        <w:topLinePunct w:val="0"/>
        <w:bidi w:val="0"/>
        <w:spacing w:line="480" w:lineRule="exact"/>
        <w:jc w:val="center"/>
        <w:textAlignment w:val="auto"/>
        <w:outlineLvl w:val="9"/>
        <w:rPr>
          <w:rFonts w:hint="eastAsia" w:ascii="宋体" w:hAnsi="宋体" w:eastAsia="宋体" w:cs="宋体"/>
          <w:color w:val="000000" w:themeColor="text1"/>
          <w:sz w:val="24"/>
          <w:szCs w:val="24"/>
          <w:highlight w:val="none"/>
        </w:rPr>
      </w:pPr>
      <w:r>
        <w:rPr>
          <w:rStyle w:val="17"/>
          <w:rFonts w:hint="eastAsia" w:hAnsi="宋体" w:cs="宋体"/>
          <w:color w:val="000000" w:themeColor="text1"/>
          <w:spacing w:val="0"/>
          <w:sz w:val="32"/>
          <w:szCs w:val="32"/>
          <w:highlight w:val="none"/>
          <w:lang w:val="en-US" w:eastAsia="zh-CN"/>
        </w:rPr>
        <w:t>采购</w:t>
      </w:r>
      <w:r>
        <w:rPr>
          <w:rStyle w:val="17"/>
          <w:rFonts w:hint="eastAsia" w:ascii="宋体" w:hAnsi="宋体" w:eastAsia="宋体" w:cs="宋体"/>
          <w:color w:val="000000" w:themeColor="text1"/>
          <w:spacing w:val="0"/>
          <w:sz w:val="32"/>
          <w:szCs w:val="32"/>
          <w:highlight w:val="none"/>
        </w:rPr>
        <w:t>合同</w:t>
      </w:r>
    </w:p>
    <w:p>
      <w:pPr>
        <w:keepNext w:val="0"/>
        <w:pageBreakBefore w:val="0"/>
        <w:overflowPunct/>
        <w:topLinePunct w:val="0"/>
        <w:bidi w:val="0"/>
        <w:spacing w:line="480" w:lineRule="exact"/>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pPr>
        <w:pStyle w:val="24"/>
        <w:keepNext w:val="0"/>
        <w:pageBreakBefore w:val="0"/>
        <w:overflowPunct/>
        <w:topLinePunct w:val="0"/>
        <w:bidi w:val="0"/>
        <w:spacing w:line="480" w:lineRule="exact"/>
        <w:ind w:firstLine="482" w:firstLineChars="200"/>
        <w:outlineLvl w:val="9"/>
        <w:rPr>
          <w:rFonts w:hAnsi="宋体"/>
          <w:b/>
          <w:sz w:val="24"/>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asciiTheme="minorEastAsia" w:hAnsiTheme="minorEastAsia" w:eastAsiaTheme="minorEastAsia" w:cstheme="minorEastAsia"/>
          <w:b/>
          <w:bCs/>
          <w:szCs w:val="24"/>
        </w:rPr>
      </w:pPr>
      <w:r>
        <w:rPr>
          <w:rStyle w:val="17"/>
          <w:rFonts w:hint="eastAsia" w:asciiTheme="minorEastAsia" w:hAnsiTheme="minorEastAsia" w:eastAsiaTheme="minorEastAsia" w:cstheme="minorEastAsia"/>
          <w:b/>
          <w:bCs/>
          <w:sz w:val="24"/>
        </w:rPr>
        <w:t>1</w:t>
      </w:r>
      <w:r>
        <w:rPr>
          <w:rStyle w:val="17"/>
          <w:rFonts w:hint="eastAsia" w:asciiTheme="minorEastAsia" w:hAnsiTheme="minorEastAsia" w:eastAsiaTheme="minorEastAsia" w:cstheme="minorEastAsia"/>
          <w:b/>
          <w:bCs/>
          <w:sz w:val="24"/>
          <w:lang w:val="en-US" w:eastAsia="zh-CN"/>
        </w:rPr>
        <w:t>.</w:t>
      </w:r>
      <w:r>
        <w:rPr>
          <w:rStyle w:val="17"/>
          <w:rFonts w:hint="eastAsia" w:asciiTheme="minorEastAsia" w:hAnsiTheme="minorEastAsia" w:eastAsiaTheme="minorEastAsia" w:cstheme="minorEastAsia"/>
          <w:b/>
          <w:bCs/>
          <w:sz w:val="24"/>
        </w:rPr>
        <w:t>签订合同应遵守《中华人民共和国民法典》等法律法规。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asciiTheme="minorEastAsia" w:hAnsiTheme="minorEastAsia" w:eastAsiaTheme="minorEastAsia" w:cstheme="minorEastAsia"/>
          <w:b/>
          <w:bCs/>
          <w:szCs w:val="24"/>
        </w:rPr>
      </w:pPr>
      <w:r>
        <w:rPr>
          <w:rStyle w:val="17"/>
          <w:rFonts w:hint="eastAsia" w:asciiTheme="minorEastAsia" w:hAnsiTheme="minorEastAsia" w:eastAsiaTheme="minorEastAsia" w:cstheme="minorEastAsia"/>
          <w:b/>
          <w:bCs/>
          <w:sz w:val="24"/>
        </w:rPr>
        <w:t>2</w:t>
      </w:r>
      <w:r>
        <w:rPr>
          <w:rStyle w:val="17"/>
          <w:rFonts w:hint="eastAsia" w:asciiTheme="minorEastAsia" w:hAnsiTheme="minorEastAsia" w:eastAsiaTheme="minorEastAsia" w:cstheme="minorEastAsia"/>
          <w:b/>
          <w:bCs/>
          <w:sz w:val="24"/>
          <w:lang w:val="en-US" w:eastAsia="zh-CN"/>
        </w:rPr>
        <w:t>.</w:t>
      </w:r>
      <w:r>
        <w:rPr>
          <w:rStyle w:val="17"/>
          <w:rFonts w:hint="eastAsia" w:asciiTheme="minorEastAsia" w:hAnsiTheme="minorEastAsia" w:eastAsiaTheme="minorEastAsia" w:cstheme="minorEastAsia"/>
          <w:b/>
          <w:bCs/>
          <w:sz w:val="24"/>
        </w:rPr>
        <w:t>签订合同时，</w:t>
      </w:r>
      <w:r>
        <w:rPr>
          <w:rStyle w:val="17"/>
          <w:rFonts w:hint="eastAsia" w:asciiTheme="minorEastAsia" w:hAnsiTheme="minorEastAsia" w:eastAsiaTheme="minorEastAsia" w:cstheme="minorEastAsia"/>
          <w:b/>
          <w:bCs/>
          <w:sz w:val="24"/>
          <w:lang w:eastAsia="zh-CN"/>
        </w:rPr>
        <w:t>委托人</w:t>
      </w:r>
      <w:r>
        <w:rPr>
          <w:rStyle w:val="17"/>
          <w:rFonts w:hint="eastAsia" w:asciiTheme="minorEastAsia" w:hAnsiTheme="minorEastAsia" w:eastAsiaTheme="minorEastAsia" w:cstheme="minorEastAsia"/>
          <w:b/>
          <w:bCs/>
          <w:sz w:val="24"/>
        </w:rPr>
        <w:t>与</w:t>
      </w:r>
      <w:r>
        <w:rPr>
          <w:rStyle w:val="17"/>
          <w:rFonts w:hint="eastAsia" w:asciiTheme="minorEastAsia" w:hAnsiTheme="minorEastAsia" w:eastAsiaTheme="minorEastAsia" w:cstheme="minorEastAsia"/>
          <w:b/>
          <w:bCs/>
          <w:sz w:val="24"/>
          <w:lang w:val="en-US" w:eastAsia="zh-CN"/>
        </w:rPr>
        <w:t>成交人</w:t>
      </w:r>
      <w:r>
        <w:rPr>
          <w:rStyle w:val="17"/>
          <w:rFonts w:hint="eastAsia" w:asciiTheme="minorEastAsia" w:hAnsiTheme="minorEastAsia" w:eastAsiaTheme="minorEastAsia" w:cstheme="minorEastAsia"/>
          <w:b/>
          <w:bCs/>
          <w:sz w:val="24"/>
        </w:rPr>
        <w:t>应结合</w:t>
      </w:r>
      <w:r>
        <w:rPr>
          <w:rStyle w:val="17"/>
          <w:rFonts w:hint="eastAsia" w:asciiTheme="minorEastAsia" w:hAnsiTheme="minorEastAsia" w:eastAsiaTheme="minorEastAsia" w:cstheme="minorEastAsia"/>
          <w:b/>
          <w:bCs/>
          <w:sz w:val="24"/>
          <w:lang w:val="en-US" w:eastAsia="zh-CN"/>
        </w:rPr>
        <w:t>竞价文件相关</w:t>
      </w:r>
      <w:r>
        <w:rPr>
          <w:rStyle w:val="17"/>
          <w:rFonts w:hint="eastAsia" w:asciiTheme="minorEastAsia" w:hAnsiTheme="minorEastAsia" w:eastAsiaTheme="minorEastAsia" w:cstheme="minorEastAsia"/>
          <w:b/>
          <w:bCs/>
          <w:sz w:val="24"/>
        </w:rPr>
        <w:t>规定填列相应内容。</w:t>
      </w:r>
      <w:r>
        <w:rPr>
          <w:rStyle w:val="17"/>
          <w:rFonts w:hint="eastAsia" w:asciiTheme="minorEastAsia" w:hAnsiTheme="minorEastAsia" w:eastAsiaTheme="minorEastAsia" w:cstheme="minorEastAsia"/>
          <w:b/>
          <w:bCs/>
          <w:sz w:val="24"/>
          <w:lang w:val="en-US" w:eastAsia="zh-CN"/>
        </w:rPr>
        <w:t>竞价文件</w:t>
      </w:r>
      <w:r>
        <w:rPr>
          <w:rStyle w:val="17"/>
          <w:rFonts w:hint="eastAsia" w:asciiTheme="minorEastAsia" w:hAnsiTheme="minorEastAsia" w:eastAsiaTheme="minorEastAsia" w:cstheme="minorEastAsia"/>
          <w:b/>
          <w:bCs/>
          <w:sz w:val="24"/>
        </w:rPr>
        <w:t>已有规定的，双方均不得变更或调整；</w:t>
      </w:r>
      <w:r>
        <w:rPr>
          <w:rStyle w:val="17"/>
          <w:rFonts w:hint="eastAsia" w:asciiTheme="minorEastAsia" w:hAnsiTheme="minorEastAsia" w:eastAsiaTheme="minorEastAsia" w:cstheme="minorEastAsia"/>
          <w:b/>
          <w:bCs/>
          <w:sz w:val="24"/>
          <w:lang w:val="en-US" w:eastAsia="zh-CN"/>
        </w:rPr>
        <w:t>竞价文件</w:t>
      </w:r>
      <w:r>
        <w:rPr>
          <w:rStyle w:val="17"/>
          <w:rFonts w:hint="eastAsia" w:asciiTheme="minorEastAsia" w:hAnsiTheme="minorEastAsia" w:eastAsiaTheme="minorEastAsia" w:cstheme="minorEastAsia"/>
          <w:b/>
          <w:bCs/>
          <w:sz w:val="24"/>
        </w:rPr>
        <w:t>未作规定的，双方可通过友好协商进行约定。</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ascii="宋体" w:hAnsi="宋体" w:eastAsia="宋体" w:cs="宋体"/>
          <w:b/>
          <w:bCs/>
          <w:color w:val="000000"/>
          <w:kern w:val="0"/>
          <w:sz w:val="24"/>
        </w:rPr>
      </w:pPr>
      <w:r>
        <w:rPr>
          <w:rStyle w:val="17"/>
          <w:rFonts w:hint="eastAsia" w:asciiTheme="minorEastAsia" w:hAnsiTheme="minorEastAsia" w:eastAsiaTheme="minorEastAsia" w:cstheme="minorEastAsia"/>
          <w:b/>
          <w:bCs/>
          <w:sz w:val="24"/>
        </w:rPr>
        <w:t>3</w:t>
      </w:r>
      <w:r>
        <w:rPr>
          <w:rStyle w:val="17"/>
          <w:rFonts w:hint="eastAsia" w:asciiTheme="minorEastAsia" w:hAnsiTheme="minorEastAsia" w:eastAsiaTheme="minorEastAsia" w:cstheme="minorEastAsia"/>
          <w:b/>
          <w:bCs/>
          <w:sz w:val="24"/>
          <w:lang w:val="en-US" w:eastAsia="zh-CN"/>
        </w:rPr>
        <w:t>.</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pPr>
        <w:keepNext w:val="0"/>
        <w:pageBreakBefore w:val="0"/>
        <w:overflowPunct/>
        <w:topLinePunct w:val="0"/>
        <w:bidi w:val="0"/>
        <w:spacing w:line="480" w:lineRule="exact"/>
        <w:ind w:firstLine="590" w:firstLineChars="246"/>
        <w:rPr>
          <w:rFonts w:hint="eastAsia" w:ascii="宋体" w:hAnsi="宋体" w:eastAsia="宋体" w:cs="宋体"/>
          <w:b w:val="0"/>
          <w:bCs/>
          <w:sz w:val="24"/>
        </w:rPr>
      </w:pPr>
    </w:p>
    <w:p>
      <w:pPr>
        <w:spacing w:line="360" w:lineRule="auto"/>
        <w:rPr>
          <w:rFonts w:hint="eastAsia" w:ascii="Calibri" w:hAnsi="Calibri"/>
          <w:sz w:val="24"/>
        </w:rPr>
      </w:pPr>
      <w:r>
        <w:rPr>
          <w:rFonts w:hint="eastAsia" w:ascii="Calibri" w:hAnsi="Calibri"/>
          <w:sz w:val="24"/>
        </w:rPr>
        <w:t>甲方：</w:t>
      </w:r>
      <w:r>
        <w:rPr>
          <w:rFonts w:hint="eastAsia" w:ascii="Calibri" w:hAnsi="Calibri"/>
          <w:color w:val="0000FF"/>
          <w:sz w:val="24"/>
        </w:rPr>
        <w:t xml:space="preserve"> </w:t>
      </w:r>
    </w:p>
    <w:p>
      <w:pPr>
        <w:spacing w:line="360" w:lineRule="auto"/>
        <w:rPr>
          <w:rFonts w:hint="default" w:ascii="Calibri" w:hAnsi="Calibri"/>
          <w:sz w:val="24"/>
          <w:lang w:val="en-US" w:eastAsia="zh-CN"/>
        </w:rPr>
      </w:pPr>
      <w:r>
        <w:rPr>
          <w:rFonts w:hint="eastAsia" w:ascii="Calibri" w:hAnsi="Calibri"/>
          <w:sz w:val="24"/>
        </w:rPr>
        <w:t>乙方：</w:t>
      </w:r>
    </w:p>
    <w:p>
      <w:pPr>
        <w:widowControl/>
        <w:spacing w:line="360" w:lineRule="auto"/>
        <w:ind w:firstLine="480" w:firstLineChars="200"/>
        <w:jc w:val="left"/>
        <w:rPr>
          <w:rFonts w:hint="eastAsia" w:ascii="宋体" w:hAnsi="宋体" w:cs="宋体"/>
          <w:color w:val="000000"/>
          <w:sz w:val="24"/>
        </w:rPr>
      </w:pPr>
      <w:r>
        <w:rPr>
          <w:rFonts w:hint="eastAsia" w:ascii="宋体" w:hAnsi="宋体" w:eastAsia="宋体" w:cs="宋体"/>
          <w:color w:val="000000"/>
          <w:sz w:val="24"/>
        </w:rPr>
        <w:t>根据招标编号为 的（</w:t>
      </w:r>
      <w:r>
        <w:rPr>
          <w:rFonts w:hint="eastAsia" w:ascii="宋体" w:hAnsi="宋体" w:eastAsia="宋体" w:cs="宋体"/>
          <w:color w:val="0000FF"/>
          <w:sz w:val="24"/>
          <w:u w:val="single"/>
        </w:rPr>
        <w:t>福建连城国有投资集团有限公司无纸化会议系统采购项目</w:t>
      </w:r>
      <w:r>
        <w:rPr>
          <w:rFonts w:hint="eastAsia" w:ascii="宋体" w:hAnsi="宋体" w:eastAsia="宋体" w:cs="宋体"/>
          <w:color w:val="000000"/>
          <w:sz w:val="24"/>
        </w:rPr>
        <w:t>）项目（以下简称：</w:t>
      </w:r>
      <w:r>
        <w:rPr>
          <w:rFonts w:hint="eastAsia" w:ascii="宋体" w:hAnsi="宋体" w:eastAsia="宋体" w:cs="宋体"/>
          <w:color w:val="000000"/>
          <w:sz w:val="24"/>
          <w:u w:val="single"/>
        </w:rPr>
        <w:t xml:space="preserve">  “本项目”</w:t>
      </w:r>
      <w:r>
        <w:rPr>
          <w:rFonts w:hint="eastAsia" w:ascii="宋体" w:hAnsi="宋体" w:eastAsia="宋体" w:cs="宋体"/>
          <w:color w:val="000000"/>
          <w:sz w:val="24"/>
        </w:rPr>
        <w:t>）的招标结果，乙方为</w:t>
      </w:r>
      <w:r>
        <w:rPr>
          <w:rFonts w:hint="eastAsia" w:ascii="宋体" w:hAnsi="宋体" w:cs="宋体"/>
          <w:color w:val="000000"/>
          <w:sz w:val="24"/>
        </w:rPr>
        <w:t>成交投标人</w:t>
      </w:r>
      <w:r>
        <w:rPr>
          <w:rFonts w:hint="eastAsia" w:ascii="宋体" w:hAnsi="宋体" w:eastAsia="宋体" w:cs="宋体"/>
          <w:color w:val="000000"/>
          <w:sz w:val="24"/>
        </w:rPr>
        <w:t>。现经甲乙双方友好协商，就以下事项达成一致并签订本合同：</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1、下列合同文件是构成本合同不可分割的部分：</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1.1 合同条款；</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1.2 招标文件、乙方的投标文件；</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1.3 其他文件或材料：</w:t>
      </w:r>
      <w:r>
        <w:rPr>
          <w:rFonts w:hint="eastAsia" w:ascii="宋体" w:hAnsi="宋体" w:eastAsia="宋体" w:cs="宋体"/>
          <w:color w:val="000000"/>
          <w:sz w:val="24"/>
          <w:lang w:eastAsia="zh-CN"/>
        </w:rPr>
        <w:t>☑</w:t>
      </w:r>
      <w:r>
        <w:rPr>
          <w:rFonts w:hint="eastAsia" w:ascii="宋体" w:hAnsi="宋体" w:eastAsia="宋体" w:cs="宋体"/>
          <w:color w:val="000000"/>
          <w:sz w:val="24"/>
        </w:rPr>
        <w:t>无。□。</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2、合同标的</w:t>
      </w:r>
    </w:p>
    <w:tbl>
      <w:tblPr>
        <w:tblStyle w:val="14"/>
        <w:tblW w:w="8831" w:type="dxa"/>
        <w:jc w:val="center"/>
        <w:tblLayout w:type="autofit"/>
        <w:tblCellMar>
          <w:top w:w="0" w:type="dxa"/>
          <w:left w:w="10" w:type="dxa"/>
          <w:bottom w:w="0" w:type="dxa"/>
          <w:right w:w="10" w:type="dxa"/>
        </w:tblCellMar>
      </w:tblPr>
      <w:tblGrid>
        <w:gridCol w:w="1290"/>
        <w:gridCol w:w="6308"/>
        <w:gridCol w:w="1233"/>
      </w:tblGrid>
      <w:tr>
        <w:tblPrEx>
          <w:tblCellMar>
            <w:top w:w="0" w:type="dxa"/>
            <w:left w:w="10" w:type="dxa"/>
            <w:bottom w:w="0" w:type="dxa"/>
            <w:right w:w="10" w:type="dxa"/>
          </w:tblCellMar>
        </w:tblPrEx>
        <w:trPr>
          <w:cantSplit/>
          <w:jc w:val="center"/>
        </w:trPr>
        <w:tc>
          <w:tcPr>
            <w:tcW w:w="12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sz w:val="24"/>
              </w:rPr>
            </w:pPr>
            <w:r>
              <w:rPr>
                <w:rFonts w:hint="eastAsia" w:ascii="宋体" w:hAnsi="宋体" w:eastAsia="宋体" w:cs="宋体"/>
                <w:color w:val="0000FF"/>
                <w:sz w:val="24"/>
              </w:rPr>
              <w:t>序号</w:t>
            </w:r>
          </w:p>
        </w:tc>
        <w:tc>
          <w:tcPr>
            <w:tcW w:w="63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rPr>
            </w:pPr>
            <w:r>
              <w:rPr>
                <w:rFonts w:ascii="宋体" w:hAnsi="宋体" w:eastAsia="宋体" w:cs="宋体"/>
                <w:color w:val="0000FF"/>
                <w:sz w:val="24"/>
              </w:rPr>
              <w:t>采购标的</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rPr>
            </w:pPr>
            <w:r>
              <w:rPr>
                <w:rFonts w:ascii="宋体" w:hAnsi="宋体" w:eastAsia="宋体" w:cs="宋体"/>
                <w:color w:val="0000FF"/>
                <w:sz w:val="24"/>
              </w:rPr>
              <w:t>数量</w:t>
            </w:r>
          </w:p>
        </w:tc>
      </w:tr>
      <w:tr>
        <w:tblPrEx>
          <w:tblCellMar>
            <w:top w:w="0" w:type="dxa"/>
            <w:left w:w="10" w:type="dxa"/>
            <w:bottom w:w="0" w:type="dxa"/>
            <w:right w:w="10" w:type="dxa"/>
          </w:tblCellMar>
        </w:tblPrEx>
        <w:trPr>
          <w:jc w:val="center"/>
        </w:trPr>
        <w:tc>
          <w:tcPr>
            <w:tcW w:w="12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sz w:val="24"/>
              </w:rPr>
            </w:pPr>
            <w:r>
              <w:rPr>
                <w:rFonts w:hint="eastAsia" w:ascii="宋体" w:hAnsi="宋体" w:eastAsia="宋体" w:cs="宋体"/>
                <w:color w:val="0000FF"/>
                <w:sz w:val="24"/>
              </w:rPr>
              <w:t>1</w:t>
            </w:r>
          </w:p>
        </w:tc>
        <w:tc>
          <w:tcPr>
            <w:tcW w:w="63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福建连城国有投资集团有限公司无纸化会议系统采购项目</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1项</w:t>
            </w:r>
          </w:p>
        </w:tc>
      </w:tr>
    </w:tbl>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 xml:space="preserve"> 3、合同总金额</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3.1 合同总金额为人民币大写：</w:t>
      </w:r>
      <w:r>
        <w:rPr>
          <w:rFonts w:hint="eastAsia" w:ascii="宋体" w:hAnsi="宋体" w:eastAsia="宋体" w:cs="宋体"/>
          <w:color w:val="0000FF"/>
          <w:sz w:val="24"/>
          <w:u w:val="single"/>
          <w:lang w:val="en-US" w:eastAsia="zh-CN"/>
        </w:rPr>
        <w:t xml:space="preserve">                       </w:t>
      </w: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 xml:space="preserve">小写： </w:t>
      </w:r>
      <w:r>
        <w:rPr>
          <w:rFonts w:hint="eastAsia" w:ascii="宋体" w:hAnsi="宋体" w:eastAsia="宋体" w:cs="宋体"/>
          <w:color w:val="0000FF"/>
          <w:sz w:val="24"/>
          <w:u w:val="single"/>
          <w:lang w:val="en-US" w:eastAsia="zh-CN"/>
        </w:rPr>
        <w:t xml:space="preserve">         </w:t>
      </w:r>
      <w:r>
        <w:rPr>
          <w:rFonts w:hint="eastAsia" w:ascii="宋体" w:hAnsi="宋体" w:eastAsia="宋体" w:cs="宋体"/>
          <w:color w:val="0000FF"/>
          <w:sz w:val="24"/>
          <w:u w:val="single"/>
        </w:rPr>
        <w:t xml:space="preserve"> </w:t>
      </w:r>
      <w:r>
        <w:rPr>
          <w:rFonts w:hint="eastAsia" w:ascii="宋体" w:hAnsi="宋体" w:eastAsia="宋体" w:cs="宋体"/>
          <w:color w:val="000000"/>
          <w:sz w:val="24"/>
        </w:rPr>
        <w:t>）。</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4、合同标的交付时间、地点和条件</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4.1 交付时间：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合同签订后10日内完成供货，货物到场并完成进场验收后7日完成安装、调试并经</w:t>
      </w:r>
      <w:r>
        <w:rPr>
          <w:rFonts w:hint="eastAsia" w:ascii="宋体" w:hAnsi="宋体" w:cs="宋体"/>
          <w:color w:val="000000"/>
          <w:sz w:val="24"/>
          <w:u w:val="single"/>
          <w:lang w:val="en-US" w:eastAsia="zh-CN"/>
        </w:rPr>
        <w:t>甲方</w:t>
      </w:r>
      <w:r>
        <w:rPr>
          <w:rFonts w:hint="eastAsia" w:ascii="宋体" w:hAnsi="宋体" w:eastAsia="宋体" w:cs="宋体"/>
          <w:color w:val="000000"/>
          <w:sz w:val="24"/>
          <w:u w:val="single"/>
          <w:lang w:val="en-US" w:eastAsia="zh-CN"/>
        </w:rPr>
        <w:t>验收合格（若因</w:t>
      </w:r>
      <w:r>
        <w:rPr>
          <w:rFonts w:hint="eastAsia" w:ascii="宋体" w:hAnsi="宋体" w:cs="宋体"/>
          <w:color w:val="000000"/>
          <w:sz w:val="24"/>
          <w:u w:val="single"/>
          <w:lang w:val="en-US" w:eastAsia="zh-CN"/>
        </w:rPr>
        <w:t>甲方</w:t>
      </w:r>
      <w:r>
        <w:rPr>
          <w:rFonts w:hint="eastAsia" w:ascii="宋体" w:hAnsi="宋体" w:eastAsia="宋体" w:cs="宋体"/>
          <w:color w:val="000000"/>
          <w:sz w:val="24"/>
          <w:u w:val="single"/>
          <w:lang w:val="en-US" w:eastAsia="zh-CN"/>
        </w:rPr>
        <w:t>原因造成安装及验收延期的，安装及验收期限做相应顺延）。</w:t>
      </w:r>
      <w:r>
        <w:rPr>
          <w:rFonts w:hint="eastAsia" w:ascii="宋体" w:hAnsi="宋体" w:cs="宋体"/>
          <w:color w:val="000000"/>
          <w:sz w:val="24"/>
          <w:u w:val="single"/>
          <w:lang w:val="en-US" w:eastAsia="zh-CN"/>
        </w:rPr>
        <w:t>乙方</w:t>
      </w:r>
      <w:r>
        <w:rPr>
          <w:rFonts w:hint="eastAsia" w:ascii="宋体" w:hAnsi="宋体" w:eastAsia="宋体" w:cs="宋体"/>
          <w:color w:val="000000"/>
          <w:sz w:val="24"/>
          <w:u w:val="single"/>
          <w:lang w:val="en-US" w:eastAsia="zh-CN"/>
        </w:rPr>
        <w:t>应免费送货上门、并搬运至</w:t>
      </w:r>
      <w:r>
        <w:rPr>
          <w:rFonts w:hint="eastAsia" w:ascii="宋体" w:hAnsi="宋体" w:cs="宋体"/>
          <w:color w:val="000000"/>
          <w:sz w:val="24"/>
          <w:u w:val="single"/>
          <w:lang w:val="en-US" w:eastAsia="zh-CN"/>
        </w:rPr>
        <w:t>甲方</w:t>
      </w:r>
      <w:r>
        <w:rPr>
          <w:rFonts w:hint="eastAsia" w:ascii="宋体" w:hAnsi="宋体" w:eastAsia="宋体" w:cs="宋体"/>
          <w:color w:val="000000"/>
          <w:sz w:val="24"/>
          <w:u w:val="single"/>
          <w:lang w:val="en-US" w:eastAsia="zh-CN"/>
        </w:rPr>
        <w:t>指定地点。</w:t>
      </w:r>
      <w:r>
        <w:rPr>
          <w:rFonts w:hint="eastAsia" w:ascii="宋体" w:hAnsi="宋体" w:eastAsia="宋体" w:cs="宋体"/>
          <w:color w:val="000000"/>
          <w:sz w:val="24"/>
          <w:u w:val="single"/>
        </w:rPr>
        <w:t>；</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4.2 交付地点：</w:t>
      </w:r>
      <w:r>
        <w:rPr>
          <w:rFonts w:hint="eastAsia" w:ascii="宋体" w:hAnsi="宋体" w:eastAsia="宋体" w:cs="宋体"/>
          <w:color w:val="000000"/>
          <w:sz w:val="24"/>
          <w:u w:val="single"/>
        </w:rPr>
        <w:t xml:space="preserve"> 甲方指定的地点 </w:t>
      </w:r>
      <w:r>
        <w:rPr>
          <w:rFonts w:hint="eastAsia" w:ascii="宋体" w:hAnsi="宋体" w:eastAsia="宋体" w:cs="宋体"/>
          <w:color w:val="000000"/>
          <w:sz w:val="24"/>
        </w:rPr>
        <w:t>；</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4.3 交付条件：</w:t>
      </w:r>
      <w:r>
        <w:rPr>
          <w:rFonts w:hint="eastAsia" w:ascii="宋体" w:hAnsi="宋体" w:eastAsia="宋体" w:cs="宋体"/>
          <w:color w:val="000000"/>
          <w:sz w:val="24"/>
          <w:u w:val="single"/>
        </w:rPr>
        <w:t xml:space="preserve">  </w:t>
      </w:r>
      <w:r>
        <w:rPr>
          <w:rFonts w:hint="eastAsia" w:ascii="宋体" w:hAnsi="宋体" w:eastAsia="宋体" w:cs="宋体"/>
          <w:color w:val="0000FF"/>
          <w:sz w:val="24"/>
          <w:u w:val="single"/>
        </w:rPr>
        <w:t xml:space="preserve"> 验收合格</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5、合同标的应符合招标文件、乙方投标文件的规定或约定，具体如下：</w:t>
      </w:r>
      <w:r>
        <w:rPr>
          <w:rFonts w:hint="eastAsia" w:ascii="宋体" w:hAnsi="宋体" w:cs="宋体"/>
          <w:color w:val="0000FF"/>
          <w:sz w:val="24"/>
          <w:u w:val="single"/>
        </w:rPr>
        <w:t>详见招标文件</w:t>
      </w:r>
      <w:r>
        <w:rPr>
          <w:rFonts w:hint="eastAsia" w:ascii="宋体" w:hAnsi="宋体" w:cs="宋体"/>
          <w:color w:val="0000FF"/>
          <w:sz w:val="24"/>
          <w:u w:val="single"/>
          <w:lang w:eastAsia="zh-CN"/>
        </w:rPr>
        <w:t>。</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6、验收</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6.1 验收应按照招标文件、乙方投标文件的规定或约定进行，具体如下：</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验收标准：最终成果需符合国家、省及行业现行规范要求及相关部门的检查要求。</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6.2 本项目是否邀请其他投标人参与验收：</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☑不邀请。□邀请，具体如下：。</w:t>
      </w:r>
    </w:p>
    <w:p>
      <w:pPr>
        <w:pStyle w:val="13"/>
        <w:ind w:left="0" w:leftChars="0" w:firstLine="0" w:firstLineChars="0"/>
        <w:outlineLvl w:val="0"/>
        <w:rPr>
          <w:rFonts w:hint="eastAsia" w:hAnsi="宋体" w:eastAsia="宋体" w:cs="宋体"/>
          <w:color w:val="0000FF"/>
          <w:sz w:val="24"/>
          <w:lang w:val="en-US" w:eastAsia="zh-CN"/>
        </w:rPr>
      </w:pPr>
      <w:r>
        <w:rPr>
          <w:rFonts w:hint="eastAsia" w:hAnsi="宋体" w:eastAsia="宋体" w:cs="宋体"/>
          <w:color w:val="0000FF"/>
          <w:sz w:val="24"/>
          <w:lang w:val="en-US" w:eastAsia="zh-CN"/>
        </w:rPr>
        <w:t>6.3验收说明</w:t>
      </w:r>
    </w:p>
    <w:p>
      <w:pPr>
        <w:spacing w:line="360" w:lineRule="auto"/>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lang w:val="en-US" w:eastAsia="zh-CN"/>
        </w:rPr>
        <w:t>6.3.1</w:t>
      </w:r>
      <w:r>
        <w:rPr>
          <w:rFonts w:hint="eastAsia" w:ascii="宋体" w:hAnsi="宋体" w:eastAsia="宋体" w:cs="宋体"/>
          <w:color w:val="0000FF"/>
          <w:spacing w:val="-1"/>
          <w:sz w:val="24"/>
          <w:szCs w:val="24"/>
        </w:rPr>
        <w:t>货物到货验收时</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代表必须在场，并提供产品合格证、质量保证文件等相关证明材料。</w:t>
      </w:r>
    </w:p>
    <w:p>
      <w:pPr>
        <w:pStyle w:val="13"/>
        <w:ind w:left="0" w:leftChars="0" w:firstLine="0" w:firstLineChars="0"/>
        <w:rPr>
          <w:rFonts w:hint="eastAsia" w:hAnsi="宋体" w:eastAsia="宋体" w:cs="宋体"/>
          <w:color w:val="0000FF"/>
          <w:sz w:val="24"/>
          <w:lang w:val="en-US" w:eastAsia="zh-CN"/>
        </w:rPr>
      </w:pPr>
      <w:r>
        <w:rPr>
          <w:rFonts w:hint="eastAsia" w:ascii="宋体" w:hAnsi="宋体" w:eastAsia="宋体" w:cs="宋体"/>
          <w:color w:val="0000FF"/>
          <w:spacing w:val="-1"/>
          <w:sz w:val="24"/>
          <w:szCs w:val="24"/>
          <w:lang w:val="en-US" w:eastAsia="zh-CN"/>
        </w:rPr>
        <w:t>6.3.2</w:t>
      </w:r>
      <w:r>
        <w:rPr>
          <w:rFonts w:hint="eastAsia" w:ascii="宋体" w:hAnsi="宋体" w:eastAsia="宋体" w:cs="宋体"/>
          <w:color w:val="0000FF"/>
          <w:spacing w:val="-1"/>
          <w:sz w:val="24"/>
          <w:szCs w:val="24"/>
        </w:rPr>
        <w:t>设备到场后，所有部件</w:t>
      </w:r>
      <w:r>
        <w:rPr>
          <w:rFonts w:hint="eastAsia"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都不得私自开箱(或拆封)，必须先经过</w:t>
      </w:r>
      <w:r>
        <w:rPr>
          <w:rFonts w:hint="eastAsia"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单位有关人员检验后方可开箱进行安装，否则</w:t>
      </w:r>
      <w:r>
        <w:rPr>
          <w:rFonts w:hint="eastAsia"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有权拒绝安装和验收。</w:t>
      </w:r>
    </w:p>
    <w:p>
      <w:pPr>
        <w:spacing w:line="360" w:lineRule="auto"/>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lang w:val="en-US" w:eastAsia="zh-CN"/>
        </w:rPr>
        <w:t>6.3.3</w:t>
      </w:r>
      <w:r>
        <w:rPr>
          <w:rFonts w:hint="eastAsia" w:ascii="宋体" w:hAnsi="宋体" w:eastAsia="宋体" w:cs="宋体"/>
          <w:color w:val="0000FF"/>
          <w:spacing w:val="-1"/>
          <w:sz w:val="24"/>
          <w:szCs w:val="24"/>
        </w:rPr>
        <w:t>在本项目建设全部完成后进行</w:t>
      </w:r>
      <w:r>
        <w:rPr>
          <w:rFonts w:hint="eastAsia" w:ascii="宋体" w:hAnsi="宋体" w:eastAsia="宋体" w:cs="宋体"/>
          <w:color w:val="0000FF"/>
          <w:spacing w:val="-1"/>
          <w:sz w:val="24"/>
          <w:szCs w:val="24"/>
          <w:lang w:val="en-US" w:eastAsia="zh-CN"/>
        </w:rPr>
        <w:t>验收</w:t>
      </w:r>
      <w:r>
        <w:rPr>
          <w:rFonts w:hint="eastAsia" w:ascii="宋体" w:hAnsi="宋体" w:eastAsia="宋体" w:cs="宋体"/>
          <w:color w:val="0000FF"/>
          <w:spacing w:val="-1"/>
          <w:sz w:val="24"/>
          <w:szCs w:val="24"/>
        </w:rPr>
        <w:t>，标的中的所有软硬件产品都已安装调试到位时，由</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向</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发出</w:t>
      </w:r>
      <w:r>
        <w:rPr>
          <w:rFonts w:hint="eastAsia" w:ascii="宋体" w:hAnsi="宋体" w:eastAsia="宋体" w:cs="宋体"/>
          <w:color w:val="0000FF"/>
          <w:spacing w:val="-1"/>
          <w:sz w:val="24"/>
          <w:szCs w:val="24"/>
          <w:lang w:val="en-US" w:eastAsia="zh-CN"/>
        </w:rPr>
        <w:t>验收</w:t>
      </w:r>
      <w:r>
        <w:rPr>
          <w:rFonts w:hint="eastAsia" w:ascii="宋体" w:hAnsi="宋体" w:eastAsia="宋体" w:cs="宋体"/>
          <w:color w:val="0000FF"/>
          <w:spacing w:val="-1"/>
          <w:sz w:val="24"/>
          <w:szCs w:val="24"/>
        </w:rPr>
        <w:t>申请，并由</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根据合同规定和相关的国家标准对项目的实施结果进行验收，并对有异议和疑义项提出书面说明，如果无异议双方签署《</w:t>
      </w:r>
      <w:r>
        <w:rPr>
          <w:rFonts w:hint="eastAsia" w:ascii="宋体" w:hAnsi="宋体" w:eastAsia="宋体" w:cs="宋体"/>
          <w:color w:val="0000FF"/>
          <w:spacing w:val="-1"/>
          <w:sz w:val="24"/>
          <w:szCs w:val="24"/>
          <w:lang w:val="en-US" w:eastAsia="zh-CN"/>
        </w:rPr>
        <w:t>验收</w:t>
      </w:r>
      <w:r>
        <w:rPr>
          <w:rFonts w:hint="eastAsia" w:ascii="宋体" w:hAnsi="宋体" w:eastAsia="宋体" w:cs="宋体"/>
          <w:color w:val="0000FF"/>
          <w:spacing w:val="-1"/>
          <w:sz w:val="24"/>
          <w:szCs w:val="24"/>
        </w:rPr>
        <w:t>合格报告》。</w:t>
      </w:r>
    </w:p>
    <w:p>
      <w:pPr>
        <w:numPr>
          <w:ilvl w:val="0"/>
          <w:numId w:val="0"/>
        </w:numPr>
        <w:spacing w:line="360" w:lineRule="auto"/>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lang w:val="en-US" w:eastAsia="zh-CN"/>
        </w:rPr>
        <w:t>6.3.4</w:t>
      </w:r>
      <w:r>
        <w:rPr>
          <w:rFonts w:hint="eastAsia" w:ascii="宋体" w:hAnsi="宋体" w:eastAsia="宋体" w:cs="宋体"/>
          <w:color w:val="0000FF"/>
          <w:spacing w:val="-1"/>
          <w:sz w:val="24"/>
          <w:szCs w:val="24"/>
        </w:rPr>
        <w:t>验收过程所发生的一切费用由</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承担。</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lang w:val="en-US" w:eastAsia="zh-CN"/>
        </w:rPr>
        <w:t>7</w:t>
      </w:r>
      <w:r>
        <w:rPr>
          <w:rFonts w:hint="eastAsia" w:ascii="宋体" w:hAnsi="宋体" w:eastAsia="宋体" w:cs="宋体"/>
          <w:color w:val="000000"/>
          <w:sz w:val="24"/>
        </w:rPr>
        <w:t>、售后要求</w:t>
      </w:r>
    </w:p>
    <w:p>
      <w:pPr>
        <w:numPr>
          <w:ilvl w:val="0"/>
          <w:numId w:val="2"/>
        </w:numPr>
        <w:spacing w:line="360" w:lineRule="auto"/>
        <w:ind w:left="0" w:leftChars="0" w:firstLine="0" w:firstLineChars="0"/>
        <w:rPr>
          <w:rFonts w:hint="eastAsia" w:ascii="宋体" w:hAnsi="宋体" w:eastAsia="宋体" w:cs="宋体"/>
          <w:color w:val="0000FF"/>
          <w:sz w:val="24"/>
          <w:szCs w:val="24"/>
        </w:rPr>
      </w:pPr>
      <w:r>
        <w:rPr>
          <w:rFonts w:hint="eastAsia" w:ascii="宋体" w:hAnsi="宋体" w:eastAsia="宋体" w:cs="宋体"/>
          <w:color w:val="0000FF"/>
          <w:spacing w:val="-1"/>
          <w:sz w:val="24"/>
          <w:szCs w:val="24"/>
        </w:rPr>
        <w:t>自整体项目</w:t>
      </w:r>
      <w:r>
        <w:rPr>
          <w:rFonts w:hint="eastAsia" w:ascii="宋体" w:hAnsi="宋体" w:eastAsia="宋体" w:cs="宋体"/>
          <w:color w:val="0000FF"/>
          <w:spacing w:val="-1"/>
          <w:sz w:val="24"/>
          <w:szCs w:val="24"/>
          <w:lang w:val="en-US" w:eastAsia="zh-CN"/>
        </w:rPr>
        <w:t>验收</w:t>
      </w:r>
      <w:r>
        <w:rPr>
          <w:rFonts w:hint="eastAsia" w:ascii="宋体" w:hAnsi="宋体" w:eastAsia="宋体" w:cs="宋体"/>
          <w:color w:val="0000FF"/>
          <w:spacing w:val="-1"/>
          <w:sz w:val="24"/>
          <w:szCs w:val="24"/>
        </w:rPr>
        <w:t>合格之日起，</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提供不低于三年的维保服务及</w:t>
      </w:r>
      <w:r>
        <w:rPr>
          <w:rFonts w:hint="eastAsia" w:ascii="宋体" w:hAnsi="宋体" w:eastAsia="宋体" w:cs="宋体"/>
          <w:b/>
          <w:bCs/>
          <w:color w:val="0000FF"/>
          <w:sz w:val="24"/>
          <w:szCs w:val="24"/>
        </w:rPr>
        <w:t>原厂保修</w:t>
      </w:r>
      <w:r>
        <w:rPr>
          <w:rFonts w:hint="eastAsia" w:ascii="宋体" w:hAnsi="宋体" w:eastAsia="宋体" w:cs="宋体"/>
          <w:color w:val="0000FF"/>
          <w:spacing w:val="-1"/>
          <w:sz w:val="24"/>
          <w:szCs w:val="24"/>
        </w:rPr>
        <w:t>。</w:t>
      </w:r>
    </w:p>
    <w:p>
      <w:pPr>
        <w:numPr>
          <w:ilvl w:val="0"/>
          <w:numId w:val="2"/>
        </w:numPr>
        <w:spacing w:line="360" w:lineRule="auto"/>
        <w:ind w:left="0" w:leftChars="0" w:firstLine="0" w:firstLineChars="0"/>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rPr>
        <w:t>维保期满前1个月内</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应负责对所有货物进行一次免费全面检查，如发现潜在问题，应负责排除，保证货物正常运行。</w:t>
      </w:r>
    </w:p>
    <w:p>
      <w:pPr>
        <w:numPr>
          <w:ilvl w:val="0"/>
          <w:numId w:val="2"/>
        </w:numPr>
        <w:spacing w:line="360" w:lineRule="auto"/>
        <w:ind w:left="0" w:leftChars="0" w:firstLine="0" w:firstLineChars="0"/>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应根据</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指定的地点免费提供所有设备的送货、安装、调试服务。</w:t>
      </w:r>
    </w:p>
    <w:p>
      <w:pPr>
        <w:numPr>
          <w:ilvl w:val="0"/>
          <w:numId w:val="2"/>
        </w:numPr>
        <w:spacing w:line="360" w:lineRule="auto"/>
        <w:ind w:left="0" w:leftChars="0" w:firstLine="0" w:firstLineChars="0"/>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rPr>
        <w:t>在维保期间出现故障，</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应在接到</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通知后1小时以内响应，5小时内维修人员到场</w:t>
      </w:r>
      <w:r>
        <w:rPr>
          <w:rFonts w:hint="eastAsia" w:ascii="宋体" w:hAnsi="宋体" w:eastAsia="宋体" w:cs="宋体"/>
          <w:color w:val="0000FF"/>
          <w:sz w:val="24"/>
          <w:szCs w:val="24"/>
        </w:rPr>
        <w:t>解决</w:t>
      </w:r>
      <w:r>
        <w:rPr>
          <w:rFonts w:hint="eastAsia" w:ascii="宋体" w:hAnsi="宋体" w:eastAsia="宋体" w:cs="宋体"/>
          <w:color w:val="0000FF"/>
          <w:spacing w:val="-1"/>
          <w:sz w:val="24"/>
          <w:szCs w:val="24"/>
        </w:rPr>
        <w:t>，若24小时内无法排除故障的，应在1个日历日内提供代用设备或提出经</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同意的解决方案。</w:t>
      </w:r>
    </w:p>
    <w:p>
      <w:pPr>
        <w:numPr>
          <w:ilvl w:val="0"/>
          <w:numId w:val="2"/>
        </w:numPr>
        <w:spacing w:line="360" w:lineRule="auto"/>
        <w:ind w:left="0" w:leftChars="0" w:firstLine="0" w:firstLineChars="0"/>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应向</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提供产品相关的配套技术资料，包括操作手册（中文版）及维修保养手册、货物制造商的出厂检验报告、合格证书等相关资料（若有）等。</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应为</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提供有关货物的维护、操作、保养等方面培训，直至能熟练独立操作、排除简单故障。</w:t>
      </w:r>
    </w:p>
    <w:p>
      <w:pPr>
        <w:widowControl/>
        <w:spacing w:line="360" w:lineRule="auto"/>
        <w:jc w:val="left"/>
        <w:rPr>
          <w:rFonts w:hint="eastAsia" w:ascii="宋体" w:hAnsi="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8</w:t>
      </w:r>
      <w:r>
        <w:rPr>
          <w:rFonts w:hint="eastAsia" w:ascii="宋体" w:hAnsi="宋体" w:eastAsia="宋体" w:cs="宋体"/>
          <w:color w:val="000000"/>
          <w:sz w:val="24"/>
        </w:rPr>
        <w:t>、合同款项的支付应按照招标文件的规定进行，具体如下：</w:t>
      </w:r>
    </w:p>
    <w:tbl>
      <w:tblPr>
        <w:tblStyle w:val="14"/>
        <w:tblW w:w="4760"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146"/>
        <w:gridCol w:w="2256"/>
        <w:gridCol w:w="589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616"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color w:val="000000"/>
              </w:rPr>
            </w:pPr>
            <w:r>
              <w:rPr>
                <w:rFonts w:ascii="宋体" w:hAnsi="宋体" w:cs="宋体"/>
                <w:color w:val="000000"/>
                <w:sz w:val="24"/>
              </w:rPr>
              <w:t>支付期次</w:t>
            </w:r>
          </w:p>
        </w:tc>
        <w:tc>
          <w:tcPr>
            <w:tcW w:w="1213"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hint="eastAsia" w:eastAsiaTheme="minorEastAsia"/>
                <w:color w:val="000000"/>
                <w:lang w:val="en-US" w:eastAsia="zh-CN"/>
              </w:rPr>
            </w:pPr>
            <w:r>
              <w:rPr>
                <w:rFonts w:ascii="宋体" w:hAnsi="宋体" w:cs="宋体"/>
                <w:color w:val="000000"/>
                <w:sz w:val="24"/>
              </w:rPr>
              <w:t>支付</w:t>
            </w:r>
            <w:r>
              <w:rPr>
                <w:rFonts w:hint="eastAsia" w:ascii="宋体" w:hAnsi="宋体" w:cs="宋体"/>
                <w:color w:val="000000"/>
                <w:sz w:val="24"/>
                <w:lang w:val="en-US" w:eastAsia="zh-CN"/>
              </w:rPr>
              <w:t>内容</w:t>
            </w:r>
          </w:p>
        </w:tc>
        <w:tc>
          <w:tcPr>
            <w:tcW w:w="317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color w:val="000000"/>
              </w:rPr>
            </w:pPr>
            <w:r>
              <w:rPr>
                <w:rFonts w:ascii="宋体" w:hAnsi="宋体" w:cs="宋体"/>
                <w:color w:val="000000"/>
                <w:sz w:val="24"/>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616"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hint="eastAsia" w:ascii="宋体" w:hAnsi="宋体" w:eastAsia="宋体"/>
                <w:sz w:val="24"/>
                <w:lang w:eastAsia="zh-CN"/>
              </w:rPr>
            </w:pPr>
            <w:r>
              <w:rPr>
                <w:rFonts w:hint="eastAsia" w:ascii="宋体" w:hAnsi="宋体" w:cs="宋体"/>
                <w:sz w:val="24"/>
                <w:lang w:val="en-US" w:eastAsia="zh-CN"/>
              </w:rPr>
              <w:t>1</w:t>
            </w:r>
          </w:p>
        </w:tc>
        <w:tc>
          <w:tcPr>
            <w:tcW w:w="1213"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平板终端、智慧大屏、集成维保服务费</w:t>
            </w:r>
          </w:p>
        </w:tc>
        <w:tc>
          <w:tcPr>
            <w:tcW w:w="317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hint="default" w:ascii="宋体" w:hAnsi="宋体" w:cs="宋体"/>
                <w:color w:val="000000" w:themeColor="text1"/>
                <w:sz w:val="24"/>
                <w:szCs w:val="24"/>
                <w:lang w:val="en-US"/>
              </w:rPr>
            </w:pPr>
            <w:r>
              <w:rPr>
                <w:rFonts w:ascii="宋体" w:hAnsi="宋体" w:cs="宋体"/>
                <w:color w:val="000000" w:themeColor="text1"/>
                <w:sz w:val="24"/>
              </w:rPr>
              <w:t>系统安装调试完毕并经验收合格</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按月</w:t>
            </w:r>
            <w:r>
              <w:rPr>
                <w:rFonts w:hint="eastAsia" w:ascii="宋体" w:hAnsi="宋体" w:cs="宋体"/>
                <w:sz w:val="24"/>
              </w:rPr>
              <w:t>提供相关票据，</w:t>
            </w:r>
            <w:r>
              <w:rPr>
                <w:rFonts w:hint="eastAsia" w:ascii="宋体" w:hAnsi="宋体" w:eastAsia="宋体" w:cs="宋体"/>
                <w:sz w:val="24"/>
                <w:szCs w:val="24"/>
                <w:lang w:val="en-US" w:eastAsia="zh-CN"/>
              </w:rPr>
              <w:t>分</w:t>
            </w:r>
            <w:r>
              <w:rPr>
                <w:rFonts w:ascii="宋体" w:hAnsi="宋体" w:eastAsia="宋体" w:cs="宋体"/>
                <w:sz w:val="24"/>
                <w:szCs w:val="24"/>
              </w:rPr>
              <w:t>3</w:t>
            </w:r>
            <w:r>
              <w:rPr>
                <w:rFonts w:hint="eastAsia" w:ascii="宋体" w:hAnsi="宋体" w:eastAsia="宋体" w:cs="宋体"/>
                <w:sz w:val="24"/>
                <w:szCs w:val="24"/>
                <w:lang w:val="en-US" w:eastAsia="zh-CN"/>
              </w:rPr>
              <w:t>6</w:t>
            </w:r>
            <w:r>
              <w:rPr>
                <w:rFonts w:ascii="宋体" w:hAnsi="宋体" w:eastAsia="宋体" w:cs="宋体"/>
                <w:sz w:val="24"/>
                <w:szCs w:val="24"/>
              </w:rPr>
              <w:t>个</w:t>
            </w:r>
            <w:r>
              <w:rPr>
                <w:rFonts w:hint="eastAsia" w:ascii="宋体" w:hAnsi="宋体" w:cs="宋体"/>
                <w:sz w:val="24"/>
                <w:szCs w:val="24"/>
                <w:lang w:val="en-US" w:eastAsia="zh-CN"/>
              </w:rPr>
              <w:t>期按</w:t>
            </w:r>
            <w:r>
              <w:rPr>
                <w:rFonts w:hint="eastAsia" w:ascii="宋体" w:hAnsi="宋体" w:eastAsia="宋体" w:cs="宋体"/>
                <w:sz w:val="24"/>
                <w:szCs w:val="24"/>
                <w:lang w:val="en-US" w:eastAsia="zh-CN"/>
              </w:rPr>
              <w:t>月支付。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616"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213"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hint="eastAsia" w:ascii="宋体" w:hAnsi="宋体" w:cs="宋体" w:eastAsiaTheme="minorEastAsia"/>
                <w:kern w:val="2"/>
                <w:sz w:val="24"/>
                <w:szCs w:val="22"/>
                <w:lang w:val="en-US" w:eastAsia="zh-CN" w:bidi="ar-SA"/>
              </w:rPr>
            </w:pPr>
            <w:r>
              <w:rPr>
                <w:rFonts w:hint="eastAsia" w:ascii="宋体" w:hAnsi="宋体" w:cs="宋体"/>
                <w:color w:val="000000" w:themeColor="text1"/>
                <w:sz w:val="24"/>
                <w:lang w:val="en-US" w:eastAsia="zh-CN"/>
              </w:rPr>
              <w:t>无纸化会议系统、平板支架、充电柜</w:t>
            </w:r>
          </w:p>
        </w:tc>
        <w:tc>
          <w:tcPr>
            <w:tcW w:w="317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hint="default" w:ascii="宋体" w:hAnsi="宋体" w:cs="宋体" w:eastAsiaTheme="minorEastAsia"/>
                <w:color w:val="000000" w:themeColor="text1"/>
                <w:kern w:val="2"/>
                <w:sz w:val="24"/>
                <w:szCs w:val="24"/>
                <w:lang w:val="en-US" w:eastAsia="zh-CN" w:bidi="ar"/>
              </w:rPr>
            </w:pPr>
            <w:r>
              <w:rPr>
                <w:rFonts w:ascii="宋体" w:hAnsi="宋体" w:cs="宋体"/>
                <w:color w:val="000000" w:themeColor="text1"/>
                <w:sz w:val="24"/>
              </w:rPr>
              <w:t>系统安装调试完毕并经验收合格</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一次性支付该项费用</w:t>
            </w:r>
          </w:p>
        </w:tc>
      </w:tr>
    </w:tbl>
    <w:p>
      <w:pPr>
        <w:widowControl/>
        <w:spacing w:line="360" w:lineRule="auto"/>
        <w:jc w:val="left"/>
        <w:rPr>
          <w:rFonts w:hint="eastAsia" w:ascii="宋体" w:hAnsi="宋体" w:cs="宋体"/>
          <w:sz w:val="24"/>
        </w:rPr>
      </w:pPr>
      <w:r>
        <w:rPr>
          <w:rFonts w:hint="eastAsia" w:ascii="宋体" w:hAnsi="宋体" w:eastAsia="宋体" w:cs="宋体"/>
          <w:sz w:val="24"/>
        </w:rPr>
        <w:t>甲方付款前乙方应提供与支付期次等额的法定发票，乙方未提供发票的，甲方有权延迟付款时间。</w:t>
      </w:r>
    </w:p>
    <w:p>
      <w:pPr>
        <w:widowControl/>
        <w:spacing w:line="360" w:lineRule="auto"/>
        <w:jc w:val="left"/>
        <w:rPr>
          <w:rFonts w:hint="eastAsia" w:ascii="宋体" w:hAnsi="宋体" w:cs="宋体"/>
          <w:sz w:val="24"/>
        </w:rPr>
      </w:pPr>
      <w:r>
        <w:rPr>
          <w:rFonts w:hint="eastAsia" w:ascii="宋体" w:hAnsi="宋体" w:eastAsia="宋体" w:cs="宋体"/>
          <w:color w:val="000000"/>
          <w:sz w:val="24"/>
          <w:lang w:val="en-US" w:eastAsia="zh-CN"/>
        </w:rPr>
        <w:t>9</w:t>
      </w:r>
      <w:r>
        <w:rPr>
          <w:rFonts w:hint="eastAsia" w:ascii="宋体" w:hAnsi="宋体" w:eastAsia="宋体" w:cs="宋体"/>
          <w:color w:val="000000"/>
          <w:sz w:val="24"/>
        </w:rPr>
        <w:t xml:space="preserve">、履约保证金 </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eastAsia="zh-CN"/>
        </w:rPr>
        <w:t>□</w:t>
      </w:r>
      <w:r>
        <w:rPr>
          <w:rFonts w:hint="eastAsia" w:ascii="宋体" w:hAnsi="宋体" w:eastAsia="宋体" w:cs="宋体"/>
          <w:color w:val="000000"/>
          <w:sz w:val="24"/>
        </w:rPr>
        <w:t>无。</w:t>
      </w:r>
      <w:r>
        <w:rPr>
          <w:rFonts w:hint="eastAsia" w:ascii="宋体" w:hAnsi="宋体" w:cs="宋体"/>
          <w:color w:val="000000"/>
          <w:sz w:val="24"/>
          <w:lang w:eastAsia="zh-CN"/>
        </w:rPr>
        <w:t>☑</w:t>
      </w:r>
      <w:r>
        <w:rPr>
          <w:rFonts w:hint="eastAsia" w:ascii="宋体" w:hAnsi="宋体" w:eastAsia="宋体" w:cs="宋体"/>
          <w:color w:val="000000"/>
          <w:sz w:val="24"/>
        </w:rPr>
        <w:t>有</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履约保证金百分比：10%。</w:t>
      </w:r>
      <w:r>
        <w:rPr>
          <w:rFonts w:hint="eastAsia" w:ascii="宋体" w:hAnsi="宋体" w:cs="宋体"/>
          <w:color w:val="000000"/>
          <w:sz w:val="24"/>
          <w:lang w:val="en-US" w:eastAsia="zh-CN"/>
        </w:rPr>
        <w:t>乙方</w:t>
      </w:r>
      <w:r>
        <w:rPr>
          <w:rFonts w:hint="eastAsia" w:ascii="宋体" w:hAnsi="宋体" w:eastAsia="宋体" w:cs="宋体"/>
          <w:color w:val="000000"/>
          <w:sz w:val="24"/>
          <w:lang w:val="en-US" w:eastAsia="zh-CN"/>
        </w:rPr>
        <w:t>在合同签订之前以现金（银行转帐或电汇）、有效银行保函和保险保函形式之一向</w:t>
      </w:r>
      <w:r>
        <w:rPr>
          <w:rFonts w:hint="eastAsia" w:ascii="宋体" w:hAnsi="宋体" w:cs="宋体"/>
          <w:color w:val="000000"/>
          <w:sz w:val="24"/>
          <w:lang w:val="en-US" w:eastAsia="zh-CN"/>
        </w:rPr>
        <w:t>甲方</w:t>
      </w:r>
      <w:r>
        <w:rPr>
          <w:rFonts w:hint="eastAsia" w:ascii="宋体" w:hAnsi="宋体" w:eastAsia="宋体" w:cs="宋体"/>
          <w:color w:val="000000"/>
          <w:sz w:val="24"/>
          <w:lang w:val="en-US" w:eastAsia="zh-CN"/>
        </w:rPr>
        <w:t>缴交成交金额10%的履约保证金。在服务合同期满后30天内一次性无息退还（有扣除的除外）。</w:t>
      </w:r>
    </w:p>
    <w:p>
      <w:pPr>
        <w:widowControl/>
        <w:spacing w:line="360" w:lineRule="auto"/>
        <w:jc w:val="left"/>
        <w:rPr>
          <w:rFonts w:hint="eastAsia" w:ascii="宋体" w:hAnsi="宋体" w:cs="宋体"/>
          <w:sz w:val="24"/>
        </w:rPr>
      </w:pPr>
      <w:r>
        <w:rPr>
          <w:rFonts w:hint="eastAsia" w:ascii="宋体" w:hAnsi="宋体" w:eastAsia="宋体" w:cs="宋体"/>
          <w:color w:val="000000"/>
          <w:sz w:val="24"/>
          <w:lang w:val="en-US" w:eastAsia="zh-CN"/>
        </w:rPr>
        <w:t>10</w:t>
      </w:r>
      <w:r>
        <w:rPr>
          <w:rFonts w:hint="eastAsia" w:ascii="宋体" w:hAnsi="宋体" w:eastAsia="宋体" w:cs="宋体"/>
          <w:color w:val="000000"/>
          <w:sz w:val="24"/>
        </w:rPr>
        <w:t xml:space="preserve">、合同有效期 </w:t>
      </w:r>
    </w:p>
    <w:p>
      <w:pPr>
        <w:widowControl/>
        <w:spacing w:line="360" w:lineRule="auto"/>
        <w:jc w:val="left"/>
        <w:rPr>
          <w:rFonts w:hint="eastAsia" w:ascii="宋体" w:hAnsi="宋体" w:cs="宋体"/>
          <w:sz w:val="24"/>
        </w:rPr>
      </w:pPr>
      <w:r>
        <w:rPr>
          <w:rFonts w:hint="eastAsia" w:ascii="宋体" w:hAnsi="宋体" w:eastAsia="宋体" w:cs="宋体"/>
          <w:color w:val="000000"/>
          <w:sz w:val="24"/>
          <w:u w:val="single"/>
        </w:rPr>
        <w:t>从合同签订之日起至该项目</w:t>
      </w:r>
      <w:r>
        <w:rPr>
          <w:rFonts w:hint="eastAsia" w:ascii="宋体" w:hAnsi="宋体" w:eastAsia="宋体" w:cs="宋体"/>
          <w:color w:val="0000FF"/>
          <w:sz w:val="24"/>
          <w:u w:val="single"/>
          <w:lang w:val="en-US" w:eastAsia="zh-CN"/>
        </w:rPr>
        <w:t>履约</w:t>
      </w:r>
      <w:r>
        <w:rPr>
          <w:rFonts w:hint="eastAsia" w:ascii="宋体" w:hAnsi="宋体" w:eastAsia="宋体" w:cs="宋体"/>
          <w:color w:val="000000"/>
          <w:sz w:val="24"/>
          <w:u w:val="single"/>
        </w:rPr>
        <w:t>结束为止。</w:t>
      </w:r>
      <w:r>
        <w:rPr>
          <w:rFonts w:hint="eastAsia" w:ascii="宋体" w:hAnsi="宋体" w:eastAsia="宋体" w:cs="宋体"/>
          <w:color w:val="000000"/>
          <w:sz w:val="24"/>
        </w:rPr>
        <w:t xml:space="preserve"> </w:t>
      </w:r>
    </w:p>
    <w:p>
      <w:pPr>
        <w:widowControl/>
        <w:spacing w:line="360" w:lineRule="auto"/>
        <w:jc w:val="left"/>
        <w:rPr>
          <w:rFonts w:hint="eastAsia" w:ascii="宋体" w:hAnsi="宋体" w:cs="宋体"/>
          <w:sz w:val="24"/>
        </w:rPr>
      </w:pPr>
      <w:r>
        <w:rPr>
          <w:rFonts w:hint="eastAsia" w:ascii="宋体" w:hAnsi="宋体" w:eastAsia="宋体" w:cs="宋体"/>
          <w:color w:val="000000"/>
          <w:sz w:val="24"/>
          <w:lang w:val="en-US" w:eastAsia="zh-CN"/>
        </w:rPr>
        <w:t>11</w:t>
      </w:r>
      <w:r>
        <w:rPr>
          <w:rFonts w:hint="eastAsia" w:ascii="宋体" w:hAnsi="宋体" w:eastAsia="宋体" w:cs="宋体"/>
          <w:color w:val="000000"/>
          <w:sz w:val="24"/>
        </w:rPr>
        <w:t xml:space="preserve">、违约责任 </w:t>
      </w:r>
    </w:p>
    <w:p>
      <w:pPr>
        <w:spacing w:line="360" w:lineRule="auto"/>
        <w:ind w:left="0" w:leftChars="0" w:firstLine="0" w:firstLineChars="0"/>
        <w:jc w:val="both"/>
        <w:rPr>
          <w:rFonts w:hint="eastAsia" w:ascii="宋体" w:hAnsi="宋体" w:eastAsia="宋体" w:cs="宋体"/>
          <w:spacing w:val="-1"/>
          <w:sz w:val="24"/>
          <w:szCs w:val="24"/>
        </w:rPr>
      </w:pPr>
      <w:r>
        <w:rPr>
          <w:rFonts w:hint="eastAsia" w:ascii="宋体" w:hAnsi="宋体" w:eastAsia="宋体" w:cs="宋体"/>
          <w:spacing w:val="-1"/>
          <w:sz w:val="24"/>
          <w:szCs w:val="24"/>
        </w:rPr>
        <w:t>（1）乙方未按本采购文件约定的时间完成项目建设任务的，每逾期30天，乙方应向甲方支付逾期交付违约金伍仟元整。逾期交付违约金从履约保证金中予以扣除，若履约保证金全部扣完，则从剩余合同总额中扣除。若逾期交付达180天（含180天）以上的，甲方有权单方解除双方合同，造成的一切损失由乙方承担。</w:t>
      </w:r>
    </w:p>
    <w:p>
      <w:pPr>
        <w:spacing w:line="360" w:lineRule="auto"/>
        <w:ind w:left="0" w:leftChars="0" w:firstLine="0" w:firstLineChars="0"/>
        <w:jc w:val="both"/>
        <w:rPr>
          <w:rFonts w:hint="eastAsia" w:ascii="宋体" w:hAnsi="宋体" w:eastAsia="宋体" w:cs="宋体"/>
          <w:spacing w:val="-1"/>
          <w:sz w:val="24"/>
          <w:szCs w:val="24"/>
        </w:rPr>
      </w:pPr>
      <w:r>
        <w:rPr>
          <w:rFonts w:hint="eastAsia" w:ascii="宋体" w:hAnsi="宋体" w:eastAsia="宋体" w:cs="宋体"/>
          <w:spacing w:val="-1"/>
          <w:sz w:val="24"/>
          <w:szCs w:val="24"/>
        </w:rPr>
        <w:t>（2）因不可抗力造成逾期违约的，应及时向甲方通报不能履行或不能完全履行的理由，并在随后取得有关主管机关证明后的5日内向甲方提供不可抗力发生以及持续期间的充分证据。基于以上行为，可以适当延期相应施工期。</w:t>
      </w:r>
    </w:p>
    <w:p>
      <w:pPr>
        <w:spacing w:line="360" w:lineRule="auto"/>
        <w:ind w:left="0" w:leftChars="0" w:firstLine="0" w:firstLineChars="0"/>
        <w:jc w:val="both"/>
        <w:rPr>
          <w:rFonts w:hint="eastAsia" w:ascii="宋体" w:hAnsi="宋体" w:eastAsia="宋体" w:cs="宋体"/>
          <w:spacing w:val="-1"/>
          <w:sz w:val="24"/>
          <w:szCs w:val="24"/>
        </w:rPr>
      </w:pPr>
      <w:r>
        <w:rPr>
          <w:rFonts w:hint="eastAsia" w:ascii="宋体" w:hAnsi="宋体" w:eastAsia="宋体" w:cs="宋体"/>
          <w:spacing w:val="-1"/>
          <w:sz w:val="24"/>
          <w:szCs w:val="24"/>
        </w:rPr>
        <w:t>（3）在质保期间出现故障，乙方应在接到甲方通知后1小时以内响应，5小时内维修人员到场解决，若24小时内无法排除故障的，应在1个日历日内提供代用设备或提出经甲方同意的解决方案，否则将处以1000元/次的罚款并承担由此造成的一切后果。</w:t>
      </w:r>
    </w:p>
    <w:p>
      <w:pPr>
        <w:spacing w:line="360" w:lineRule="auto"/>
        <w:ind w:left="0" w:leftChars="0" w:firstLine="0" w:firstLineChars="0"/>
        <w:jc w:val="both"/>
        <w:rPr>
          <w:rFonts w:hint="eastAsia" w:ascii="宋体" w:hAnsi="宋体" w:eastAsia="宋体" w:cs="宋体"/>
          <w:spacing w:val="-1"/>
          <w:sz w:val="24"/>
          <w:szCs w:val="24"/>
        </w:rPr>
      </w:pPr>
      <w:r>
        <w:rPr>
          <w:rFonts w:hint="eastAsia" w:ascii="宋体" w:hAnsi="宋体" w:eastAsia="宋体" w:cs="宋体"/>
          <w:spacing w:val="-1"/>
          <w:sz w:val="24"/>
          <w:szCs w:val="24"/>
        </w:rPr>
        <w:t>（4）乙方不得随意更换项目负责人、技术负责人、现场管理人员等项目班子管理人员，确需更换时，拟派项目负责人、技术负责人、现场管理人员等接替人员的资格、业绩和信誉不得低于被替换人员，且乙方应当在更换人员前15个日历日内书面申请，将更换情况报甲方备案。</w:t>
      </w:r>
    </w:p>
    <w:p>
      <w:pPr>
        <w:spacing w:line="360" w:lineRule="auto"/>
        <w:ind w:left="0" w:leftChars="0" w:firstLine="0" w:firstLineChars="0"/>
        <w:jc w:val="both"/>
        <w:rPr>
          <w:rFonts w:hint="eastAsia" w:ascii="宋体" w:hAnsi="宋体" w:eastAsia="宋体" w:cs="宋体"/>
          <w:spacing w:val="-1"/>
          <w:sz w:val="24"/>
          <w:szCs w:val="24"/>
        </w:rPr>
      </w:pPr>
      <w:r>
        <w:rPr>
          <w:rFonts w:hint="eastAsia" w:ascii="宋体" w:hAnsi="宋体" w:eastAsia="宋体" w:cs="宋体"/>
          <w:spacing w:val="-1"/>
          <w:sz w:val="24"/>
          <w:szCs w:val="24"/>
        </w:rPr>
        <w:t xml:space="preserve">（5）若发生死亡安全事故，除按国家有关安全管理规定及甲方有关安全管理办法执行外，并报相关行政主管部门处罚；发生重大安全事故或特大安全事故，除按国家有关安全管理规定及采购人有关安全管理办法执行外，甲方有权终止合同，给甲方造成的损失，还应承担赔偿责任。 </w:t>
      </w:r>
    </w:p>
    <w:p>
      <w:pPr>
        <w:spacing w:line="360" w:lineRule="auto"/>
        <w:ind w:left="0" w:leftChars="0" w:firstLine="0" w:firstLineChars="0"/>
        <w:jc w:val="both"/>
        <w:rPr>
          <w:rFonts w:hint="eastAsia" w:ascii="宋体" w:hAnsi="宋体" w:eastAsia="宋体" w:cs="宋体"/>
          <w:bCs/>
          <w:color w:val="000000"/>
          <w:sz w:val="24"/>
        </w:rPr>
      </w:pPr>
      <w:r>
        <w:rPr>
          <w:rFonts w:hint="eastAsia" w:ascii="宋体" w:hAnsi="宋体" w:eastAsia="宋体" w:cs="宋体"/>
          <w:spacing w:val="-1"/>
          <w:sz w:val="24"/>
          <w:szCs w:val="24"/>
        </w:rPr>
        <w:t>（6）在明确违约责任后，乙方应在接到书面通知书起七天内支付违约金、赔偿金等。</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、知识产权 </w:t>
      </w:r>
    </w:p>
    <w:p>
      <w:pPr>
        <w:pStyle w:val="13"/>
        <w:spacing w:line="360" w:lineRule="auto"/>
        <w:ind w:firstLine="480"/>
        <w:rPr>
          <w:rFonts w:hint="eastAsia" w:hAnsi="宋体" w:eastAsia="宋体" w:cs="宋体"/>
          <w:sz w:val="24"/>
          <w:szCs w:val="24"/>
        </w:rPr>
      </w:pPr>
      <w:r>
        <w:rPr>
          <w:rFonts w:hint="eastAsia" w:hAnsi="宋体" w:eastAsia="宋体" w:cs="宋体"/>
          <w:sz w:val="24"/>
          <w:szCs w:val="24"/>
        </w:rPr>
        <w:t>乙方保证项目所使用软硬件合法授权，保证甲方不会受到任何第三方基于侵犯其专利权、商标权、著作权、商业秘密等的指控和诉讼。如果甲方收到上述指控和诉讼，乙方应当配合采购人积极应诉，并承担因此给甲方造成的全部损失，包括但不限于诉讼仲裁费、律师费、法院或仲裁机构最终裁定的侵权赔偿费用及甲方承担其他侵权责任所造成的经济损失等。</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 xml:space="preserve">、解决争议的方法 </w:t>
      </w:r>
    </w:p>
    <w:p>
      <w:pPr>
        <w:widowControl/>
        <w:spacing w:line="360" w:lineRule="auto"/>
        <w:jc w:val="left"/>
        <w:outlineLvl w:val="0"/>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 xml:space="preserve">.1 甲、乙双方协商解决。 </w:t>
      </w:r>
    </w:p>
    <w:p>
      <w:pPr>
        <w:widowControl/>
        <w:spacing w:line="360" w:lineRule="auto"/>
        <w:jc w:val="left"/>
        <w:outlineLvl w:val="0"/>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 xml:space="preserve">.2 若协商解决不成，则通过下列途径之一解决： </w:t>
      </w:r>
    </w:p>
    <w:p>
      <w:pPr>
        <w:widowControl/>
        <w:spacing w:line="360" w:lineRule="auto"/>
        <w:jc w:val="left"/>
        <w:rPr>
          <w:rFonts w:hint="eastAsia" w:ascii="宋体" w:hAnsi="宋体" w:cs="宋体"/>
          <w:sz w:val="24"/>
        </w:rPr>
      </w:pPr>
      <w:r>
        <w:rPr>
          <w:rFonts w:hint="eastAsia" w:ascii="宋体" w:hAnsi="宋体" w:eastAsia="宋体" w:cs="宋体"/>
          <w:color w:val="000000"/>
          <w:sz w:val="24"/>
        </w:rPr>
        <w:t>□提交仲裁委员会仲裁，具体如下</w:t>
      </w:r>
      <w:r>
        <w:rPr>
          <w:rFonts w:hint="eastAsia" w:ascii="宋体" w:hAnsi="宋体" w:eastAsia="宋体" w:cs="宋体"/>
          <w:color w:val="000000"/>
          <w:sz w:val="24"/>
          <w:u w:val="single"/>
        </w:rPr>
        <w:t>：</w:t>
      </w:r>
      <w:r>
        <w:rPr>
          <w:rFonts w:hint="eastAsia" w:ascii="宋体" w:hAnsi="宋体" w:eastAsia="宋体" w:cs="宋体"/>
          <w:color w:val="000000"/>
          <w:sz w:val="24"/>
        </w:rPr>
        <w:t xml:space="preserve">。 </w:t>
      </w:r>
    </w:p>
    <w:p>
      <w:pPr>
        <w:widowControl/>
        <w:spacing w:line="360" w:lineRule="auto"/>
        <w:jc w:val="left"/>
        <w:rPr>
          <w:rFonts w:hint="eastAsia" w:ascii="宋体" w:hAnsi="宋体" w:cs="宋体"/>
          <w:sz w:val="24"/>
        </w:rPr>
      </w:pPr>
      <w:r>
        <w:rPr>
          <w:rFonts w:hint="eastAsia" w:ascii="宋体" w:hAnsi="宋体" w:eastAsia="宋体" w:cs="宋体"/>
          <w:color w:val="000000"/>
          <w:sz w:val="24"/>
        </w:rPr>
        <w:t>☑向连城县人民法院提起诉讼，具体如下：</w:t>
      </w:r>
      <w:r>
        <w:rPr>
          <w:rFonts w:hint="eastAsia" w:ascii="宋体" w:hAnsi="宋体" w:cs="宋体"/>
          <w:sz w:val="24"/>
          <w:u w:val="single"/>
        </w:rPr>
        <w:t>败诉方承担包括但不限于诉讼费、交通费、财产保全保险费、保全费、律师代理费等相关费用</w:t>
      </w:r>
      <w:r>
        <w:rPr>
          <w:rFonts w:hint="eastAsia" w:ascii="宋体" w:hAnsi="宋体" w:eastAsia="宋体" w:cs="宋体"/>
          <w:color w:val="000000"/>
          <w:sz w:val="24"/>
        </w:rPr>
        <w:t xml:space="preserve">。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rPr>
        <w:t xml:space="preserve">、不可抗力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rPr>
        <w:t xml:space="preserve">.1 因不可抗力造成违约的，遭受不可抗力一方应及时向对方通报不能履行或不能完全履行的理由，并在随后取得有关主管机关证明后的 15 日内向另一方提供不可抗力发生及持续期间的充分证据。基于以上行为，允许遭受不可抗力一方延期履行、部分履行或不履行合同，并根据情况可部分或全部免于承担违约责任。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rPr>
        <w:t xml:space="preserve">.2 本合同中的不可抗力指不能预见、不能避免、不能克服的客观情况，包括但不限于：自然灾害如地震、台风、洪水、火灾及政府行为、法律规定或其适用的变化或其他任何无法 预见、避免或控制的事件。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 xml:space="preserve">、甲方的权利义务 </w:t>
      </w:r>
    </w:p>
    <w:p>
      <w:pPr>
        <w:widowControl/>
        <w:spacing w:line="360" w:lineRule="auto"/>
        <w:jc w:val="left"/>
        <w:rPr>
          <w:rFonts w:hint="eastAsia" w:ascii="宋体" w:hAnsi="宋体" w:eastAsia="宋体" w:cs="宋体"/>
          <w:color w:val="0000FF"/>
          <w:sz w:val="24"/>
          <w:szCs w:val="24"/>
          <w:highlight w:val="none"/>
          <w:lang w:val="en-US"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.1按时足额支付款项，以确保乙方按时按量完成任务。</w:t>
      </w:r>
      <w:r>
        <w:rPr>
          <w:rFonts w:hint="eastAsia" w:ascii="宋体" w:hAnsi="宋体" w:eastAsia="宋体" w:cs="宋体"/>
          <w:color w:val="0000FF"/>
          <w:sz w:val="24"/>
          <w:szCs w:val="24"/>
          <w:highlight w:val="none"/>
          <w:lang w:val="en-US" w:eastAsia="zh-CN"/>
        </w:rPr>
        <w:t>乙方收款账户如下：</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FF"/>
          <w:kern w:val="0"/>
          <w:sz w:val="24"/>
          <w:szCs w:val="24"/>
          <w:highlight w:val="none"/>
          <w:lang w:val="en-US" w:eastAsia="zh-CN"/>
        </w:rPr>
      </w:pPr>
      <w:r>
        <w:rPr>
          <w:rFonts w:hint="eastAsia" w:asciiTheme="minorEastAsia" w:hAnsiTheme="minorEastAsia" w:eastAsiaTheme="minorEastAsia" w:cstheme="minorEastAsia"/>
          <w:color w:val="0000FF"/>
          <w:kern w:val="0"/>
          <w:sz w:val="24"/>
          <w:szCs w:val="24"/>
          <w:highlight w:val="none"/>
          <w:lang w:val="en-US" w:eastAsia="zh-CN"/>
        </w:rPr>
        <w:t>账户名称：</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FF"/>
          <w:kern w:val="0"/>
          <w:sz w:val="24"/>
          <w:szCs w:val="24"/>
          <w:highlight w:val="none"/>
          <w:lang w:val="en-US" w:eastAsia="zh-CN"/>
        </w:rPr>
      </w:pPr>
      <w:r>
        <w:rPr>
          <w:rFonts w:hint="eastAsia" w:asciiTheme="minorEastAsia" w:hAnsiTheme="minorEastAsia" w:eastAsiaTheme="minorEastAsia" w:cstheme="minorEastAsia"/>
          <w:color w:val="0000FF"/>
          <w:kern w:val="0"/>
          <w:sz w:val="24"/>
          <w:szCs w:val="24"/>
          <w:highlight w:val="none"/>
          <w:lang w:val="en-US" w:eastAsia="zh-CN"/>
        </w:rPr>
        <w:t>开户行：</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rPr>
      </w:pPr>
      <w:r>
        <w:rPr>
          <w:rFonts w:hint="eastAsia" w:asciiTheme="minorEastAsia" w:hAnsiTheme="minorEastAsia" w:eastAsiaTheme="minorEastAsia" w:cstheme="minorEastAsia"/>
          <w:color w:val="0000FF"/>
          <w:kern w:val="0"/>
          <w:sz w:val="24"/>
          <w:szCs w:val="24"/>
          <w:highlight w:val="none"/>
          <w:lang w:val="en-US" w:eastAsia="zh-CN"/>
        </w:rPr>
        <w:t>账号：</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.2甲方有权对乙方的生产经营活动进行监督，对甲方指出存在的问题，乙方应及时整改；甲方有权要求乙方撤换不能胜任本职工作员工或行为不端、玩忽职守的现场负责人，乙方应及时予以撤换。</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法律、法规规定的其他义务</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lang w:val="en-US" w:eastAsia="zh-CN"/>
        </w:rPr>
        <w:t xml:space="preserve">15.4 </w:t>
      </w:r>
      <w:r>
        <w:rPr>
          <w:rFonts w:hint="eastAsia" w:ascii="宋体" w:hAnsi="宋体" w:eastAsia="宋体" w:cs="宋体"/>
          <w:color w:val="0000FF"/>
          <w:sz w:val="24"/>
        </w:rPr>
        <w:t>按照实际情况编制填写需要增加的内容</w:t>
      </w:r>
      <w:r>
        <w:rPr>
          <w:rFonts w:hint="eastAsia" w:ascii="宋体" w:hAnsi="宋体" w:eastAsia="宋体" w:cs="宋体"/>
          <w:color w:val="000000"/>
          <w:sz w:val="24"/>
        </w:rPr>
        <w:t>。</w:t>
      </w:r>
    </w:p>
    <w:p>
      <w:pPr>
        <w:numPr>
          <w:ilvl w:val="0"/>
          <w:numId w:val="0"/>
        </w:numPr>
        <w:spacing w:line="360" w:lineRule="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乙方的权利义务</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.1依照本合同约定的内容和标准提供相应的货物，并承担相关售后服务，接受甲方的监督。</w:t>
      </w:r>
    </w:p>
    <w:p>
      <w:pPr>
        <w:spacing w:line="360" w:lineRule="auto"/>
        <w:rPr>
          <w:rFonts w:hint="eastAsia" w:ascii="宋体" w:hAnsi="宋体" w:cs="宋体"/>
          <w:sz w:val="24"/>
        </w:rPr>
      </w:pPr>
      <w:r>
        <w:rPr>
          <w:rFonts w:hint="eastAsia" w:ascii="宋体" w:hAnsi="宋体" w:cs="宋体"/>
          <w:spacing w:val="-2"/>
          <w:sz w:val="24"/>
        </w:rPr>
        <w:t>1</w:t>
      </w:r>
      <w:r>
        <w:rPr>
          <w:rFonts w:hint="eastAsia" w:ascii="宋体" w:hAnsi="宋体" w:cs="宋体"/>
          <w:spacing w:val="-2"/>
          <w:sz w:val="24"/>
          <w:lang w:val="en-US" w:eastAsia="zh-CN"/>
        </w:rPr>
        <w:t>6</w:t>
      </w:r>
      <w:r>
        <w:rPr>
          <w:rFonts w:hint="eastAsia" w:ascii="宋体" w:hAnsi="宋体" w:cs="宋体"/>
          <w:spacing w:val="-2"/>
          <w:sz w:val="24"/>
        </w:rPr>
        <w:t>.2依照国家、有关规定和本合同约定，制订供货计划，</w:t>
      </w:r>
      <w:r>
        <w:rPr>
          <w:rFonts w:hint="eastAsia" w:ascii="宋体" w:hAnsi="宋体" w:cs="宋体"/>
          <w:sz w:val="24"/>
        </w:rPr>
        <w:t>并组织实施；</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.3对甲方违反国家、有关法律法规的行为，进行劝阻、制止，劝阻、制止无效的应及时书面报告有关行政主管部门；</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.4负责所供货物交货验收前的保管工作；</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法律、法规规定的其他义务。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eastAsia" w:ascii="宋体" w:hAnsi="宋体" w:cs="宋体"/>
          <w:color w:val="0000FF"/>
          <w:sz w:val="24"/>
          <w:lang w:val="en-US" w:eastAsia="zh-CN"/>
        </w:rPr>
        <w:t>16.6</w:t>
      </w:r>
      <w:r>
        <w:rPr>
          <w:rFonts w:hint="eastAsia" w:ascii="宋体" w:hAnsi="宋体" w:eastAsia="宋体" w:cs="宋体"/>
          <w:color w:val="0000FF"/>
          <w:sz w:val="24"/>
        </w:rPr>
        <w:t>按照实际情况编制填写需要增加的内容</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 xml:space="preserve">、其他约定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 xml:space="preserve">.1 合同文件与本合同具有同等法律效力。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 xml:space="preserve">.2 本合同未尽事宜，双方可另行补充。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 xml:space="preserve">.3 合同生效：自签订之日起生效。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.4 本合同一式</w:t>
      </w:r>
      <w:r>
        <w:rPr>
          <w:rFonts w:hint="eastAsia" w:ascii="宋体" w:hAnsi="宋体" w:eastAsia="宋体" w:cs="宋体"/>
          <w:color w:val="0000FF"/>
          <w:sz w:val="24"/>
          <w:u w:val="single"/>
        </w:rPr>
        <w:t>（填写具体份数）</w:t>
      </w:r>
      <w:r>
        <w:rPr>
          <w:rFonts w:hint="eastAsia" w:ascii="宋体" w:hAnsi="宋体" w:eastAsia="宋体" w:cs="宋体"/>
          <w:color w:val="000000"/>
          <w:sz w:val="24"/>
        </w:rPr>
        <w:t>份，经双方授权代表签字并盖章后生效。甲方、乙方各执</w:t>
      </w:r>
      <w:r>
        <w:rPr>
          <w:rFonts w:hint="eastAsia" w:ascii="宋体" w:hAnsi="宋体" w:eastAsia="宋体" w:cs="宋体"/>
          <w:color w:val="0000FF"/>
          <w:sz w:val="24"/>
          <w:u w:val="single"/>
        </w:rPr>
        <w:t>（填写具体份数）</w:t>
      </w:r>
      <w:r>
        <w:rPr>
          <w:rFonts w:hint="eastAsia" w:ascii="宋体" w:hAnsi="宋体" w:eastAsia="宋体" w:cs="宋体"/>
          <w:color w:val="000000"/>
          <w:sz w:val="24"/>
        </w:rPr>
        <w:t xml:space="preserve">份，具有同等效力。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.5 其他：</w:t>
      </w:r>
      <w:r>
        <w:rPr>
          <w:rFonts w:hint="eastAsia" w:ascii="宋体" w:hAnsi="宋体" w:eastAsia="宋体" w:cs="宋体"/>
          <w:color w:val="000000"/>
          <w:sz w:val="24"/>
          <w:lang w:eastAsia="zh-CN"/>
        </w:rPr>
        <w:t>□</w:t>
      </w:r>
      <w:r>
        <w:rPr>
          <w:rFonts w:hint="eastAsia" w:ascii="宋体" w:hAnsi="宋体" w:eastAsia="宋体" w:cs="宋体"/>
          <w:color w:val="000000"/>
          <w:sz w:val="24"/>
        </w:rPr>
        <w:t>无。</w:t>
      </w:r>
      <w:r>
        <w:rPr>
          <w:rFonts w:hint="eastAsia" w:ascii="宋体" w:hAnsi="宋体" w:eastAsia="宋体" w:cs="宋体"/>
          <w:color w:val="000000"/>
          <w:sz w:val="24"/>
          <w:lang w:eastAsia="zh-CN"/>
        </w:rPr>
        <w:t>□</w:t>
      </w:r>
      <w:r>
        <w:rPr>
          <w:rFonts w:hint="eastAsia" w:ascii="宋体" w:hAnsi="宋体" w:eastAsia="宋体" w:cs="宋体"/>
          <w:color w:val="0000FF"/>
          <w:sz w:val="24"/>
        </w:rPr>
        <w:t>（按照实际情况编制填写需要增加的内容）</w:t>
      </w:r>
      <w:r>
        <w:rPr>
          <w:rFonts w:hint="eastAsia" w:ascii="宋体" w:hAnsi="宋体" w:eastAsia="宋体" w:cs="宋体"/>
          <w:color w:val="000000"/>
          <w:sz w:val="24"/>
        </w:rPr>
        <w:t xml:space="preserve">。 </w:t>
      </w:r>
    </w:p>
    <w:p>
      <w:pPr>
        <w:widowControl/>
        <w:spacing w:line="360" w:lineRule="auto"/>
        <w:jc w:val="left"/>
        <w:rPr>
          <w:rFonts w:hint="eastAsia" w:ascii="宋体" w:hAnsi="宋体" w:cs="宋体"/>
          <w:sz w:val="24"/>
        </w:rPr>
      </w:pPr>
      <w:r>
        <w:rPr>
          <w:rFonts w:hint="eastAsia" w:ascii="宋体" w:hAnsi="宋体" w:eastAsia="宋体" w:cs="宋体"/>
          <w:color w:val="000000"/>
          <w:sz w:val="24"/>
        </w:rPr>
        <w:t xml:space="preserve">（以下无正文） </w:t>
      </w:r>
    </w:p>
    <w:p>
      <w:pPr>
        <w:widowControl/>
        <w:spacing w:line="360" w:lineRule="auto"/>
        <w:jc w:val="left"/>
        <w:rPr>
          <w:rFonts w:hint="eastAsia" w:ascii="宋体" w:hAnsi="宋体" w:eastAsia="宋体" w:cs="宋体"/>
          <w:color w:val="000000"/>
          <w:sz w:val="24"/>
        </w:rPr>
      </w:pPr>
    </w:p>
    <w:p>
      <w:pPr>
        <w:jc w:val="cente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【签署页】</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甲方：</w:t>
      </w:r>
      <w:r>
        <w:rPr>
          <w:rFonts w:hint="eastAsia" w:ascii="Calibri" w:hAnsi="Calibri" w:eastAsia="宋体"/>
          <w:color w:val="auto"/>
          <w:sz w:val="24"/>
          <w:lang w:val="en-US" w:eastAsia="zh-CN"/>
        </w:rPr>
        <w:t xml:space="preserve">    </w:t>
      </w:r>
      <w:r>
        <w:rPr>
          <w:rFonts w:hint="eastAsia" w:ascii="宋体" w:hAnsi="宋体" w:eastAsia="宋体" w:cs="宋体"/>
          <w:color w:val="auto"/>
          <w:spacing w:val="0"/>
          <w:kern w:val="0"/>
          <w:sz w:val="24"/>
          <w:szCs w:val="24"/>
          <w:highlight w:val="none"/>
          <w:lang w:val="en-US" w:eastAsia="zh-CN" w:bidi="ar"/>
        </w:rPr>
        <w:t>（盖章）</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法定代表人或授权代表签字</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签署时间：</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乙方：   （盖章）</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法定代表人或授权代表签字</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签署时间：</w:t>
      </w:r>
    </w:p>
    <w:p>
      <w:pPr>
        <w:pStyle w:val="13"/>
        <w:keepNext w:val="0"/>
        <w:pageBreakBefore w:val="0"/>
        <w:overflowPunct/>
        <w:topLinePunct w:val="0"/>
        <w:bidi w:val="0"/>
        <w:spacing w:line="480" w:lineRule="exact"/>
        <w:ind w:left="0" w:leftChars="0" w:firstLine="0" w:firstLineChars="0"/>
        <w:rPr>
          <w:rFonts w:hint="eastAsia" w:ascii="宋体" w:hAnsi="宋体" w:eastAsia="宋体" w:cs="宋体"/>
          <w:color w:val="000000"/>
          <w:sz w:val="28"/>
          <w:szCs w:val="28"/>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80BFD"/>
    <w:multiLevelType w:val="singleLevel"/>
    <w:tmpl w:val="B7D80BFD"/>
    <w:lvl w:ilvl="0" w:tentative="0">
      <w:start w:val="1"/>
      <w:numFmt w:val="decimal"/>
      <w:lvlText w:val="(%1)"/>
      <w:lvlJc w:val="left"/>
      <w:pPr>
        <w:ind w:left="425" w:hanging="425"/>
      </w:pPr>
      <w:rPr>
        <w:rFonts w:hint="default"/>
      </w:rPr>
    </w:lvl>
  </w:abstractNum>
  <w:abstractNum w:abstractNumId="1">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663C42"/>
    <w:rsid w:val="028576BC"/>
    <w:rsid w:val="033B51A8"/>
    <w:rsid w:val="039E3DB5"/>
    <w:rsid w:val="03B81208"/>
    <w:rsid w:val="04973358"/>
    <w:rsid w:val="052E6A1B"/>
    <w:rsid w:val="072B7208"/>
    <w:rsid w:val="0804406F"/>
    <w:rsid w:val="080F2686"/>
    <w:rsid w:val="08161E50"/>
    <w:rsid w:val="081C4C9C"/>
    <w:rsid w:val="0834033F"/>
    <w:rsid w:val="086E3978"/>
    <w:rsid w:val="0A564F20"/>
    <w:rsid w:val="0AEE0C79"/>
    <w:rsid w:val="0B0448C7"/>
    <w:rsid w:val="0B195D46"/>
    <w:rsid w:val="0C0C7087"/>
    <w:rsid w:val="0CA830A9"/>
    <w:rsid w:val="0CDA1129"/>
    <w:rsid w:val="0D0C3638"/>
    <w:rsid w:val="0D724C37"/>
    <w:rsid w:val="0E6A79B6"/>
    <w:rsid w:val="0E8467A8"/>
    <w:rsid w:val="0F153787"/>
    <w:rsid w:val="0F6C7DF1"/>
    <w:rsid w:val="0FB87AA7"/>
    <w:rsid w:val="0FFD42BC"/>
    <w:rsid w:val="102E33CF"/>
    <w:rsid w:val="10554859"/>
    <w:rsid w:val="108A4FA0"/>
    <w:rsid w:val="115251AE"/>
    <w:rsid w:val="11981DA5"/>
    <w:rsid w:val="119A56B6"/>
    <w:rsid w:val="11FF0ACF"/>
    <w:rsid w:val="128A572B"/>
    <w:rsid w:val="137205A3"/>
    <w:rsid w:val="138E2060"/>
    <w:rsid w:val="14416FC6"/>
    <w:rsid w:val="15474BF8"/>
    <w:rsid w:val="1569686F"/>
    <w:rsid w:val="15D019BA"/>
    <w:rsid w:val="15D665CA"/>
    <w:rsid w:val="16052A7F"/>
    <w:rsid w:val="167C30C3"/>
    <w:rsid w:val="169951BC"/>
    <w:rsid w:val="169A6476"/>
    <w:rsid w:val="16B40FC8"/>
    <w:rsid w:val="183B56FD"/>
    <w:rsid w:val="18AE0B48"/>
    <w:rsid w:val="18EF3710"/>
    <w:rsid w:val="1A394265"/>
    <w:rsid w:val="1AF35E37"/>
    <w:rsid w:val="1B215742"/>
    <w:rsid w:val="1CC932F4"/>
    <w:rsid w:val="1DE026A3"/>
    <w:rsid w:val="1E303C84"/>
    <w:rsid w:val="1EF00CA7"/>
    <w:rsid w:val="1F633F72"/>
    <w:rsid w:val="1FB913FE"/>
    <w:rsid w:val="203C362E"/>
    <w:rsid w:val="211A411E"/>
    <w:rsid w:val="214331EC"/>
    <w:rsid w:val="21E464DA"/>
    <w:rsid w:val="226244CC"/>
    <w:rsid w:val="228026A7"/>
    <w:rsid w:val="22950329"/>
    <w:rsid w:val="22A30872"/>
    <w:rsid w:val="234F36E4"/>
    <w:rsid w:val="236A7C99"/>
    <w:rsid w:val="23761465"/>
    <w:rsid w:val="246A52EB"/>
    <w:rsid w:val="24741525"/>
    <w:rsid w:val="249C78F6"/>
    <w:rsid w:val="24AF2DCF"/>
    <w:rsid w:val="25AD5A5E"/>
    <w:rsid w:val="25CF7BBE"/>
    <w:rsid w:val="25F64131"/>
    <w:rsid w:val="26945745"/>
    <w:rsid w:val="26B24F9F"/>
    <w:rsid w:val="27E3558A"/>
    <w:rsid w:val="2861758C"/>
    <w:rsid w:val="2892098A"/>
    <w:rsid w:val="297E0FC2"/>
    <w:rsid w:val="2A093B18"/>
    <w:rsid w:val="2A8C2B55"/>
    <w:rsid w:val="2AC36334"/>
    <w:rsid w:val="2AC415FD"/>
    <w:rsid w:val="2B023949"/>
    <w:rsid w:val="2B474184"/>
    <w:rsid w:val="2B9065B4"/>
    <w:rsid w:val="2BAE1609"/>
    <w:rsid w:val="2C2A04A0"/>
    <w:rsid w:val="2C4C065B"/>
    <w:rsid w:val="2C5C26DC"/>
    <w:rsid w:val="2CDF621C"/>
    <w:rsid w:val="2CE60051"/>
    <w:rsid w:val="2D697A29"/>
    <w:rsid w:val="2E301AB4"/>
    <w:rsid w:val="2E7E609A"/>
    <w:rsid w:val="2E975000"/>
    <w:rsid w:val="2EF02962"/>
    <w:rsid w:val="2F3740ED"/>
    <w:rsid w:val="2F6E445A"/>
    <w:rsid w:val="2FC97395"/>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DB07AE"/>
    <w:rsid w:val="3D3F6CF4"/>
    <w:rsid w:val="3D71306C"/>
    <w:rsid w:val="3DC87AC0"/>
    <w:rsid w:val="3E166E94"/>
    <w:rsid w:val="3FA56A13"/>
    <w:rsid w:val="3FCB1769"/>
    <w:rsid w:val="404B14C2"/>
    <w:rsid w:val="410835EE"/>
    <w:rsid w:val="410B2455"/>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BDA7A28"/>
    <w:rsid w:val="4C621441"/>
    <w:rsid w:val="4C6355B6"/>
    <w:rsid w:val="4D235499"/>
    <w:rsid w:val="4D2550DF"/>
    <w:rsid w:val="4D515A96"/>
    <w:rsid w:val="4DA2556F"/>
    <w:rsid w:val="4E143612"/>
    <w:rsid w:val="4E6A6F3F"/>
    <w:rsid w:val="4E821F7F"/>
    <w:rsid w:val="4E997C57"/>
    <w:rsid w:val="4E9D3635"/>
    <w:rsid w:val="4ED62599"/>
    <w:rsid w:val="4F4F373F"/>
    <w:rsid w:val="50112DBD"/>
    <w:rsid w:val="50113E5A"/>
    <w:rsid w:val="50DB4354"/>
    <w:rsid w:val="51A703F2"/>
    <w:rsid w:val="51AA471F"/>
    <w:rsid w:val="522E2CD6"/>
    <w:rsid w:val="524A20F8"/>
    <w:rsid w:val="524E2EDF"/>
    <w:rsid w:val="52E622F6"/>
    <w:rsid w:val="53042CF9"/>
    <w:rsid w:val="53CB6FAB"/>
    <w:rsid w:val="542826BF"/>
    <w:rsid w:val="545B5616"/>
    <w:rsid w:val="55915C48"/>
    <w:rsid w:val="56207EF4"/>
    <w:rsid w:val="567C4958"/>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3272FF"/>
    <w:rsid w:val="5EA14EFA"/>
    <w:rsid w:val="5EA42C9D"/>
    <w:rsid w:val="5F0B50A5"/>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84133A2"/>
    <w:rsid w:val="69113EED"/>
    <w:rsid w:val="695B16AE"/>
    <w:rsid w:val="69652A6D"/>
    <w:rsid w:val="69B6772E"/>
    <w:rsid w:val="6AEF5761"/>
    <w:rsid w:val="6B776A6D"/>
    <w:rsid w:val="6C805BCC"/>
    <w:rsid w:val="6CA81B7D"/>
    <w:rsid w:val="6D401DE3"/>
    <w:rsid w:val="6D7B66F3"/>
    <w:rsid w:val="6E661D1D"/>
    <w:rsid w:val="6F92367A"/>
    <w:rsid w:val="70072172"/>
    <w:rsid w:val="7007345D"/>
    <w:rsid w:val="702A3CF7"/>
    <w:rsid w:val="707966E1"/>
    <w:rsid w:val="71DE7052"/>
    <w:rsid w:val="729A0B48"/>
    <w:rsid w:val="729B4033"/>
    <w:rsid w:val="75A82C1C"/>
    <w:rsid w:val="769E7B7B"/>
    <w:rsid w:val="77354B5A"/>
    <w:rsid w:val="77875CB0"/>
    <w:rsid w:val="77CE5972"/>
    <w:rsid w:val="786F5C73"/>
    <w:rsid w:val="78E43635"/>
    <w:rsid w:val="78F75F2F"/>
    <w:rsid w:val="78F950A4"/>
    <w:rsid w:val="79162DAA"/>
    <w:rsid w:val="79211EC3"/>
    <w:rsid w:val="7956473D"/>
    <w:rsid w:val="79974B76"/>
    <w:rsid w:val="79B76855"/>
    <w:rsid w:val="7AD654A8"/>
    <w:rsid w:val="7C207AE9"/>
    <w:rsid w:val="7C435390"/>
    <w:rsid w:val="7CBD6F32"/>
    <w:rsid w:val="7E15651D"/>
    <w:rsid w:val="7E663674"/>
    <w:rsid w:val="7ED560DA"/>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keepNext/>
      <w:keepLines/>
      <w:widowControl w:val="0"/>
      <w:tabs>
        <w:tab w:val="left" w:pos="0"/>
      </w:tabs>
      <w:spacing w:before="260" w:after="260" w:line="415" w:lineRule="auto"/>
      <w:jc w:val="center"/>
      <w:outlineLvl w:val="1"/>
    </w:pPr>
    <w:rPr>
      <w:rFonts w:ascii="CG Times" w:hAnsi="CG Times" w:eastAsia="宋体" w:cs="Times New Roman"/>
      <w:b/>
      <w:kern w:val="0"/>
      <w:sz w:val="30"/>
      <w:szCs w:val="20"/>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7">
    <w:name w:val="Plain Text"/>
    <w:basedOn w:val="1"/>
    <w:next w:val="1"/>
    <w:qFormat/>
    <w:uiPriority w:val="0"/>
    <w:rPr>
      <w:rFonts w:ascii="宋体" w:hAnsi="Courier New"/>
      <w:szCs w:val="20"/>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styleId="13">
    <w:name w:val="Body Text First Indent 2"/>
    <w:basedOn w:val="6"/>
    <w:next w:val="1"/>
    <w:qFormat/>
    <w:uiPriority w:val="99"/>
    <w:pPr>
      <w:ind w:firstLine="420" w:firstLineChars="200"/>
    </w:p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Strong"/>
    <w:basedOn w:val="16"/>
    <w:qFormat/>
    <w:uiPriority w:val="22"/>
    <w:rPr>
      <w:b/>
      <w:bCs/>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20">
    <w:name w:val="批注框文本 Char"/>
    <w:basedOn w:val="16"/>
    <w:link w:val="8"/>
    <w:qFormat/>
    <w:uiPriority w:val="0"/>
    <w:rPr>
      <w:rFonts w:ascii="Calibri" w:hAnsi="Calibri" w:eastAsia="宋体" w:cs="Arial"/>
      <w:kern w:val="2"/>
      <w:sz w:val="18"/>
      <w:szCs w:val="18"/>
    </w:rPr>
  </w:style>
  <w:style w:type="character" w:customStyle="1" w:styleId="21">
    <w:name w:val="font01"/>
    <w:basedOn w:val="16"/>
    <w:qFormat/>
    <w:uiPriority w:val="0"/>
    <w:rPr>
      <w:rFonts w:hint="eastAsia" w:ascii="宋体" w:hAnsi="宋体" w:eastAsia="宋体" w:cs="宋体"/>
      <w:color w:val="000000"/>
      <w:sz w:val="22"/>
      <w:szCs w:val="22"/>
      <w:u w:val="none"/>
    </w:rPr>
  </w:style>
  <w:style w:type="character" w:customStyle="1" w:styleId="22">
    <w:name w:val="font11"/>
    <w:basedOn w:val="16"/>
    <w:qFormat/>
    <w:uiPriority w:val="0"/>
    <w:rPr>
      <w:rFonts w:hint="eastAsia" w:ascii="宋体" w:hAnsi="宋体" w:eastAsia="宋体" w:cs="宋体"/>
      <w:b/>
      <w:bCs/>
      <w:color w:val="000000"/>
      <w:sz w:val="22"/>
      <w:szCs w:val="22"/>
      <w:u w:val="none"/>
    </w:rPr>
  </w:style>
  <w:style w:type="paragraph" w:customStyle="1" w:styleId="23">
    <w:name w:val="null3"/>
    <w:qFormat/>
    <w:uiPriority w:val="0"/>
    <w:rPr>
      <w:rFonts w:hint="eastAsia" w:ascii="Calibri" w:hAnsi="Calibri" w:eastAsia="宋体" w:cs="Times New Roman"/>
      <w:lang w:val="en-US" w:eastAsia="zh-Hans"/>
    </w:rPr>
  </w:style>
  <w:style w:type="paragraph" w:customStyle="1" w:styleId="24">
    <w:name w:val="样式3"/>
    <w:basedOn w:val="7"/>
    <w:qFormat/>
    <w:uiPriority w:val="0"/>
    <w:pPr>
      <w:spacing w:line="0" w:lineRule="atLeast"/>
      <w:outlineLvl w:val="0"/>
    </w:pPr>
    <w:rPr>
      <w:sz w:val="28"/>
    </w:rPr>
  </w:style>
  <w:style w:type="paragraph" w:customStyle="1" w:styleId="25">
    <w:name w:val="Blockquote"/>
    <w:basedOn w:val="1"/>
    <w:qFormat/>
    <w:uiPriority w:val="0"/>
    <w:pPr>
      <w:autoSpaceDE w:val="0"/>
      <w:autoSpaceDN w:val="0"/>
      <w:spacing w:before="100" w:after="100" w:line="240" w:lineRule="auto"/>
      <w:ind w:left="360" w:right="36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9552</Words>
  <Characters>10598</Characters>
  <Lines>4</Lines>
  <Paragraphs>7</Paragraphs>
  <TotalTime>2</TotalTime>
  <ScaleCrop>false</ScaleCrop>
  <LinksUpToDate>false</LinksUpToDate>
  <CharactersWithSpaces>11211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2025-12-31T08:45:00Z</cp:lastPrinted>
  <dcterms:modified xsi:type="dcterms:W3CDTF">2026-07-08T03:01:15Z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