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3300">
      <w:pPr>
        <w:keepNext w:val="0"/>
        <w:keepLines w:val="0"/>
        <w:pageBreakBefore w:val="0"/>
        <w:widowControl/>
        <w:shd w:val="clear"/>
        <w:kinsoku/>
        <w:wordWrap/>
        <w:topLinePunct w:val="0"/>
        <w:bidi w:val="0"/>
        <w:snapToGrid/>
        <w:spacing w:before="0" w:line="360" w:lineRule="auto"/>
        <w:ind w:left="0"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网络竞价须知</w:t>
      </w:r>
    </w:p>
    <w:p w14:paraId="3FD51CAD">
      <w:pPr>
        <w:keepNext w:val="0"/>
        <w:keepLines w:val="0"/>
        <w:pageBreakBefore w:val="0"/>
        <w:widowControl/>
        <w:shd w:val="clear"/>
        <w:kinsoku/>
        <w:wordWrap/>
        <w:topLinePunct w:val="0"/>
        <w:bidi w:val="0"/>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LCCQJJ20260720-1</w:t>
      </w:r>
      <w:r>
        <w:rPr>
          <w:rFonts w:hint="eastAsia" w:asciiTheme="minorEastAsia" w:hAnsiTheme="minorEastAsia" w:eastAsiaTheme="minorEastAsia" w:cstheme="minorEastAsia"/>
          <w:b w:val="0"/>
          <w:bCs w:val="0"/>
          <w:color w:val="auto"/>
          <w:kern w:val="2"/>
          <w:sz w:val="24"/>
          <w:szCs w:val="24"/>
          <w:highlight w:val="none"/>
          <w:shd w:val="clear"/>
        </w:rPr>
        <w:t>）</w:t>
      </w:r>
    </w:p>
    <w:p w14:paraId="50E2B3D2">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连城县国有资产产权交易服务有限公司（以下简称本公司）遵循“公开、公平、公正、诚实信用”的原则，依照国家法律、法规、政策为本次竞价活动提供服务。现将有关竞价事项告知如下：</w:t>
      </w:r>
    </w:p>
    <w:p w14:paraId="5F6DE532">
      <w:pPr>
        <w:keepNext w:val="0"/>
        <w:keepLines w:val="0"/>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p>
    <w:p w14:paraId="24F326DF">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竞价截止时间：2026年</w:t>
      </w:r>
      <w:r>
        <w:rPr>
          <w:rFonts w:hint="eastAsia" w:asciiTheme="minorEastAsia" w:hAnsiTheme="minorEastAsia" w:eastAsiaTheme="minorEastAsia" w:cstheme="minorEastAsia"/>
          <w:color w:val="auto"/>
          <w:kern w:val="2"/>
          <w:sz w:val="24"/>
          <w:szCs w:val="24"/>
          <w:highlight w:val="none"/>
          <w:shd w:val="clear"/>
          <w:lang w:val="en-US" w:eastAsia="zh-CN"/>
        </w:rPr>
        <w:t>7</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20日</w:t>
      </w:r>
      <w:r>
        <w:rPr>
          <w:rFonts w:hint="eastAsia" w:asciiTheme="minorEastAsia" w:hAnsiTheme="minorEastAsia" w:eastAsiaTheme="minorEastAsia" w:cstheme="minorEastAsia"/>
          <w:color w:val="auto"/>
          <w:kern w:val="2"/>
          <w:sz w:val="24"/>
          <w:szCs w:val="24"/>
          <w:highlight w:val="none"/>
          <w:shd w:val="clear"/>
        </w:rPr>
        <w:t>上午10:00止</w:t>
      </w:r>
    </w:p>
    <w:p w14:paraId="150A8E99">
      <w:pPr>
        <w:keepNext w:val="0"/>
        <w:keepLines w:val="0"/>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17DD1F">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报名截止时间：2026年</w:t>
      </w:r>
      <w:r>
        <w:rPr>
          <w:rFonts w:hint="eastAsia" w:asciiTheme="minorEastAsia" w:hAnsiTheme="minorEastAsia" w:eastAsiaTheme="minorEastAsia" w:cstheme="minorEastAsia"/>
          <w:color w:val="auto"/>
          <w:kern w:val="2"/>
          <w:sz w:val="24"/>
          <w:szCs w:val="24"/>
          <w:highlight w:val="none"/>
          <w:shd w:val="clear"/>
          <w:lang w:val="en-US" w:eastAsia="zh-CN"/>
        </w:rPr>
        <w:t>7</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20日</w:t>
      </w:r>
      <w:r>
        <w:rPr>
          <w:rFonts w:hint="eastAsia" w:asciiTheme="minorEastAsia" w:hAnsiTheme="minorEastAsia" w:eastAsiaTheme="minorEastAsia" w:cstheme="minorEastAsia"/>
          <w:color w:val="auto"/>
          <w:kern w:val="2"/>
          <w:sz w:val="24"/>
          <w:szCs w:val="24"/>
          <w:highlight w:val="none"/>
          <w:shd w:val="clear"/>
        </w:rPr>
        <w:t>上午10:00止</w:t>
      </w:r>
    </w:p>
    <w:p w14:paraId="4FAF59D7">
      <w:pPr>
        <w:keepNext w:val="0"/>
        <w:keepLines w:val="0"/>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报名地点：连城县招标投标交易平台（https://lcyjy.enjoy5191.com/home）</w:t>
      </w:r>
    </w:p>
    <w:p w14:paraId="1B5B720B">
      <w:pPr>
        <w:keepNext w:val="0"/>
        <w:keepLines w:val="0"/>
        <w:pageBreakBefore w:val="0"/>
        <w:kinsoku/>
        <w:wordWrap/>
        <w:topLinePunct w:val="0"/>
        <w:bidi w:val="0"/>
        <w:snapToGrid/>
        <w:spacing w:line="360" w:lineRule="auto"/>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李先生  0597-8911670</w:t>
      </w:r>
    </w:p>
    <w:p w14:paraId="1B551620">
      <w:pPr>
        <w:keepNext w:val="0"/>
        <w:keepLines w:val="0"/>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24181E55">
      <w:pPr>
        <w:keepNext w:val="0"/>
        <w:keepLines w:val="0"/>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eastAsia="zh-CN"/>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u w:val="none"/>
          <w:lang w:eastAsia="zh-CN"/>
        </w:rPr>
        <w:t>连城县天泉湾酒店矿泉水采购项目。</w:t>
      </w:r>
    </w:p>
    <w:p w14:paraId="752CC4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360" w:lineRule="auto"/>
        <w:ind w:left="0" w:right="0" w:firstLine="482" w:firstLineChars="200"/>
        <w:jc w:val="left"/>
        <w:rPr>
          <w:rFonts w:hint="default" w:asciiTheme="minorEastAsia" w:hAnsiTheme="minorEastAsia" w:eastAsiaTheme="minorEastAsia" w:cstheme="minorEastAsia"/>
          <w:color w:val="auto"/>
          <w:kern w:val="2"/>
          <w:sz w:val="24"/>
          <w:szCs w:val="24"/>
          <w:highlight w:val="none"/>
          <w:u w:val="none"/>
          <w:lang w:val="en-US" w:eastAsia="zh-CN"/>
        </w:rPr>
      </w:pPr>
      <w:r>
        <w:rPr>
          <w:rFonts w:hint="eastAsia" w:ascii="宋体" w:hAnsi="宋体" w:eastAsia="宋体" w:cs="宋体"/>
          <w:b/>
          <w:bCs/>
          <w:color w:val="auto"/>
          <w:kern w:val="0"/>
          <w:sz w:val="24"/>
          <w:szCs w:val="24"/>
          <w:highlight w:val="none"/>
          <w:lang w:val="en-US" w:eastAsia="zh-CN" w:bidi="ar"/>
        </w:rPr>
        <w:t>2.</w:t>
      </w:r>
      <w:r>
        <w:rPr>
          <w:rFonts w:ascii="宋体" w:hAnsi="宋体" w:eastAsia="宋体" w:cs="宋体"/>
          <w:b/>
          <w:bCs/>
          <w:color w:val="auto"/>
          <w:kern w:val="0"/>
          <w:sz w:val="24"/>
          <w:szCs w:val="24"/>
          <w:highlight w:val="none"/>
          <w:lang w:val="en-US" w:eastAsia="zh-CN" w:bidi="ar"/>
        </w:rPr>
        <w:t>项目地点：</w:t>
      </w:r>
      <w:r>
        <w:rPr>
          <w:rFonts w:hint="eastAsia" w:ascii="宋体" w:hAnsi="宋体" w:eastAsia="宋体" w:cs="宋体"/>
          <w:color w:val="auto"/>
          <w:kern w:val="0"/>
          <w:sz w:val="24"/>
          <w:szCs w:val="24"/>
          <w:highlight w:val="none"/>
          <w:lang w:val="en-US" w:eastAsia="zh-CN" w:bidi="ar"/>
        </w:rPr>
        <w:t>委托人指定场所，具体包含两处经营主体，</w:t>
      </w:r>
      <w:r>
        <w:rPr>
          <w:rFonts w:ascii="宋体" w:hAnsi="宋体" w:eastAsia="宋体" w:cs="宋体"/>
          <w:color w:val="auto"/>
          <w:sz w:val="24"/>
          <w:szCs w:val="24"/>
          <w:highlight w:val="none"/>
        </w:rPr>
        <w:t>①连城县天泉湾酒店运营有限公司，坐落于福建省连城县新泉镇北村榕河路26号②连城县天泉湾酒店运营有限公司莲峰分公司，坐落于福建省连城县莲峰镇大坪村廖屋山路33号莲嘉小区</w:t>
      </w:r>
      <w:r>
        <w:rPr>
          <w:rFonts w:hint="eastAsia" w:ascii="宋体" w:hAnsi="宋体" w:eastAsia="宋体" w:cs="宋体"/>
          <w:color w:val="auto"/>
          <w:sz w:val="24"/>
          <w:szCs w:val="24"/>
          <w:highlight w:val="none"/>
          <w:lang w:val="en-US" w:eastAsia="zh-CN"/>
        </w:rPr>
        <w:t>8</w:t>
      </w:r>
      <w:r>
        <w:rPr>
          <w:rFonts w:ascii="宋体" w:hAnsi="宋体" w:eastAsia="宋体" w:cs="宋体"/>
          <w:color w:val="auto"/>
          <w:sz w:val="24"/>
          <w:szCs w:val="24"/>
          <w:highlight w:val="none"/>
        </w:rPr>
        <w:t>幢。</w:t>
      </w:r>
    </w:p>
    <w:p w14:paraId="715BE825">
      <w:pPr>
        <w:keepNext w:val="0"/>
        <w:keepLines w:val="0"/>
        <w:pageBreakBefore w:val="0"/>
        <w:kinsoku/>
        <w:wordWrap/>
        <w:overflowPunct w:val="0"/>
        <w:topLinePunct w:val="0"/>
        <w:autoSpaceDE w:val="0"/>
        <w:autoSpaceDN w:val="0"/>
        <w:bidi w:val="0"/>
        <w:adjustRightInd w:val="0"/>
        <w:snapToGrid/>
        <w:spacing w:line="360" w:lineRule="auto"/>
        <w:ind w:firstLine="482" w:firstLineChars="200"/>
        <w:textAlignment w:val="baseline"/>
        <w:outlineLvl w:val="9"/>
        <w:rPr>
          <w:rFonts w:hint="eastAsia" w:asciiTheme="minorEastAsia" w:hAnsiTheme="minorEastAsia" w:eastAsiaTheme="minorEastAsia" w:cstheme="minorEastAsia"/>
          <w:b/>
          <w:bCs/>
          <w:color w:val="auto"/>
          <w:kern w:val="28"/>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w:t>
      </w:r>
      <w:r>
        <w:rPr>
          <w:rFonts w:hint="eastAsia" w:asciiTheme="minorEastAsia" w:hAnsiTheme="minorEastAsia" w:eastAsiaTheme="minorEastAsia" w:cstheme="minorEastAsia"/>
          <w:b/>
          <w:bCs/>
          <w:color w:val="auto"/>
          <w:kern w:val="28"/>
          <w:sz w:val="24"/>
          <w:szCs w:val="24"/>
          <w:highlight w:val="none"/>
          <w:lang w:val="en-US" w:eastAsia="zh-CN" w:bidi="ar-SA"/>
        </w:rPr>
        <w:t>采购内容：</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1732"/>
        <w:gridCol w:w="2487"/>
        <w:gridCol w:w="753"/>
        <w:gridCol w:w="1379"/>
        <w:gridCol w:w="1583"/>
        <w:gridCol w:w="1379"/>
      </w:tblGrid>
      <w:tr w14:paraId="0485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EA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47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品名</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23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79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5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预估数量</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C3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BA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小计（元）</w:t>
            </w:r>
          </w:p>
        </w:tc>
      </w:tr>
      <w:tr w14:paraId="1838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82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C4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冠豸山天然矿泉水</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E6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550ML*12瓶（膜装）</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D2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8F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28000</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19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76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218400 </w:t>
            </w:r>
          </w:p>
        </w:tc>
      </w:tr>
      <w:tr w14:paraId="24B6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4A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A4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冠豸山天然矿泉水</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D2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17L（桶装）</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5C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8F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21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AB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30900 </w:t>
            </w:r>
          </w:p>
        </w:tc>
      </w:tr>
      <w:tr w14:paraId="793C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FE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4E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冠豸山山泉水</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20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18L（桶装）</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8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FE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40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AC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21000 </w:t>
            </w:r>
          </w:p>
        </w:tc>
      </w:tr>
      <w:tr w14:paraId="7C7A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189D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04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270300</w:t>
            </w:r>
          </w:p>
        </w:tc>
      </w:tr>
    </w:tbl>
    <w:p w14:paraId="13A89FB4">
      <w:pPr>
        <w:keepNext w:val="0"/>
        <w:keepLines w:val="0"/>
        <w:pageBreakBefore w:val="0"/>
        <w:kinsoku/>
        <w:wordWrap/>
        <w:overflowPunct w:val="0"/>
        <w:topLinePunct w:val="0"/>
        <w:autoSpaceDE w:val="0"/>
        <w:autoSpaceDN w:val="0"/>
        <w:bidi w:val="0"/>
        <w:adjustRightInd w:val="0"/>
        <w:snapToGrid/>
        <w:spacing w:line="360" w:lineRule="auto"/>
        <w:ind w:left="0" w:right="0" w:firstLine="482" w:firstLineChars="200"/>
        <w:jc w:val="both"/>
        <w:textAlignment w:val="baseline"/>
        <w:outlineLvl w:val="9"/>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8"/>
          <w:sz w:val="24"/>
          <w:szCs w:val="24"/>
          <w:highlight w:val="none"/>
          <w:lang w:val="en-US" w:eastAsia="zh-CN" w:bidi="ar-SA"/>
        </w:rPr>
        <w:t>服务</w:t>
      </w:r>
      <w:r>
        <w:rPr>
          <w:rFonts w:hint="eastAsia" w:ascii="宋体" w:hAnsi="宋体" w:eastAsia="宋体" w:cs="宋体"/>
          <w:b/>
          <w:bCs/>
          <w:color w:val="auto"/>
          <w:kern w:val="28"/>
          <w:sz w:val="24"/>
          <w:szCs w:val="24"/>
          <w:highlight w:val="none"/>
          <w:lang w:val="en-US" w:eastAsia="zh-CN" w:bidi="ar-SA"/>
        </w:rPr>
        <w:t>期限：</w:t>
      </w:r>
      <w:r>
        <w:rPr>
          <w:rFonts w:hint="eastAsia" w:ascii="宋体" w:hAnsi="宋体" w:cs="宋体"/>
          <w:b w:val="0"/>
          <w:bCs w:val="0"/>
          <w:color w:val="auto"/>
          <w:kern w:val="28"/>
          <w:sz w:val="24"/>
          <w:szCs w:val="24"/>
          <w:highlight w:val="none"/>
          <w:lang w:val="en-US" w:eastAsia="zh-CN" w:bidi="ar-SA"/>
        </w:rPr>
        <w:t>本项目供货服务期限为2年，本合同有效期自签订之日起，至2年供货期满、全部款项结清且所有质保义务履行完毕之日止</w:t>
      </w:r>
      <w:r>
        <w:rPr>
          <w:rFonts w:hint="eastAsia" w:ascii="宋体" w:hAnsi="宋体" w:eastAsia="宋体" w:cs="宋体"/>
          <w:b w:val="0"/>
          <w:bCs w:val="0"/>
          <w:color w:val="auto"/>
          <w:kern w:val="28"/>
          <w:sz w:val="24"/>
          <w:szCs w:val="24"/>
          <w:highlight w:val="none"/>
          <w:lang w:val="en-US" w:eastAsia="zh-CN" w:bidi="ar-SA"/>
        </w:rPr>
        <w:t>。</w:t>
      </w:r>
    </w:p>
    <w:p w14:paraId="1B784BCA">
      <w:pPr>
        <w:keepNext w:val="0"/>
        <w:keepLines w:val="0"/>
        <w:pageBreakBefore w:val="0"/>
        <w:kinsoku/>
        <w:wordWrap/>
        <w:overflowPunct w:val="0"/>
        <w:topLinePunct w:val="0"/>
        <w:autoSpaceDE w:val="0"/>
        <w:autoSpaceDN w:val="0"/>
        <w:bidi w:val="0"/>
        <w:adjustRightInd w:val="0"/>
        <w:snapToGrid/>
        <w:spacing w:line="360" w:lineRule="auto"/>
        <w:ind w:left="0" w:right="0" w:firstLine="482" w:firstLineChars="200"/>
        <w:jc w:val="both"/>
        <w:textAlignment w:val="baseline"/>
        <w:outlineLvl w:val="9"/>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bCs/>
          <w:color w:val="auto"/>
          <w:kern w:val="28"/>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服务费最高限价：</w:t>
      </w:r>
      <w:r>
        <w:rPr>
          <w:rFonts w:ascii="宋体" w:hAnsi="宋体" w:eastAsia="宋体" w:cs="宋体"/>
          <w:color w:val="auto"/>
          <w:sz w:val="24"/>
          <w:szCs w:val="24"/>
          <w:highlight w:val="none"/>
        </w:rPr>
        <w:t>人民币贰拾柒万零叁佰元整（¥270300.00），竞价人报价不得高于该限价。报价为含税全包价，包含增值税、运输、包装、装卸、产品检测、售后质保、人工等全部费用，委托人不再另行支付任何款项。本清单数量为预估暂定量，仅作为报价测算依据，实际供货量按酒店经营需求动态调整，实际供货未达预估总额不视为采购人违约，成交供应商不得以此索赔。如需采购清单外饮用水类产品，同类产品参照清单单价执行；无同类参照的，由采购人与成交人市场询价后确定单价，按实际供货数量据实结算。</w:t>
      </w:r>
    </w:p>
    <w:p w14:paraId="311AF0AC">
      <w:pPr>
        <w:keepNext w:val="0"/>
        <w:keepLines w:val="0"/>
        <w:pageBreakBefore w:val="0"/>
        <w:widowControl w:val="0"/>
        <w:kinsoku/>
        <w:wordWrap/>
        <w:overflowPunct w:val="0"/>
        <w:topLinePunct w:val="0"/>
        <w:autoSpaceDE w:val="0"/>
        <w:autoSpaceDN w:val="0"/>
        <w:bidi w:val="0"/>
        <w:adjustRightInd w:val="0"/>
        <w:snapToGrid/>
        <w:spacing w:line="360" w:lineRule="auto"/>
        <w:ind w:firstLine="482" w:firstLineChars="200"/>
        <w:jc w:val="both"/>
        <w:textAlignment w:val="baseline"/>
        <w:rPr>
          <w:rFonts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28"/>
          <w:sz w:val="24"/>
          <w:szCs w:val="24"/>
          <w:highlight w:val="none"/>
          <w:lang w:val="en-US" w:eastAsia="zh-CN" w:bidi="ar-SA"/>
        </w:rPr>
        <w:t>6.</w:t>
      </w:r>
      <w:r>
        <w:rPr>
          <w:rFonts w:hint="eastAsia" w:ascii="宋体" w:hAnsi="宋体" w:eastAsia="宋体" w:cs="宋体"/>
          <w:b/>
          <w:bCs/>
          <w:color w:val="auto"/>
          <w:kern w:val="0"/>
          <w:sz w:val="24"/>
          <w:szCs w:val="24"/>
          <w:highlight w:val="none"/>
          <w:lang w:val="en-US" w:eastAsia="zh-CN" w:bidi="ar"/>
        </w:rPr>
        <w:t>供货、质量及验收技术要求</w:t>
      </w:r>
      <w:r>
        <w:rPr>
          <w:rFonts w:ascii="宋体" w:hAnsi="宋体" w:eastAsia="宋体" w:cs="宋体"/>
          <w:b/>
          <w:bCs/>
          <w:color w:val="auto"/>
          <w:kern w:val="0"/>
          <w:sz w:val="24"/>
          <w:szCs w:val="24"/>
          <w:highlight w:val="none"/>
          <w:lang w:val="en-US" w:eastAsia="zh-CN" w:bidi="ar"/>
        </w:rPr>
        <w:t>：</w:t>
      </w:r>
    </w:p>
    <w:p w14:paraId="4A01DED4">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（一）供货交付要求</w:t>
      </w:r>
    </w:p>
    <w:p w14:paraId="03CF7ACB">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①</w:t>
      </w:r>
      <w:r>
        <w:rPr>
          <w:rFonts w:hint="eastAsia" w:ascii="宋体" w:hAnsi="宋体" w:eastAsia="宋体" w:cs="宋体"/>
          <w:b w:val="0"/>
          <w:bCs w:val="0"/>
          <w:color w:val="auto"/>
          <w:kern w:val="0"/>
          <w:sz w:val="24"/>
          <w:szCs w:val="24"/>
          <w:highlight w:val="none"/>
          <w:lang w:val="en-US" w:eastAsia="zh-CN" w:bidi="ar"/>
        </w:rPr>
        <w:t>采购人下达供货需求通知后，成交供应商须在 5 日内完成足额送货至指定地点，满足酒店客房、公共区域日常用水需求。</w:t>
      </w:r>
    </w:p>
    <w:p w14:paraId="47F6DE9E">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②</w:t>
      </w:r>
      <w:r>
        <w:rPr>
          <w:rFonts w:hint="eastAsia" w:ascii="宋体" w:hAnsi="宋体" w:eastAsia="宋体" w:cs="宋体"/>
          <w:b w:val="0"/>
          <w:bCs w:val="0"/>
          <w:color w:val="auto"/>
          <w:kern w:val="0"/>
          <w:sz w:val="24"/>
          <w:szCs w:val="24"/>
          <w:highlight w:val="none"/>
          <w:lang w:val="en-US" w:eastAsia="zh-CN" w:bidi="ar"/>
        </w:rPr>
        <w:t>供货产品为全新未拆封原厂产品，严禁私自拆封、加装配件；包装完整清晰标注产品名称、生产日期、保质期、生产厂家，符合国家食品包装相关规范。</w:t>
      </w:r>
    </w:p>
    <w:p w14:paraId="53FA6B64">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③</w:t>
      </w:r>
      <w:r>
        <w:rPr>
          <w:rFonts w:hint="eastAsia" w:ascii="宋体" w:hAnsi="宋体" w:eastAsia="宋体" w:cs="宋体"/>
          <w:b w:val="0"/>
          <w:bCs w:val="0"/>
          <w:color w:val="auto"/>
          <w:kern w:val="0"/>
          <w:sz w:val="24"/>
          <w:szCs w:val="24"/>
          <w:highlight w:val="none"/>
          <w:lang w:val="en-US" w:eastAsia="zh-CN" w:bidi="ar"/>
        </w:rPr>
        <w:t>未经采购人书面同意，不得擅自更换产品品牌、规格、包装材质</w:t>
      </w:r>
      <w:r>
        <w:rPr>
          <w:rFonts w:hint="eastAsia" w:ascii="宋体" w:hAnsi="宋体" w:cs="宋体"/>
          <w:b w:val="0"/>
          <w:bCs w:val="0"/>
          <w:color w:val="auto"/>
          <w:kern w:val="0"/>
          <w:sz w:val="24"/>
          <w:szCs w:val="24"/>
          <w:highlight w:val="none"/>
          <w:lang w:val="en-US" w:eastAsia="zh-CN" w:bidi="ar"/>
        </w:rPr>
        <w:t>。</w:t>
      </w:r>
    </w:p>
    <w:p w14:paraId="42E0B642">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（二）产品质量标准</w:t>
      </w:r>
    </w:p>
    <w:p w14:paraId="3034BC90">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①</w:t>
      </w:r>
      <w:r>
        <w:rPr>
          <w:rFonts w:hint="eastAsia" w:ascii="宋体" w:hAnsi="宋体" w:eastAsia="宋体" w:cs="宋体"/>
          <w:b w:val="0"/>
          <w:bCs w:val="0"/>
          <w:color w:val="auto"/>
          <w:kern w:val="0"/>
          <w:sz w:val="24"/>
          <w:szCs w:val="24"/>
          <w:highlight w:val="none"/>
          <w:lang w:val="en-US" w:eastAsia="zh-CN" w:bidi="ar"/>
        </w:rPr>
        <w:t>所有饮用水质量符合国家食品安全标准、生产厂家出厂合格标准，严格遵守《中华人民共和国食品安全法》相关规定。</w:t>
      </w:r>
    </w:p>
    <w:p w14:paraId="4AFA6C30">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②</w:t>
      </w:r>
      <w:r>
        <w:rPr>
          <w:rFonts w:hint="eastAsia" w:ascii="宋体" w:hAnsi="宋体" w:eastAsia="宋体" w:cs="宋体"/>
          <w:b w:val="0"/>
          <w:bCs w:val="0"/>
          <w:color w:val="auto"/>
          <w:kern w:val="0"/>
          <w:sz w:val="24"/>
          <w:szCs w:val="24"/>
          <w:highlight w:val="none"/>
          <w:lang w:val="en-US" w:eastAsia="zh-CN" w:bidi="ar"/>
        </w:rPr>
        <w:t>产品质保期为生产出厂后 6 个月，质保期内因产品自身质量问题（不含采购人使用、保管不当），供应商免费更换；无法更换时采购人可退货，供应商承担全部损失。</w:t>
      </w:r>
    </w:p>
    <w:p w14:paraId="244474A2">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③</w:t>
      </w:r>
      <w:r>
        <w:rPr>
          <w:rFonts w:hint="eastAsia" w:ascii="宋体" w:hAnsi="宋体" w:eastAsia="宋体" w:cs="宋体"/>
          <w:b w:val="0"/>
          <w:bCs w:val="0"/>
          <w:color w:val="auto"/>
          <w:kern w:val="0"/>
          <w:sz w:val="24"/>
          <w:szCs w:val="24"/>
          <w:highlight w:val="none"/>
          <w:lang w:val="en-US" w:eastAsia="zh-CN" w:bidi="ar"/>
        </w:rPr>
        <w:t>采购人有权对到货产品抽样送检，检测费用全部包含在报价内，无需另行付费；若水质、卫生、规格检测不合格，视为供应商根本违约，采购人有权拒收货物、解除合同并追究全部违约责任，因产品质量引发食品安全事故的，由供应商承担全部法律与经济责任。</w:t>
      </w:r>
    </w:p>
    <w:p w14:paraId="497C1296">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（三）现场验收要求</w:t>
      </w:r>
    </w:p>
    <w:p w14:paraId="4AAB6EDA">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①</w:t>
      </w:r>
      <w:r>
        <w:rPr>
          <w:rFonts w:hint="eastAsia" w:ascii="宋体" w:hAnsi="宋体" w:eastAsia="宋体" w:cs="宋体"/>
          <w:b w:val="0"/>
          <w:bCs w:val="0"/>
          <w:color w:val="auto"/>
          <w:kern w:val="0"/>
          <w:sz w:val="24"/>
          <w:szCs w:val="24"/>
          <w:highlight w:val="none"/>
          <w:lang w:val="en-US" w:eastAsia="zh-CN" w:bidi="ar"/>
        </w:rPr>
        <w:t>货物送达后采购人当场组织验收，供应商须派员到场配合，随货提供产品合格证、质检证明等全套资料，双方签字确认验收单据；供应商无故缺席验收，视为认可采购人验收结果。</w:t>
      </w:r>
    </w:p>
    <w:p w14:paraId="7DC14387">
      <w:pPr>
        <w:keepNext w:val="0"/>
        <w:keepLines w:val="0"/>
        <w:pageBreakBefore w:val="0"/>
        <w:widowControl w:val="0"/>
        <w:kinsoku/>
        <w:wordWrap/>
        <w:overflowPunct w:val="0"/>
        <w:topLinePunct w:val="0"/>
        <w:autoSpaceDE w:val="0"/>
        <w:autoSpaceDN w:val="0"/>
        <w:bidi w:val="0"/>
        <w:adjustRightInd w:val="0"/>
        <w:snapToGrid/>
        <w:spacing w:line="360" w:lineRule="auto"/>
        <w:ind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②</w:t>
      </w:r>
      <w:r>
        <w:rPr>
          <w:rFonts w:hint="eastAsia" w:ascii="宋体" w:hAnsi="宋体" w:eastAsia="宋体" w:cs="宋体"/>
          <w:b w:val="0"/>
          <w:bCs w:val="0"/>
          <w:color w:val="auto"/>
          <w:kern w:val="0"/>
          <w:sz w:val="24"/>
          <w:szCs w:val="24"/>
          <w:highlight w:val="none"/>
          <w:lang w:val="en-US" w:eastAsia="zh-CN" w:bidi="ar"/>
        </w:rPr>
        <w:t>验收不合格货物，供应商须 5 日内无条件更换全部合格产品。</w:t>
      </w:r>
    </w:p>
    <w:p w14:paraId="2F333D5C">
      <w:pPr>
        <w:keepNext w:val="0"/>
        <w:keepLines w:val="0"/>
        <w:pageBreakBefore w:val="0"/>
        <w:numPr>
          <w:ilvl w:val="-1"/>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strike w:val="0"/>
          <w:dstrike w:val="0"/>
          <w:color w:val="auto"/>
          <w:sz w:val="24"/>
          <w:szCs w:val="24"/>
          <w:highlight w:val="none"/>
          <w:lang w:val="en-US" w:eastAsia="zh-CN"/>
        </w:rPr>
      </w:pPr>
      <w:r>
        <w:rPr>
          <w:rFonts w:hint="eastAsia" w:ascii="宋体" w:hAnsi="宋体" w:eastAsia="宋体" w:cs="宋体"/>
          <w:b/>
          <w:bCs/>
          <w:strike w:val="0"/>
          <w:dstrike w:val="0"/>
          <w:color w:val="auto"/>
          <w:sz w:val="24"/>
          <w:szCs w:val="24"/>
          <w:highlight w:val="none"/>
          <w:lang w:val="en-US" w:eastAsia="zh-CN"/>
        </w:rPr>
        <w:t>（四）履约与违约管理</w:t>
      </w:r>
    </w:p>
    <w:p w14:paraId="6A740F97">
      <w:pPr>
        <w:keepNext w:val="0"/>
        <w:keepLines w:val="0"/>
        <w:pageBreakBefore w:val="0"/>
        <w:numPr>
          <w:ilvl w:val="-1"/>
          <w:numId w:val="0"/>
        </w:numPr>
        <w:kinsoku/>
        <w:wordWrap/>
        <w:overflowPunct/>
        <w:topLinePunct w:val="0"/>
        <w:bidi w:val="0"/>
        <w:snapToGrid/>
        <w:spacing w:line="360" w:lineRule="auto"/>
        <w:ind w:firstLine="480" w:firstLineChars="200"/>
        <w:textAlignment w:val="auto"/>
        <w:rPr>
          <w:rFonts w:hint="eastAsia" w:ascii="宋体" w:hAnsi="宋体" w:eastAsia="宋体" w:cs="宋体"/>
          <w:b w:val="0"/>
          <w:bCs w:val="0"/>
          <w:strike w:val="0"/>
          <w:dstrike w:val="0"/>
          <w:color w:val="auto"/>
          <w:sz w:val="24"/>
          <w:szCs w:val="24"/>
          <w:highlight w:val="none"/>
          <w:lang w:val="en-US" w:eastAsia="zh-CN"/>
        </w:rPr>
      </w:pPr>
      <w:r>
        <w:rPr>
          <w:rFonts w:hint="eastAsia" w:ascii="微软雅黑" w:hAnsi="微软雅黑" w:eastAsia="微软雅黑" w:cs="微软雅黑"/>
          <w:b w:val="0"/>
          <w:bCs w:val="0"/>
          <w:strike w:val="0"/>
          <w:dstrike w:val="0"/>
          <w:color w:val="auto"/>
          <w:sz w:val="24"/>
          <w:szCs w:val="24"/>
          <w:highlight w:val="none"/>
          <w:lang w:val="en-US" w:eastAsia="zh-CN"/>
        </w:rPr>
        <w:t>①</w:t>
      </w:r>
      <w:r>
        <w:rPr>
          <w:rFonts w:hint="eastAsia" w:ascii="宋体" w:hAnsi="宋体" w:eastAsia="宋体" w:cs="宋体"/>
          <w:b w:val="0"/>
          <w:bCs w:val="0"/>
          <w:strike w:val="0"/>
          <w:dstrike w:val="0"/>
          <w:color w:val="auto"/>
          <w:sz w:val="24"/>
          <w:szCs w:val="24"/>
          <w:highlight w:val="none"/>
          <w:lang w:val="en-US" w:eastAsia="zh-CN"/>
        </w:rPr>
        <w:t>供货逾期：每延期一日支付 100 元违约金，逾期超 10 日，采购人可单方解除合同。</w:t>
      </w:r>
    </w:p>
    <w:p w14:paraId="12A1C965">
      <w:pPr>
        <w:keepNext w:val="0"/>
        <w:keepLines w:val="0"/>
        <w:pageBreakBefore w:val="0"/>
        <w:numPr>
          <w:ilvl w:val="-1"/>
          <w:numId w:val="0"/>
        </w:numPr>
        <w:kinsoku/>
        <w:wordWrap/>
        <w:overflowPunct/>
        <w:topLinePunct w:val="0"/>
        <w:bidi w:val="0"/>
        <w:snapToGrid/>
        <w:spacing w:line="360" w:lineRule="auto"/>
        <w:ind w:firstLine="480" w:firstLineChars="200"/>
        <w:textAlignment w:val="auto"/>
        <w:rPr>
          <w:rFonts w:hint="eastAsia" w:ascii="宋体" w:hAnsi="宋体" w:eastAsia="宋体" w:cs="宋体"/>
          <w:b w:val="0"/>
          <w:bCs w:val="0"/>
          <w:strike w:val="0"/>
          <w:dstrike w:val="0"/>
          <w:color w:val="auto"/>
          <w:sz w:val="24"/>
          <w:szCs w:val="24"/>
          <w:highlight w:val="none"/>
          <w:lang w:val="en-US" w:eastAsia="zh-CN"/>
        </w:rPr>
      </w:pPr>
      <w:r>
        <w:rPr>
          <w:rFonts w:hint="eastAsia" w:ascii="微软雅黑" w:hAnsi="微软雅黑" w:eastAsia="微软雅黑" w:cs="微软雅黑"/>
          <w:b w:val="0"/>
          <w:bCs w:val="0"/>
          <w:strike w:val="0"/>
          <w:dstrike w:val="0"/>
          <w:color w:val="auto"/>
          <w:sz w:val="24"/>
          <w:szCs w:val="24"/>
          <w:highlight w:val="none"/>
          <w:lang w:val="en-US" w:eastAsia="zh-CN"/>
        </w:rPr>
        <w:t>②</w:t>
      </w:r>
      <w:r>
        <w:rPr>
          <w:rFonts w:hint="eastAsia" w:ascii="宋体" w:hAnsi="宋体" w:eastAsia="宋体" w:cs="宋体"/>
          <w:b w:val="0"/>
          <w:bCs w:val="0"/>
          <w:strike w:val="0"/>
          <w:dstrike w:val="0"/>
          <w:color w:val="auto"/>
          <w:sz w:val="24"/>
          <w:szCs w:val="24"/>
          <w:highlight w:val="none"/>
          <w:lang w:val="en-US" w:eastAsia="zh-CN"/>
        </w:rPr>
        <w:t>货物规格、品牌、品质与合同不符，采购人有权拒收、解除合同，供应商需在限期换货并赔偿全部经济损失。</w:t>
      </w:r>
    </w:p>
    <w:p w14:paraId="2D04B458">
      <w:pPr>
        <w:keepNext w:val="0"/>
        <w:keepLines w:val="0"/>
        <w:pageBreakBefore w:val="0"/>
        <w:numPr>
          <w:ilvl w:val="-1"/>
          <w:numId w:val="0"/>
        </w:numPr>
        <w:kinsoku/>
        <w:wordWrap/>
        <w:overflowPunct/>
        <w:topLinePunct w:val="0"/>
        <w:bidi w:val="0"/>
        <w:snapToGrid/>
        <w:spacing w:line="360" w:lineRule="auto"/>
        <w:ind w:firstLine="480" w:firstLineChars="200"/>
        <w:textAlignment w:val="auto"/>
        <w:rPr>
          <w:rFonts w:hint="eastAsia" w:ascii="宋体" w:hAnsi="宋体" w:eastAsia="宋体" w:cs="宋体"/>
          <w:b w:val="0"/>
          <w:bCs w:val="0"/>
          <w:strike w:val="0"/>
          <w:dstrike w:val="0"/>
          <w:color w:val="auto"/>
          <w:sz w:val="24"/>
          <w:szCs w:val="24"/>
          <w:highlight w:val="none"/>
          <w:lang w:val="en-US" w:eastAsia="zh-CN"/>
        </w:rPr>
      </w:pPr>
      <w:r>
        <w:rPr>
          <w:rFonts w:hint="eastAsia" w:ascii="微软雅黑" w:hAnsi="微软雅黑" w:eastAsia="微软雅黑" w:cs="微软雅黑"/>
          <w:b w:val="0"/>
          <w:bCs w:val="0"/>
          <w:strike w:val="0"/>
          <w:dstrike w:val="0"/>
          <w:color w:val="auto"/>
          <w:sz w:val="24"/>
          <w:szCs w:val="24"/>
          <w:highlight w:val="none"/>
          <w:lang w:val="en-US" w:eastAsia="zh-CN"/>
        </w:rPr>
        <w:t>③</w:t>
      </w:r>
      <w:r>
        <w:rPr>
          <w:rFonts w:hint="eastAsia" w:ascii="宋体" w:hAnsi="宋体" w:eastAsia="宋体" w:cs="宋体"/>
          <w:b w:val="0"/>
          <w:bCs w:val="0"/>
          <w:strike w:val="0"/>
          <w:dstrike w:val="0"/>
          <w:color w:val="auto"/>
          <w:sz w:val="24"/>
          <w:szCs w:val="24"/>
          <w:highlight w:val="none"/>
          <w:lang w:val="en-US" w:eastAsia="zh-CN"/>
        </w:rPr>
        <w:t>严禁分包、转包，一经查实，采购人立即解除合同，供应商支付合同总金额 10% 违约金并赔偿全部损失。</w:t>
      </w:r>
    </w:p>
    <w:p w14:paraId="00F516FE">
      <w:pPr>
        <w:keepNext w:val="0"/>
        <w:keepLines w:val="0"/>
        <w:pageBreakBefore w:val="0"/>
        <w:numPr>
          <w:ilvl w:val="-1"/>
          <w:numId w:val="0"/>
        </w:numPr>
        <w:kinsoku/>
        <w:wordWrap/>
        <w:overflowPunct/>
        <w:topLinePunct w:val="0"/>
        <w:bidi w:val="0"/>
        <w:snapToGrid/>
        <w:spacing w:line="360" w:lineRule="auto"/>
        <w:ind w:firstLine="480" w:firstLineChars="200"/>
        <w:textAlignment w:val="auto"/>
        <w:rPr>
          <w:rFonts w:hint="eastAsia" w:ascii="宋体" w:hAnsi="宋体" w:eastAsia="宋体" w:cs="宋体"/>
          <w:b w:val="0"/>
          <w:bCs w:val="0"/>
          <w:strike w:val="0"/>
          <w:dstrike w:val="0"/>
          <w:color w:val="auto"/>
          <w:sz w:val="24"/>
          <w:szCs w:val="24"/>
          <w:highlight w:val="none"/>
          <w:lang w:val="en-US" w:eastAsia="zh-CN"/>
        </w:rPr>
      </w:pPr>
      <w:r>
        <w:rPr>
          <w:rFonts w:hint="eastAsia" w:ascii="微软雅黑" w:hAnsi="微软雅黑" w:eastAsia="微软雅黑" w:cs="微软雅黑"/>
          <w:b w:val="0"/>
          <w:bCs w:val="0"/>
          <w:strike w:val="0"/>
          <w:dstrike w:val="0"/>
          <w:color w:val="auto"/>
          <w:sz w:val="24"/>
          <w:szCs w:val="24"/>
          <w:highlight w:val="none"/>
          <w:lang w:val="en-US" w:eastAsia="zh-CN"/>
        </w:rPr>
        <w:t>④</w:t>
      </w:r>
      <w:r>
        <w:rPr>
          <w:rFonts w:hint="eastAsia" w:ascii="宋体" w:hAnsi="宋体" w:eastAsia="宋体" w:cs="宋体"/>
          <w:b w:val="0"/>
          <w:bCs w:val="0"/>
          <w:strike w:val="0"/>
          <w:dstrike w:val="0"/>
          <w:color w:val="auto"/>
          <w:sz w:val="24"/>
          <w:szCs w:val="24"/>
          <w:highlight w:val="none"/>
          <w:lang w:val="en-US" w:eastAsia="zh-CN"/>
        </w:rPr>
        <w:t>供货产品如被认定假冒伪劣、侵犯知识产权，采购人有权解除合同、拒收货物，供应商全额退还货款并支付合同总金额10%违约金，承担全部法律后果。</w:t>
      </w:r>
    </w:p>
    <w:p w14:paraId="4CBF9AC7">
      <w:pPr>
        <w:keepNext w:val="0"/>
        <w:keepLines w:val="0"/>
        <w:pageBreakBefore w:val="0"/>
        <w:numPr>
          <w:ilvl w:val="-1"/>
          <w:numId w:val="0"/>
        </w:numPr>
        <w:kinsoku/>
        <w:wordWrap/>
        <w:overflowPunct/>
        <w:topLinePunct w:val="0"/>
        <w:bidi w:val="0"/>
        <w:snapToGrid/>
        <w:spacing w:line="360" w:lineRule="auto"/>
        <w:ind w:firstLine="480" w:firstLineChars="200"/>
        <w:textAlignment w:val="auto"/>
        <w:rPr>
          <w:rFonts w:hint="eastAsia" w:ascii="宋体" w:hAnsi="宋体" w:eastAsia="宋体" w:cs="宋体"/>
          <w:b w:val="0"/>
          <w:bCs w:val="0"/>
          <w:strike w:val="0"/>
          <w:dstrike w:val="0"/>
          <w:color w:val="auto"/>
          <w:sz w:val="24"/>
          <w:szCs w:val="24"/>
          <w:highlight w:val="none"/>
          <w:lang w:val="en-US" w:eastAsia="zh-CN"/>
        </w:rPr>
      </w:pPr>
      <w:r>
        <w:rPr>
          <w:rFonts w:hint="eastAsia" w:ascii="宋体" w:hAnsi="宋体" w:eastAsia="宋体" w:cs="宋体"/>
          <w:b w:val="0"/>
          <w:bCs w:val="0"/>
          <w:strike w:val="0"/>
          <w:dstrike w:val="0"/>
          <w:color w:val="auto"/>
          <w:sz w:val="24"/>
          <w:szCs w:val="24"/>
          <w:highlight w:val="none"/>
          <w:lang w:val="en-US" w:eastAsia="zh-CN"/>
        </w:rPr>
        <w:t>（五）其他服务要求</w:t>
      </w:r>
    </w:p>
    <w:p w14:paraId="3A12CCDF">
      <w:pPr>
        <w:keepNext w:val="0"/>
        <w:keepLines w:val="0"/>
        <w:pageBreakBefore w:val="0"/>
        <w:numPr>
          <w:ilvl w:val="-1"/>
          <w:numId w:val="0"/>
        </w:numPr>
        <w:kinsoku/>
        <w:wordWrap/>
        <w:overflowPunct/>
        <w:topLinePunct w:val="0"/>
        <w:bidi w:val="0"/>
        <w:snapToGrid/>
        <w:spacing w:line="360" w:lineRule="auto"/>
        <w:ind w:firstLine="480" w:firstLineChars="200"/>
        <w:textAlignment w:val="auto"/>
        <w:rPr>
          <w:rFonts w:hint="eastAsia" w:ascii="宋体" w:hAnsi="宋体" w:eastAsia="宋体" w:cs="宋体"/>
          <w:b w:val="0"/>
          <w:bCs w:val="0"/>
          <w:strike w:val="0"/>
          <w:dstrike w:val="0"/>
          <w:color w:val="auto"/>
          <w:sz w:val="24"/>
          <w:szCs w:val="24"/>
          <w:highlight w:val="none"/>
          <w:lang w:val="en-US" w:eastAsia="zh-CN"/>
        </w:rPr>
      </w:pPr>
      <w:r>
        <w:rPr>
          <w:rFonts w:hint="eastAsia" w:ascii="微软雅黑" w:hAnsi="微软雅黑" w:eastAsia="微软雅黑" w:cs="微软雅黑"/>
          <w:b w:val="0"/>
          <w:bCs w:val="0"/>
          <w:strike w:val="0"/>
          <w:dstrike w:val="0"/>
          <w:color w:val="auto"/>
          <w:sz w:val="24"/>
          <w:szCs w:val="24"/>
          <w:highlight w:val="none"/>
          <w:lang w:val="en-US" w:eastAsia="zh-CN"/>
        </w:rPr>
        <w:t>①</w:t>
      </w:r>
      <w:r>
        <w:rPr>
          <w:rFonts w:hint="eastAsia" w:ascii="宋体" w:hAnsi="宋体" w:eastAsia="宋体" w:cs="宋体"/>
          <w:b w:val="0"/>
          <w:bCs w:val="0"/>
          <w:strike w:val="0"/>
          <w:dstrike w:val="0"/>
          <w:color w:val="auto"/>
          <w:sz w:val="24"/>
          <w:szCs w:val="24"/>
          <w:highlight w:val="none"/>
          <w:lang w:val="en-US" w:eastAsia="zh-CN"/>
        </w:rPr>
        <w:t>供应商负责货物交付验收前的保管工作，制定合理供货计划，接受采购人质量、进度监督。</w:t>
      </w:r>
    </w:p>
    <w:p w14:paraId="333BE507">
      <w:pPr>
        <w:keepNext w:val="0"/>
        <w:keepLines w:val="0"/>
        <w:pageBreakBefore w:val="0"/>
        <w:numPr>
          <w:ilvl w:val="-1"/>
          <w:numId w:val="0"/>
        </w:numPr>
        <w:kinsoku/>
        <w:wordWrap/>
        <w:overflowPunct/>
        <w:topLinePunct w:val="0"/>
        <w:bidi w:val="0"/>
        <w:snapToGrid/>
        <w:spacing w:line="360" w:lineRule="auto"/>
        <w:ind w:firstLine="480" w:firstLineChars="200"/>
        <w:textAlignment w:val="auto"/>
        <w:rPr>
          <w:rFonts w:hint="eastAsia" w:ascii="宋体" w:hAnsi="宋体" w:eastAsia="宋体" w:cs="宋体"/>
          <w:b w:val="0"/>
          <w:bCs w:val="0"/>
          <w:strike w:val="0"/>
          <w:dstrike w:val="0"/>
          <w:color w:val="auto"/>
          <w:sz w:val="24"/>
          <w:szCs w:val="24"/>
          <w:highlight w:val="none"/>
          <w:lang w:val="en-US" w:eastAsia="zh-CN"/>
        </w:rPr>
      </w:pPr>
      <w:r>
        <w:rPr>
          <w:rFonts w:hint="eastAsia" w:ascii="微软雅黑" w:hAnsi="微软雅黑" w:eastAsia="微软雅黑" w:cs="微软雅黑"/>
          <w:b w:val="0"/>
          <w:bCs w:val="0"/>
          <w:strike w:val="0"/>
          <w:dstrike w:val="0"/>
          <w:color w:val="auto"/>
          <w:sz w:val="24"/>
          <w:szCs w:val="24"/>
          <w:highlight w:val="none"/>
          <w:lang w:val="en-US" w:eastAsia="zh-CN"/>
        </w:rPr>
        <w:t>②</w:t>
      </w:r>
      <w:r>
        <w:rPr>
          <w:rFonts w:hint="eastAsia" w:ascii="宋体" w:hAnsi="宋体" w:eastAsia="宋体" w:cs="宋体"/>
          <w:b w:val="0"/>
          <w:bCs w:val="0"/>
          <w:strike w:val="0"/>
          <w:dstrike w:val="0"/>
          <w:color w:val="auto"/>
          <w:sz w:val="24"/>
          <w:szCs w:val="24"/>
          <w:highlight w:val="none"/>
          <w:lang w:val="en-US" w:eastAsia="zh-CN"/>
        </w:rPr>
        <w:t>因地震、洪水、台风、政府管控等不可抗力无法按期供货，供应商须第一时间告知采购人，并于 15 日内提交官方证明材料，双方协商延期、部分履行或免责。</w:t>
      </w:r>
    </w:p>
    <w:p w14:paraId="5CDF1C1E">
      <w:pPr>
        <w:keepNext w:val="0"/>
        <w:keepLines w:val="0"/>
        <w:pageBreakBefore w:val="0"/>
        <w:numPr>
          <w:ilvl w:val="-1"/>
          <w:numId w:val="0"/>
        </w:numPr>
        <w:kinsoku/>
        <w:wordWrap/>
        <w:overflowPunct/>
        <w:topLinePunct w:val="0"/>
        <w:bidi w:val="0"/>
        <w:snapToGrid/>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strike w:val="0"/>
          <w:dstrike w:val="0"/>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验收方式：</w:t>
      </w:r>
      <w:r>
        <w:rPr>
          <w:rFonts w:hint="eastAsia" w:ascii="宋体" w:hAnsi="宋体" w:eastAsia="宋体" w:cs="宋体"/>
          <w:color w:val="auto"/>
          <w:sz w:val="24"/>
          <w:szCs w:val="24"/>
          <w:highlight w:val="none"/>
          <w:lang w:val="en-US" w:eastAsia="zh-CN"/>
        </w:rPr>
        <w:t>现场清点验收 + 抽样送检，验收标准执行国家食品安全规范、合同约定、厂家产品质量标准</w:t>
      </w:r>
      <w:r>
        <w:rPr>
          <w:rFonts w:hint="eastAsia" w:ascii="宋体" w:hAnsi="宋体" w:cs="宋体"/>
          <w:color w:val="auto"/>
          <w:sz w:val="24"/>
          <w:szCs w:val="24"/>
          <w:highlight w:val="none"/>
          <w:lang w:val="en-US" w:eastAsia="zh-CN"/>
        </w:rPr>
        <w:t>。</w:t>
      </w:r>
    </w:p>
    <w:p w14:paraId="766E7BD0">
      <w:pPr>
        <w:keepNext w:val="0"/>
        <w:keepLines w:val="0"/>
        <w:pageBreakBefore w:val="0"/>
        <w:widowControl w:val="0"/>
        <w:kinsoku/>
        <w:wordWrap/>
        <w:overflowPunct w:val="0"/>
        <w:topLinePunct w:val="0"/>
        <w:autoSpaceDE w:val="0"/>
        <w:autoSpaceDN w:val="0"/>
        <w:bidi w:val="0"/>
        <w:adjustRightInd w:val="0"/>
        <w:snapToGrid/>
        <w:spacing w:line="360" w:lineRule="auto"/>
        <w:ind w:firstLine="482"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8"/>
          <w:sz w:val="24"/>
          <w:szCs w:val="24"/>
          <w:highlight w:val="none"/>
          <w:lang w:val="en-US" w:eastAsia="zh-CN" w:bidi="ar-SA"/>
        </w:rPr>
        <w:t>8.履约保证金：</w:t>
      </w:r>
      <w:r>
        <w:rPr>
          <w:rFonts w:hint="eastAsia" w:ascii="宋体" w:hAnsi="宋体" w:eastAsia="宋体" w:cs="宋体"/>
          <w:b w:val="0"/>
          <w:bCs w:val="0"/>
          <w:color w:val="auto"/>
          <w:kern w:val="28"/>
          <w:sz w:val="24"/>
          <w:szCs w:val="24"/>
          <w:highlight w:val="none"/>
          <w:lang w:val="en-US" w:eastAsia="zh-CN" w:bidi="ar-SA"/>
        </w:rPr>
        <w:t>履约保证金为合同成交总金额的 10%。成交供应商可选择现金转账、银行保函、国企担保保函形式，于合同签订前足额提交。履约担保有效期至全部供货验收合格，供应商提交书面退款申请后 28 个日历天内无息全额退还。保函需支持互联网官网无授权核验真伪，保函文本标注官方核验网址。</w:t>
      </w:r>
    </w:p>
    <w:p w14:paraId="34A4BA5A">
      <w:pPr>
        <w:keepNext w:val="0"/>
        <w:keepLines w:val="0"/>
        <w:pageBreakBefore w:val="0"/>
        <w:kinsoku/>
        <w:wordWrap/>
        <w:topLinePunct w:val="0"/>
        <w:bidi w:val="0"/>
        <w:snapToGrid/>
        <w:spacing w:line="360" w:lineRule="auto"/>
        <w:ind w:left="0" w:right="0" w:firstLine="482" w:firstLineChars="200"/>
        <w:jc w:val="both"/>
        <w:outlineLvl w:val="9"/>
        <w:rPr>
          <w:rFonts w:hint="eastAsia" w:ascii="宋体" w:hAnsi="宋体" w:eastAsia="宋体" w:cs="宋体"/>
          <w:b/>
          <w:bCs/>
          <w:color w:val="auto"/>
          <w:kern w:val="28"/>
          <w:sz w:val="24"/>
          <w:szCs w:val="24"/>
          <w:highlight w:val="none"/>
          <w:lang w:val="en-US" w:eastAsia="zh-CN" w:bidi="ar-SA"/>
        </w:rPr>
      </w:pPr>
      <w:r>
        <w:rPr>
          <w:rFonts w:hint="eastAsia" w:ascii="宋体" w:hAnsi="宋体" w:eastAsia="宋体" w:cs="宋体"/>
          <w:b/>
          <w:bCs/>
          <w:color w:val="auto"/>
          <w:kern w:val="28"/>
          <w:sz w:val="24"/>
          <w:szCs w:val="24"/>
          <w:highlight w:val="none"/>
          <w:lang w:val="en-US" w:eastAsia="zh-CN" w:bidi="ar-SA"/>
        </w:rPr>
        <w:t>9.付款方式：</w:t>
      </w:r>
    </w:p>
    <w:tbl>
      <w:tblPr>
        <w:tblStyle w:val="9"/>
        <w:tblW w:w="5055"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261"/>
        <w:gridCol w:w="1721"/>
        <w:gridCol w:w="6997"/>
      </w:tblGrid>
      <w:tr w14:paraId="6A9CE1F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70" w:hRule="atLeast"/>
          <w:tblHeader/>
        </w:trPr>
        <w:tc>
          <w:tcPr>
            <w:tcW w:w="63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028E8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Cs w:val="24"/>
                <w:highlight w:val="none"/>
              </w:rPr>
            </w:pPr>
            <w:r>
              <w:rPr>
                <w:rFonts w:ascii="宋体" w:hAnsi="宋体" w:eastAsia="宋体" w:cs="宋体"/>
                <w:color w:val="auto"/>
                <w:kern w:val="0"/>
                <w:sz w:val="24"/>
                <w:szCs w:val="24"/>
                <w:highlight w:val="none"/>
              </w:rPr>
              <w:t>支付期次</w:t>
            </w:r>
          </w:p>
        </w:tc>
        <w:tc>
          <w:tcPr>
            <w:tcW w:w="86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8F78E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Cs w:val="24"/>
                <w:highlight w:val="none"/>
              </w:rPr>
            </w:pPr>
            <w:r>
              <w:rPr>
                <w:rFonts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val="en-US" w:eastAsia="zh-CN"/>
              </w:rPr>
              <w:t>比例</w:t>
            </w:r>
            <w:r>
              <w:rPr>
                <w:rFonts w:ascii="宋体" w:hAnsi="宋体" w:eastAsia="宋体" w:cs="宋体"/>
                <w:color w:val="auto"/>
                <w:kern w:val="0"/>
                <w:sz w:val="24"/>
                <w:szCs w:val="24"/>
                <w:highlight w:val="none"/>
              </w:rPr>
              <w:t>(%)</w:t>
            </w:r>
          </w:p>
        </w:tc>
        <w:tc>
          <w:tcPr>
            <w:tcW w:w="350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D2EF3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Cs w:val="24"/>
                <w:highlight w:val="none"/>
              </w:rPr>
            </w:pPr>
            <w:r>
              <w:rPr>
                <w:rFonts w:ascii="宋体" w:hAnsi="宋体" w:eastAsia="宋体" w:cs="宋体"/>
                <w:color w:val="auto"/>
                <w:kern w:val="0"/>
                <w:sz w:val="24"/>
                <w:szCs w:val="24"/>
                <w:highlight w:val="none"/>
              </w:rPr>
              <w:t>支付期次说明</w:t>
            </w:r>
          </w:p>
        </w:tc>
      </w:tr>
      <w:tr w14:paraId="121AAAC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632" w:type="pct"/>
            <w:tcBorders>
              <w:top w:val="single" w:color="666666" w:sz="6" w:space="0"/>
              <w:left w:val="single" w:color="666666" w:sz="6" w:space="0"/>
              <w:bottom w:val="single" w:color="666666" w:sz="6" w:space="0"/>
              <w:right w:val="single" w:color="666666" w:sz="6" w:space="0"/>
            </w:tcBorders>
            <w:shd w:val="clear" w:color="auto" w:fill="auto"/>
            <w:noWrap w:val="0"/>
            <w:vAlign w:val="center"/>
          </w:tcPr>
          <w:p w14:paraId="01E33F59">
            <w:pPr>
              <w:pStyle w:val="3"/>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1</w:t>
            </w:r>
          </w:p>
        </w:tc>
        <w:tc>
          <w:tcPr>
            <w:tcW w:w="862" w:type="pct"/>
            <w:tcBorders>
              <w:top w:val="single" w:color="666666" w:sz="6" w:space="0"/>
              <w:left w:val="single" w:color="666666" w:sz="6" w:space="0"/>
              <w:bottom w:val="single" w:color="666666" w:sz="6" w:space="0"/>
              <w:right w:val="single" w:color="666666" w:sz="6" w:space="0"/>
            </w:tcBorders>
            <w:shd w:val="clear" w:color="auto" w:fill="auto"/>
            <w:noWrap w:val="0"/>
            <w:vAlign w:val="center"/>
          </w:tcPr>
          <w:p w14:paraId="16DA671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w:t>
            </w:r>
          </w:p>
        </w:tc>
        <w:tc>
          <w:tcPr>
            <w:tcW w:w="3505" w:type="pct"/>
            <w:tcBorders>
              <w:top w:val="single" w:color="666666" w:sz="6" w:space="0"/>
              <w:left w:val="single" w:color="666666" w:sz="6" w:space="0"/>
              <w:bottom w:val="single" w:color="666666" w:sz="6" w:space="0"/>
              <w:right w:val="single" w:color="666666" w:sz="6" w:space="0"/>
            </w:tcBorders>
            <w:shd w:val="clear" w:color="auto" w:fill="auto"/>
            <w:noWrap w:val="0"/>
            <w:vAlign w:val="center"/>
          </w:tcPr>
          <w:p w14:paraId="0993ED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支付方式：</w:t>
            </w:r>
            <w:r>
              <w:rPr>
                <w:rFonts w:ascii="宋体" w:hAnsi="宋体" w:eastAsia="宋体" w:cs="宋体"/>
                <w:color w:val="auto"/>
                <w:sz w:val="24"/>
                <w:szCs w:val="24"/>
                <w:highlight w:val="none"/>
              </w:rPr>
              <w:t>按季度付款，以银行转账方式支付货款，</w:t>
            </w:r>
            <w:r>
              <w:rPr>
                <w:rFonts w:hint="eastAsia" w:ascii="宋体" w:hAnsi="宋体" w:cs="宋体"/>
                <w:color w:val="auto"/>
                <w:sz w:val="24"/>
                <w:szCs w:val="24"/>
                <w:highlight w:val="none"/>
                <w:lang w:val="en-US" w:eastAsia="zh-CN"/>
              </w:rPr>
              <w:t>委托人</w:t>
            </w:r>
            <w:r>
              <w:rPr>
                <w:rFonts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成交人</w:t>
            </w:r>
            <w:r>
              <w:rPr>
                <w:rFonts w:ascii="宋体" w:hAnsi="宋体" w:eastAsia="宋体" w:cs="宋体"/>
                <w:color w:val="auto"/>
                <w:sz w:val="24"/>
                <w:szCs w:val="24"/>
                <w:highlight w:val="none"/>
              </w:rPr>
              <w:t>实际供货情况据实结算货款。</w:t>
            </w:r>
          </w:p>
          <w:p w14:paraId="6EA41B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实际结算原则：本季度经</w:t>
            </w:r>
            <w:r>
              <w:rPr>
                <w:rFonts w:hint="eastAsia" w:ascii="宋体" w:hAnsi="宋体" w:cs="宋体"/>
                <w:color w:val="auto"/>
                <w:sz w:val="24"/>
                <w:szCs w:val="24"/>
                <w:highlight w:val="none"/>
                <w:lang w:val="en-US" w:eastAsia="zh-CN"/>
              </w:rPr>
              <w:t>委托人</w:t>
            </w:r>
            <w:r>
              <w:rPr>
                <w:rFonts w:ascii="宋体" w:hAnsi="宋体" w:eastAsia="宋体" w:cs="宋体"/>
                <w:color w:val="auto"/>
                <w:sz w:val="24"/>
                <w:szCs w:val="24"/>
                <w:highlight w:val="none"/>
              </w:rPr>
              <w:t>验收合格的矿泉水实际供货数量×中标固定含税单价；中标单价合同履行期内不作调整，供货数量以双方共同签字确认的到货验收单据为结算依据。</w:t>
            </w:r>
          </w:p>
          <w:p w14:paraId="0D359E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成交人</w:t>
            </w:r>
            <w:r>
              <w:rPr>
                <w:rFonts w:ascii="宋体" w:hAnsi="宋体" w:eastAsia="宋体" w:cs="宋体"/>
                <w:color w:val="auto"/>
                <w:sz w:val="24"/>
                <w:szCs w:val="24"/>
                <w:highlight w:val="none"/>
              </w:rPr>
              <w:t>完成全部供货，货物经</w:t>
            </w:r>
            <w:r>
              <w:rPr>
                <w:rFonts w:hint="eastAsia" w:ascii="宋体" w:hAnsi="宋体" w:cs="宋体"/>
                <w:color w:val="auto"/>
                <w:sz w:val="24"/>
                <w:szCs w:val="24"/>
                <w:highlight w:val="none"/>
                <w:lang w:eastAsia="zh-CN"/>
              </w:rPr>
              <w:t>委托人</w:t>
            </w:r>
            <w:r>
              <w:rPr>
                <w:rFonts w:ascii="宋体" w:hAnsi="宋体" w:eastAsia="宋体" w:cs="宋体"/>
                <w:color w:val="auto"/>
                <w:sz w:val="24"/>
                <w:szCs w:val="24"/>
                <w:highlight w:val="none"/>
              </w:rPr>
              <w:t>验收合格并交付使用，且</w:t>
            </w:r>
            <w:r>
              <w:rPr>
                <w:rFonts w:hint="eastAsia" w:ascii="宋体" w:hAnsi="宋体" w:cs="宋体"/>
                <w:color w:val="auto"/>
                <w:sz w:val="24"/>
                <w:szCs w:val="24"/>
                <w:highlight w:val="none"/>
                <w:lang w:eastAsia="zh-CN"/>
              </w:rPr>
              <w:t>成交人</w:t>
            </w:r>
            <w:r>
              <w:rPr>
                <w:rFonts w:ascii="宋体" w:hAnsi="宋体" w:eastAsia="宋体" w:cs="宋体"/>
                <w:color w:val="auto"/>
                <w:sz w:val="24"/>
                <w:szCs w:val="24"/>
                <w:highlight w:val="none"/>
              </w:rPr>
              <w:t>足额提供对应发票后，</w:t>
            </w:r>
            <w:r>
              <w:rPr>
                <w:rFonts w:hint="eastAsia" w:ascii="宋体" w:hAnsi="宋体" w:cs="宋体"/>
                <w:color w:val="auto"/>
                <w:sz w:val="24"/>
                <w:szCs w:val="24"/>
                <w:highlight w:val="none"/>
                <w:lang w:eastAsia="zh-CN"/>
              </w:rPr>
              <w:t>委托人</w:t>
            </w:r>
            <w:r>
              <w:rPr>
                <w:rFonts w:ascii="宋体" w:hAnsi="宋体" w:eastAsia="宋体" w:cs="宋体"/>
                <w:color w:val="auto"/>
                <w:sz w:val="24"/>
                <w:szCs w:val="24"/>
                <w:highlight w:val="none"/>
              </w:rPr>
              <w:t>于</w:t>
            </w:r>
            <w:r>
              <w:rPr>
                <w:rFonts w:hint="eastAsia" w:ascii="宋体" w:hAnsi="宋体" w:eastAsia="宋体" w:cs="宋体"/>
                <w:color w:val="auto"/>
                <w:sz w:val="24"/>
                <w:szCs w:val="24"/>
                <w:highlight w:val="none"/>
                <w:lang w:val="en-US" w:eastAsia="zh-CN"/>
              </w:rPr>
              <w:t>20</w:t>
            </w:r>
            <w:r>
              <w:rPr>
                <w:rFonts w:ascii="宋体" w:hAnsi="宋体" w:eastAsia="宋体" w:cs="宋体"/>
                <w:color w:val="auto"/>
                <w:sz w:val="24"/>
                <w:szCs w:val="24"/>
                <w:highlight w:val="none"/>
              </w:rPr>
              <w:t>个工作日内一次性付清全款</w:t>
            </w:r>
            <w:r>
              <w:rPr>
                <w:rFonts w:hint="eastAsia" w:ascii="宋体" w:hAnsi="宋体" w:eastAsia="宋体" w:cs="宋体"/>
                <w:color w:val="auto"/>
                <w:sz w:val="24"/>
                <w:szCs w:val="24"/>
                <w:highlight w:val="none"/>
                <w:lang w:eastAsia="zh-CN"/>
              </w:rPr>
              <w:t>。</w:t>
            </w:r>
          </w:p>
        </w:tc>
      </w:tr>
    </w:tbl>
    <w:p w14:paraId="51A99069">
      <w:pPr>
        <w:keepNext w:val="0"/>
        <w:keepLines w:val="0"/>
        <w:pageBreakBefore w:val="0"/>
        <w:widowControl/>
        <w:numPr>
          <w:ilvl w:val="0"/>
          <w:numId w:val="0"/>
        </w:numPr>
        <w:kinsoku/>
        <w:wordWrap/>
        <w:topLinePunct w:val="0"/>
        <w:bidi w:val="0"/>
        <w:snapToGrid/>
        <w:spacing w:line="360" w:lineRule="auto"/>
        <w:ind w:firstLine="480" w:firstLineChars="200"/>
        <w:rPr>
          <w:rFonts w:hint="eastAsia" w:eastAsia="宋体" w:asciiTheme="minorEastAsia" w:hAnsiTheme="minorEastAsia" w:cstheme="minorEastAsia"/>
          <w:b/>
          <w:bCs/>
          <w:color w:val="auto"/>
          <w:kern w:val="2"/>
          <w:sz w:val="24"/>
          <w:szCs w:val="24"/>
          <w:highlight w:val="none"/>
          <w:lang w:eastAsia="zh-CN"/>
        </w:rPr>
      </w:pPr>
      <w:r>
        <w:rPr>
          <w:rFonts w:hint="eastAsia" w:ascii="宋体" w:hAnsi="宋体" w:cs="宋体"/>
          <w:color w:val="auto"/>
          <w:kern w:val="0"/>
          <w:sz w:val="24"/>
          <w:highlight w:val="none"/>
          <w:lang w:eastAsia="zh-CN"/>
        </w:rPr>
        <w:t>委托人</w:t>
      </w:r>
      <w:r>
        <w:rPr>
          <w:rFonts w:hint="eastAsia" w:ascii="宋体" w:hAnsi="宋体" w:eastAsia="宋体" w:cs="宋体"/>
          <w:color w:val="auto"/>
          <w:kern w:val="0"/>
          <w:sz w:val="24"/>
          <w:highlight w:val="none"/>
        </w:rPr>
        <w:t>付款前</w:t>
      </w:r>
      <w:r>
        <w:rPr>
          <w:rFonts w:hint="eastAsia" w:ascii="宋体" w:hAnsi="宋体" w:cs="宋体"/>
          <w:color w:val="auto"/>
          <w:kern w:val="0"/>
          <w:sz w:val="24"/>
          <w:highlight w:val="none"/>
          <w:lang w:eastAsia="zh-CN"/>
        </w:rPr>
        <w:t>成交人</w:t>
      </w:r>
      <w:r>
        <w:rPr>
          <w:rFonts w:hint="eastAsia" w:ascii="宋体" w:hAnsi="宋体" w:eastAsia="宋体" w:cs="宋体"/>
          <w:color w:val="auto"/>
          <w:kern w:val="0"/>
          <w:sz w:val="24"/>
          <w:highlight w:val="none"/>
        </w:rPr>
        <w:t>应提供与支付期次等额的</w:t>
      </w:r>
      <w:r>
        <w:rPr>
          <w:rFonts w:hint="eastAsia" w:ascii="宋体" w:hAnsi="宋体" w:eastAsia="宋体" w:cs="宋体"/>
          <w:color w:val="auto"/>
          <w:kern w:val="0"/>
          <w:sz w:val="24"/>
          <w:highlight w:val="none"/>
          <w:lang w:val="en-US" w:eastAsia="zh-CN"/>
        </w:rPr>
        <w:t>增值税专用</w:t>
      </w:r>
      <w:r>
        <w:rPr>
          <w:rFonts w:hint="eastAsia" w:ascii="宋体" w:hAnsi="宋体" w:eastAsia="宋体" w:cs="宋体"/>
          <w:color w:val="auto"/>
          <w:kern w:val="0"/>
          <w:sz w:val="24"/>
          <w:highlight w:val="none"/>
        </w:rPr>
        <w:t>发票，</w:t>
      </w:r>
      <w:r>
        <w:rPr>
          <w:rFonts w:hint="eastAsia" w:ascii="宋体" w:hAnsi="宋体" w:cs="宋体"/>
          <w:color w:val="auto"/>
          <w:sz w:val="24"/>
          <w:szCs w:val="24"/>
          <w:highlight w:val="none"/>
          <w:lang w:eastAsia="zh-CN"/>
        </w:rPr>
        <w:t>成交人</w:t>
      </w:r>
      <w:r>
        <w:rPr>
          <w:rFonts w:ascii="宋体" w:hAnsi="宋体" w:eastAsia="宋体" w:cs="宋体"/>
          <w:color w:val="auto"/>
          <w:sz w:val="24"/>
          <w:szCs w:val="24"/>
          <w:highlight w:val="none"/>
        </w:rPr>
        <w:t>未按要求提供合规发票的，</w:t>
      </w:r>
      <w:r>
        <w:rPr>
          <w:rFonts w:hint="eastAsia" w:ascii="宋体" w:hAnsi="宋体" w:cs="宋体"/>
          <w:color w:val="auto"/>
          <w:sz w:val="24"/>
          <w:szCs w:val="24"/>
          <w:highlight w:val="none"/>
          <w:lang w:eastAsia="zh-CN"/>
        </w:rPr>
        <w:t>委托人</w:t>
      </w:r>
      <w:r>
        <w:rPr>
          <w:rFonts w:ascii="宋体" w:hAnsi="宋体" w:eastAsia="宋体" w:cs="宋体"/>
          <w:color w:val="auto"/>
          <w:sz w:val="24"/>
          <w:szCs w:val="24"/>
          <w:highlight w:val="none"/>
        </w:rPr>
        <w:t>有权顺延付款，且</w:t>
      </w:r>
      <w:r>
        <w:rPr>
          <w:rFonts w:hint="eastAsia" w:ascii="宋体" w:hAnsi="宋体" w:cs="宋体"/>
          <w:color w:val="auto"/>
          <w:sz w:val="24"/>
          <w:szCs w:val="24"/>
          <w:highlight w:val="none"/>
          <w:lang w:eastAsia="zh-CN"/>
        </w:rPr>
        <w:t>成交人</w:t>
      </w:r>
      <w:r>
        <w:rPr>
          <w:rFonts w:ascii="宋体" w:hAnsi="宋体" w:eastAsia="宋体" w:cs="宋体"/>
          <w:color w:val="auto"/>
          <w:sz w:val="24"/>
          <w:szCs w:val="24"/>
          <w:highlight w:val="none"/>
        </w:rPr>
        <w:t>需承担由此产生的全部损失</w:t>
      </w:r>
      <w:r>
        <w:rPr>
          <w:rFonts w:hint="eastAsia" w:ascii="宋体" w:hAnsi="宋体" w:cs="宋体"/>
          <w:color w:val="auto"/>
          <w:sz w:val="24"/>
          <w:szCs w:val="24"/>
          <w:highlight w:val="none"/>
          <w:lang w:eastAsia="zh-CN"/>
        </w:rPr>
        <w:t>。</w:t>
      </w:r>
    </w:p>
    <w:p w14:paraId="2D298F44">
      <w:pPr>
        <w:keepNext w:val="0"/>
        <w:keepLines w:val="0"/>
        <w:pageBreakBefore w:val="0"/>
        <w:kinsoku/>
        <w:wordWrap/>
        <w:topLinePunct w:val="0"/>
        <w:bidi w:val="0"/>
        <w:snapToGrid/>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255C65E5">
      <w:pPr>
        <w:keepNext w:val="0"/>
        <w:keepLines w:val="0"/>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r>
        <w:rPr>
          <w:rFonts w:hint="eastAsia" w:asciiTheme="minorEastAsia" w:hAnsiTheme="minorEastAsia" w:eastAsiaTheme="minorEastAsia" w:cstheme="minorEastAsia"/>
          <w:color w:val="auto"/>
          <w:sz w:val="24"/>
          <w:szCs w:val="24"/>
          <w:highlight w:val="none"/>
        </w:rPr>
        <w:t>遵守中华人民共和国法律、法规，且能够诚信经营，具有独立法人资格的竞价人或个体工商户均可能成为合格的竞价人,但已经被列入失信被执行人名单（截止报名时间）的除外</w:t>
      </w:r>
      <w:r>
        <w:rPr>
          <w:rFonts w:hint="eastAsia" w:asciiTheme="minorEastAsia" w:hAnsiTheme="minorEastAsia" w:eastAsiaTheme="minorEastAsia" w:cstheme="minorEastAsia"/>
          <w:color w:val="auto"/>
          <w:sz w:val="24"/>
          <w:szCs w:val="24"/>
          <w:highlight w:val="none"/>
          <w:lang w:eastAsia="zh-CN"/>
        </w:rPr>
        <w:t>。</w:t>
      </w:r>
    </w:p>
    <w:p w14:paraId="782E47C2">
      <w:pPr>
        <w:keepNext w:val="0"/>
        <w:keepLines w:val="0"/>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rPr>
        <w:t>竞价人必须具有履行合同所需的供货、</w:t>
      </w:r>
      <w:r>
        <w:rPr>
          <w:rFonts w:ascii="宋体" w:hAnsi="宋体" w:eastAsia="宋体" w:cs="宋体"/>
          <w:color w:val="auto"/>
          <w:sz w:val="24"/>
          <w:szCs w:val="24"/>
          <w:highlight w:val="none"/>
        </w:rPr>
        <w:t>装卸</w:t>
      </w:r>
      <w:r>
        <w:rPr>
          <w:rFonts w:hint="eastAsia" w:asciiTheme="minorEastAsia" w:hAnsiTheme="minorEastAsia" w:eastAsiaTheme="minorEastAsia" w:cstheme="minorEastAsia"/>
          <w:color w:val="auto"/>
          <w:sz w:val="24"/>
          <w:szCs w:val="24"/>
          <w:highlight w:val="none"/>
        </w:rPr>
        <w:t>及售后能力</w:t>
      </w:r>
      <w:r>
        <w:rPr>
          <w:rFonts w:hint="eastAsia" w:asciiTheme="minorEastAsia" w:hAnsiTheme="minorEastAsia" w:eastAsiaTheme="minorEastAsia" w:cstheme="minorEastAsia"/>
          <w:color w:val="auto"/>
          <w:sz w:val="24"/>
          <w:szCs w:val="24"/>
          <w:highlight w:val="none"/>
          <w:lang w:eastAsia="zh-CN"/>
        </w:rPr>
        <w:t>。</w:t>
      </w:r>
      <w:bookmarkStart w:id="0" w:name="_GoBack"/>
      <w:bookmarkEnd w:id="0"/>
    </w:p>
    <w:p w14:paraId="55CF2AFE">
      <w:pPr>
        <w:keepNext w:val="0"/>
        <w:keepLines w:val="0"/>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Theme="minorEastAsia" w:hAnsiTheme="minorEastAsia" w:eastAsiaTheme="minorEastAsia" w:cstheme="minorEastAsia"/>
          <w:color w:val="auto"/>
          <w:sz w:val="24"/>
          <w:szCs w:val="24"/>
          <w:highlight w:val="none"/>
        </w:rPr>
        <w:t>本场竞价须</w:t>
      </w:r>
      <w:r>
        <w:rPr>
          <w:rFonts w:hint="eastAsia" w:asciiTheme="minorEastAsia" w:hAnsiTheme="minorEastAsia" w:eastAsiaTheme="minorEastAsia" w:cstheme="minorEastAsia"/>
          <w:color w:val="auto"/>
          <w:sz w:val="24"/>
          <w:szCs w:val="24"/>
          <w:highlight w:val="none"/>
          <w:lang w:eastAsia="zh-CN"/>
        </w:rPr>
        <w:t>三家</w:t>
      </w:r>
      <w:r>
        <w:rPr>
          <w:rFonts w:hint="eastAsia" w:asciiTheme="minorEastAsia" w:hAnsiTheme="minorEastAsia" w:eastAsiaTheme="minorEastAsia" w:cstheme="minorEastAsia"/>
          <w:color w:val="auto"/>
          <w:sz w:val="24"/>
          <w:szCs w:val="24"/>
          <w:highlight w:val="none"/>
        </w:rPr>
        <w:t>及以上竞价人在规定时间内参与竞价，如果在规定时间内参与竞价的竞价人不足</w:t>
      </w:r>
      <w:r>
        <w:rPr>
          <w:rFonts w:hint="eastAsia" w:asciiTheme="minorEastAsia" w:hAnsiTheme="minorEastAsia" w:eastAsiaTheme="minorEastAsia" w:cstheme="minorEastAsia"/>
          <w:color w:val="auto"/>
          <w:sz w:val="24"/>
          <w:szCs w:val="24"/>
          <w:highlight w:val="none"/>
          <w:lang w:eastAsia="zh-CN"/>
        </w:rPr>
        <w:t>三家</w:t>
      </w:r>
      <w:r>
        <w:rPr>
          <w:rFonts w:hint="eastAsia" w:asciiTheme="minorEastAsia" w:hAnsiTheme="minorEastAsia" w:eastAsiaTheme="minorEastAsia" w:cstheme="minorEastAsia"/>
          <w:color w:val="auto"/>
          <w:sz w:val="24"/>
          <w:szCs w:val="24"/>
          <w:highlight w:val="none"/>
        </w:rPr>
        <w:t>，则按流标处理，竞价人不得有异议。</w:t>
      </w:r>
    </w:p>
    <w:p w14:paraId="43554C55">
      <w:pPr>
        <w:keepNext w:val="0"/>
        <w:keepLines w:val="0"/>
        <w:pageBreakBefore w:val="0"/>
        <w:kinsoku/>
        <w:wordWrap/>
        <w:topLinePunct w:val="0"/>
        <w:bidi w:val="0"/>
        <w:snapToGrid/>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0565F9F0">
      <w:pPr>
        <w:keepNext w:val="0"/>
        <w:keepLines w:val="0"/>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sz w:val="24"/>
          <w:szCs w:val="24"/>
          <w:highlight w:val="none"/>
          <w:shd w:val="clear"/>
          <w:lang w:val="en-US" w:eastAsia="zh-CN"/>
        </w:rPr>
        <w:t>3000</w:t>
      </w:r>
      <w:r>
        <w:rPr>
          <w:rFonts w:hint="eastAsia" w:asciiTheme="minorEastAsia" w:hAnsiTheme="minorEastAsia" w:eastAsiaTheme="minorEastAsia" w:cstheme="minorEastAsia"/>
          <w:color w:val="auto"/>
          <w:sz w:val="24"/>
          <w:szCs w:val="24"/>
          <w:highlight w:val="none"/>
          <w:shd w:val="clear"/>
        </w:rPr>
        <w:t>元，必须于2026年</w:t>
      </w:r>
      <w:r>
        <w:rPr>
          <w:rFonts w:hint="eastAsia" w:asciiTheme="minorEastAsia" w:hAnsiTheme="minorEastAsia" w:eastAsiaTheme="minorEastAsia" w:cstheme="minorEastAsia"/>
          <w:color w:val="auto"/>
          <w:sz w:val="24"/>
          <w:szCs w:val="24"/>
          <w:highlight w:val="none"/>
          <w:shd w:val="clear"/>
          <w:lang w:val="en-US" w:eastAsia="zh-CN"/>
        </w:rPr>
        <w:t>7</w:t>
      </w:r>
      <w:r>
        <w:rPr>
          <w:rFonts w:hint="eastAsia" w:asciiTheme="minorEastAsia" w:hAnsiTheme="minorEastAsia" w:eastAsiaTheme="minorEastAsia" w:cstheme="minorEastAsia"/>
          <w:color w:val="auto"/>
          <w:sz w:val="24"/>
          <w:szCs w:val="24"/>
          <w:highlight w:val="none"/>
          <w:shd w:val="clear"/>
        </w:rPr>
        <w:t>月</w:t>
      </w:r>
      <w:r>
        <w:rPr>
          <w:rFonts w:hint="eastAsia" w:asciiTheme="minorEastAsia" w:hAnsiTheme="minorEastAsia" w:eastAsiaTheme="minorEastAsia" w:cstheme="minorEastAsia"/>
          <w:color w:val="auto"/>
          <w:sz w:val="24"/>
          <w:szCs w:val="24"/>
          <w:highlight w:val="none"/>
          <w:shd w:val="clear"/>
          <w:lang w:val="en-US" w:eastAsia="zh-CN"/>
        </w:rPr>
        <w:t>20日</w:t>
      </w:r>
      <w:r>
        <w:rPr>
          <w:rFonts w:hint="eastAsia" w:asciiTheme="minorEastAsia" w:hAnsiTheme="minorEastAsia" w:eastAsiaTheme="minorEastAsia" w:cstheme="minorEastAsia"/>
          <w:color w:val="auto"/>
          <w:sz w:val="24"/>
          <w:szCs w:val="24"/>
          <w:highlight w:val="none"/>
          <w:shd w:val="clear"/>
        </w:rPr>
        <w:t>上午10：00前转入平台系统指定账户，以实际到账为准（户名：福建随行软件有限公司，开户行：招商银行福州分行营业部，账号：在线获取保证金子账号）报名参加的竞价人与缴交竞价保证金的名称要一致。竞价保证金缴至以上账户时，交款单中“款项来源”或“用途”一栏内须填写“****人的竞价保证金”。</w:t>
      </w:r>
    </w:p>
    <w:p w14:paraId="6927092E">
      <w:pPr>
        <w:keepNext w:val="0"/>
        <w:keepLines w:val="0"/>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38683198">
      <w:pPr>
        <w:keepNext w:val="0"/>
        <w:keepLines w:val="0"/>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5B367DD">
      <w:pPr>
        <w:keepNext w:val="0"/>
        <w:keepLines w:val="0"/>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6DFFCF57">
      <w:pPr>
        <w:keepNext w:val="0"/>
        <w:keepLines w:val="0"/>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78663662">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027A2BE1">
      <w:pPr>
        <w:keepNext w:val="0"/>
        <w:keepLines w:val="0"/>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营业执照副本、法定代表人身份证复印件；</w:t>
      </w:r>
    </w:p>
    <w:p w14:paraId="70B9C896">
      <w:pPr>
        <w:keepNext w:val="0"/>
        <w:keepLines w:val="0"/>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签订完整的承诺书（详见《网络竞价须知》附件）；</w:t>
      </w:r>
    </w:p>
    <w:p w14:paraId="55286B3F">
      <w:pPr>
        <w:keepNext w:val="0"/>
        <w:keepLines w:val="0"/>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已缴纳竞价保证金</w:t>
      </w:r>
      <w:r>
        <w:rPr>
          <w:rFonts w:hint="eastAsia" w:asciiTheme="minorEastAsia" w:hAnsiTheme="minorEastAsia" w:eastAsiaTheme="minorEastAsia" w:cstheme="minorEastAsia"/>
          <w:color w:val="auto"/>
          <w:kern w:val="2"/>
          <w:sz w:val="24"/>
          <w:szCs w:val="24"/>
          <w:highlight w:val="none"/>
          <w:lang w:val="en-US" w:eastAsia="zh-CN"/>
        </w:rPr>
        <w:t>的</w:t>
      </w:r>
      <w:r>
        <w:rPr>
          <w:rFonts w:hint="eastAsia" w:asciiTheme="minorEastAsia" w:hAnsiTheme="minorEastAsia" w:eastAsiaTheme="minorEastAsia" w:cstheme="minorEastAsia"/>
          <w:color w:val="auto"/>
          <w:kern w:val="2"/>
          <w:sz w:val="24"/>
          <w:szCs w:val="24"/>
          <w:highlight w:val="none"/>
        </w:rPr>
        <w:t>凭证；</w:t>
      </w:r>
    </w:p>
    <w:p w14:paraId="6F4C2615">
      <w:pPr>
        <w:keepNext w:val="0"/>
        <w:keepLines w:val="0"/>
        <w:pageBreakBefore w:val="0"/>
        <w:widowControl/>
        <w:kinsoku/>
        <w:wordWrap/>
        <w:topLinePunct w:val="0"/>
        <w:bidi w:val="0"/>
        <w:snapToGrid/>
        <w:spacing w:line="360" w:lineRule="auto"/>
        <w:ind w:firstLine="480" w:firstLineChars="200"/>
        <w:rPr>
          <w:rFonts w:hint="default"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填写报价的分项报价表；</w:t>
      </w:r>
    </w:p>
    <w:p w14:paraId="2447EA04">
      <w:pPr>
        <w:keepNext w:val="0"/>
        <w:keepLines w:val="0"/>
        <w:pageBreakBefore w:val="0"/>
        <w:widowControl/>
        <w:numPr>
          <w:ilvl w:val="-1"/>
          <w:numId w:val="0"/>
        </w:numPr>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在参加本次采购活动前3年内在经营活动中没有重大违法记录的书面声明（格式自拟）；</w:t>
      </w:r>
    </w:p>
    <w:p w14:paraId="51EA6896">
      <w:pPr>
        <w:keepNext w:val="0"/>
        <w:keepLines w:val="0"/>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通过“信用中国”网（www.creditchina.gov.cn）或中国政府采购网（www.ccgp.gov.cn）信用信息查询无严重违法失信行为信息记录的打印件（或截图）</w:t>
      </w:r>
      <w:r>
        <w:rPr>
          <w:rFonts w:hint="eastAsia" w:asciiTheme="minorEastAsia" w:hAnsiTheme="minorEastAsia" w:eastAsiaTheme="minorEastAsia" w:cstheme="minorEastAsia"/>
          <w:color w:val="auto"/>
          <w:kern w:val="2"/>
          <w:sz w:val="24"/>
          <w:szCs w:val="24"/>
          <w:highlight w:val="none"/>
          <w:lang w:eastAsia="zh-CN"/>
        </w:rPr>
        <w:t>。</w:t>
      </w:r>
    </w:p>
    <w:p w14:paraId="218AF4E4">
      <w:pPr>
        <w:keepNext w:val="0"/>
        <w:keepLines w:val="0"/>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如法定代表人无法亲自到现场办理竞价手续的，应提供《授权委托书》原件和委托代理人身份证复印件。</w:t>
      </w:r>
    </w:p>
    <w:p w14:paraId="5EA87D0A">
      <w:pPr>
        <w:keepNext w:val="0"/>
        <w:keepLines w:val="0"/>
        <w:pageBreakBefore w:val="0"/>
        <w:widowControl/>
        <w:kinsoku/>
        <w:wordWrap/>
        <w:topLinePunct w:val="0"/>
        <w:bidi w:val="0"/>
        <w:snapToGrid/>
        <w:spacing w:line="360" w:lineRule="auto"/>
        <w:ind w:left="0" w:firstLine="480" w:firstLineChars="200"/>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以上材料复印件须加盖公章</w:t>
      </w:r>
      <w:r>
        <w:rPr>
          <w:rFonts w:hint="eastAsia" w:asciiTheme="minorEastAsia" w:hAnsiTheme="minorEastAsia" w:eastAsiaTheme="minorEastAsia" w:cstheme="minorEastAsia"/>
          <w:color w:val="auto"/>
          <w:kern w:val="2"/>
          <w:sz w:val="24"/>
          <w:szCs w:val="24"/>
          <w:highlight w:val="none"/>
          <w:lang w:eastAsia="zh-CN"/>
        </w:rPr>
        <w:t>。</w:t>
      </w:r>
    </w:p>
    <w:p w14:paraId="7306437B">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76A9B95F">
      <w:pPr>
        <w:keepNext w:val="0"/>
        <w:keepLines w:val="0"/>
        <w:pageBreakBefore w:val="0"/>
        <w:widowControl/>
        <w:shd w:val="clear"/>
        <w:kinsoku/>
        <w:wordWrap/>
        <w:topLinePunct w:val="0"/>
        <w:bidi w:val="0"/>
        <w:snapToGrid/>
        <w:spacing w:before="0"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w:t>
      </w:r>
      <w:r>
        <w:rPr>
          <w:rFonts w:hint="eastAsia" w:asciiTheme="minorEastAsia" w:hAnsiTheme="minorEastAsia" w:eastAsiaTheme="minorEastAsia" w:cstheme="minorEastAsia"/>
          <w:b/>
          <w:bCs/>
          <w:color w:val="auto"/>
          <w:kern w:val="2"/>
          <w:sz w:val="24"/>
          <w:szCs w:val="24"/>
          <w:highlight w:val="none"/>
          <w:shd w:val="clear"/>
          <w:lang w:eastAsia="zh-CN"/>
        </w:rPr>
        <w:t>。</w:t>
      </w:r>
    </w:p>
    <w:p w14:paraId="6CED6265">
      <w:pPr>
        <w:keepNext w:val="0"/>
        <w:keepLines w:val="0"/>
        <w:pageBreakBefore w:val="0"/>
        <w:widowControl/>
        <w:shd w:val="clear"/>
        <w:kinsoku/>
        <w:wordWrap/>
        <w:topLinePunct w:val="0"/>
        <w:bidi w:val="0"/>
        <w:snapToGrid/>
        <w:spacing w:before="0" w:line="360" w:lineRule="auto"/>
        <w:ind w:firstLine="482"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（https://lcyjy.enjoy5191.com/home）。若因系统原因无法上传报名材料，可通过现场递交或邮件（邮箱地址:lccqjyw20251@163.com）的方式提交。</w:t>
      </w:r>
    </w:p>
    <w:p w14:paraId="57BC8ADD">
      <w:pPr>
        <w:keepNext w:val="0"/>
        <w:keepLines w:val="0"/>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59F1D125">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57EAEFB8">
      <w:pPr>
        <w:keepNext w:val="0"/>
        <w:keepLines w:val="0"/>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7726D1DC">
      <w:pPr>
        <w:keepNext w:val="0"/>
        <w:keepLines w:val="0"/>
        <w:pageBreakBefore w:val="0"/>
        <w:widowControl/>
        <w:kinsoku/>
        <w:wordWrap/>
        <w:topLinePunct w:val="0"/>
        <w:bidi w:val="0"/>
        <w:snapToGrid/>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7E00E43">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00C9AC07">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w:t>
      </w:r>
      <w:r>
        <w:rPr>
          <w:rFonts w:hint="eastAsia" w:asciiTheme="minorEastAsia" w:hAnsiTheme="minorEastAsia" w:eastAsiaTheme="minorEastAsia" w:cstheme="minorEastAsia"/>
          <w:color w:val="auto"/>
          <w:kern w:val="2"/>
          <w:sz w:val="24"/>
          <w:szCs w:val="24"/>
          <w:highlight w:val="none"/>
          <w:shd w:val="clear"/>
          <w:lang w:val="en-US" w:eastAsia="zh-CN"/>
        </w:rPr>
        <w:t>竞价保证金</w:t>
      </w:r>
      <w:r>
        <w:rPr>
          <w:rFonts w:hint="eastAsia" w:asciiTheme="minorEastAsia" w:hAnsiTheme="minorEastAsia" w:eastAsiaTheme="minorEastAsia" w:cstheme="minorEastAsia"/>
          <w:color w:val="auto"/>
          <w:kern w:val="2"/>
          <w:sz w:val="24"/>
          <w:szCs w:val="24"/>
          <w:highlight w:val="none"/>
          <w:shd w:val="clear"/>
          <w:lang w:val="en-US" w:eastAsia="zh-CN"/>
        </w:rPr>
        <w:t>的竞价人为成交人；若有两个或两个以上的报价相等，报价时间相同，且缴纳竞价保证金时间相同时，则以报名时先提交报名材料的竞价人为成交人。</w:t>
      </w:r>
    </w:p>
    <w:p w14:paraId="7FFC4C07">
      <w:pPr>
        <w:keepNext w:val="0"/>
        <w:keepLines w:val="0"/>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4</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应以</w:t>
      </w:r>
      <w:r>
        <w:rPr>
          <w:rFonts w:hint="eastAsia" w:asciiTheme="minorEastAsia" w:hAnsiTheme="minorEastAsia" w:eastAsiaTheme="minorEastAsia" w:cstheme="minorEastAsia"/>
          <w:b/>
          <w:bCs/>
          <w:color w:val="auto"/>
          <w:kern w:val="2"/>
          <w:sz w:val="24"/>
          <w:szCs w:val="24"/>
          <w:highlight w:val="none"/>
          <w:shd w:val="clear"/>
          <w:lang w:val="en-US" w:eastAsia="zh-CN"/>
        </w:rPr>
        <w:t>服务费总价</w:t>
      </w:r>
      <w:r>
        <w:rPr>
          <w:rFonts w:hint="eastAsia" w:asciiTheme="minorEastAsia" w:hAnsiTheme="minorEastAsia" w:eastAsiaTheme="minorEastAsia" w:cstheme="minorEastAsia"/>
          <w:b/>
          <w:bCs/>
          <w:color w:val="auto"/>
          <w:kern w:val="2"/>
          <w:sz w:val="24"/>
          <w:szCs w:val="24"/>
          <w:highlight w:val="none"/>
          <w:shd w:val="clear"/>
        </w:rPr>
        <w:t>进行报价，竞价系统设置的价格</w:t>
      </w:r>
      <w:r>
        <w:rPr>
          <w:rFonts w:hint="eastAsia" w:asciiTheme="minorEastAsia" w:hAnsiTheme="minorEastAsia" w:eastAsiaTheme="minorEastAsia" w:cstheme="minorEastAsia"/>
          <w:b/>
          <w:bCs/>
          <w:color w:val="auto"/>
          <w:kern w:val="2"/>
          <w:sz w:val="24"/>
          <w:szCs w:val="24"/>
          <w:highlight w:val="none"/>
          <w:shd w:val="clear"/>
          <w:lang w:val="en-US" w:eastAsia="zh-CN"/>
        </w:rPr>
        <w:t>270300元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服务费最高限价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人民币270300元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Theme="minorEastAsia" w:hAnsiTheme="minorEastAsia" w:eastAsiaTheme="minorEastAsia" w:cstheme="minorEastAsia"/>
          <w:b/>
          <w:bCs/>
          <w:color w:val="auto"/>
          <w:kern w:val="2"/>
          <w:sz w:val="24"/>
          <w:szCs w:val="24"/>
          <w:highlight w:val="none"/>
          <w:shd w:val="clear"/>
          <w:lang w:val="en-US" w:eastAsia="zh-CN"/>
        </w:rPr>
        <w:t>270300</w:t>
      </w:r>
      <w:r>
        <w:rPr>
          <w:rFonts w:hint="eastAsia" w:ascii="宋体" w:hAnsi="宋体" w:eastAsia="宋体" w:cs="宋体"/>
          <w:b/>
          <w:bCs/>
          <w:color w:val="auto"/>
          <w:kern w:val="28"/>
          <w:sz w:val="24"/>
          <w:szCs w:val="24"/>
          <w:highlight w:val="none"/>
          <w:lang w:val="en-US" w:eastAsia="zh-CN" w:bidi="ar-SA"/>
        </w:rPr>
        <w:t>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服务费最低的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327FDEDF">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.特别提示：标的经公开征集到合格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0FEEE067">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1BF32555">
      <w:pPr>
        <w:keepNext w:val="0"/>
        <w:keepLines w:val="0"/>
        <w:pageBreakBefore w:val="0"/>
        <w:kinsoku/>
        <w:wordWrap/>
        <w:topLinePunct w:val="0"/>
        <w:bidi w:val="0"/>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575E94AD">
      <w:pPr>
        <w:keepNext w:val="0"/>
        <w:keepLines w:val="0"/>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竞价成交后，本项目的招标代理服务费按成交价×1.5%计费向成交人收取。当成交（或中标）金额低于3万元时，代理费按实际金额计收；成交（或中标）金额大于等于3万元且代理费不足3000元时，按3000元收取。</w:t>
      </w:r>
    </w:p>
    <w:p w14:paraId="611C4BD7">
      <w:pPr>
        <w:keepNext w:val="0"/>
        <w:keepLines w:val="0"/>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sz w:val="24"/>
          <w:szCs w:val="24"/>
          <w:highlight w:val="none"/>
        </w:rPr>
        <w:t>招标代理服务费须在成交之日起7个工作日汇到本公司指定账户(户名:连城县国有资产产权交易服务有限公司，开户行:中国农业银行连城县支行，账号:1377 0101 0400 18263)。</w:t>
      </w:r>
    </w:p>
    <w:p w14:paraId="5A0DB75E">
      <w:pPr>
        <w:keepNext w:val="0"/>
        <w:keepLines w:val="0"/>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7D9789B4">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按合同约定执行。</w:t>
      </w:r>
    </w:p>
    <w:p w14:paraId="2EB149AD">
      <w:pPr>
        <w:keepNext w:val="0"/>
        <w:keepLines w:val="0"/>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4467BC6D">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1.竞价人自行承担参加竞价会有关的全部费用（包括但不限于差旅费、邮寄费、资料费等）。</w:t>
      </w:r>
    </w:p>
    <w:p w14:paraId="7F374822">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001BC1FB">
      <w:pPr>
        <w:keepNext w:val="0"/>
        <w:keepLines w:val="0"/>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7F129DA3">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p>
    <w:p w14:paraId="03DD2A62">
      <w:pPr>
        <w:keepNext w:val="0"/>
        <w:keepLines w:val="0"/>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十一、注意事项</w:t>
      </w:r>
    </w:p>
    <w:p w14:paraId="5E6EA516">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110EC29A">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69533568">
      <w:pPr>
        <w:keepNext w:val="0"/>
        <w:keepLines w:val="0"/>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》，并严格履行，双方的权利、义务以《供货</w:t>
      </w:r>
      <w:r>
        <w:rPr>
          <w:rFonts w:hint="eastAsia" w:asciiTheme="minorEastAsia" w:hAnsiTheme="minorEastAsia" w:eastAsiaTheme="minorEastAsia" w:cstheme="minorEastAsia"/>
          <w:b/>
          <w:bCs/>
          <w:color w:val="auto"/>
          <w:kern w:val="28"/>
          <w:sz w:val="24"/>
          <w:szCs w:val="24"/>
          <w:highlight w:val="none"/>
          <w:lang w:val="en-US" w:eastAsia="zh-CN" w:bidi="ar-SA"/>
        </w:rPr>
        <w:t>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63965492">
      <w:pPr>
        <w:keepNext w:val="0"/>
        <w:keepLines w:val="0"/>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4468A2CF">
      <w:pPr>
        <w:keepNext w:val="0"/>
        <w:keepLines w:val="0"/>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十二、特别提示</w:t>
      </w:r>
    </w:p>
    <w:tbl>
      <w:tblPr>
        <w:tblStyle w:val="9"/>
        <w:tblW w:w="9071" w:type="dxa"/>
        <w:jc w:val="center"/>
        <w:shd w:val="clear" w:color="auto" w:fill="FFFFFF"/>
        <w:tblLayout w:type="fixed"/>
        <w:tblCellMar>
          <w:top w:w="0" w:type="dxa"/>
          <w:left w:w="0" w:type="dxa"/>
          <w:bottom w:w="0" w:type="dxa"/>
          <w:right w:w="0" w:type="dxa"/>
        </w:tblCellMar>
      </w:tblPr>
      <w:tblGrid>
        <w:gridCol w:w="9071"/>
      </w:tblGrid>
      <w:tr w14:paraId="73CB940F">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05EA258">
            <w:pPr>
              <w:keepNext w:val="0"/>
              <w:keepLines w:val="0"/>
              <w:pageBreakBefore w:val="0"/>
              <w:widowControl/>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61315503">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5CF6BDCD">
            <w:pPr>
              <w:keepNext w:val="0"/>
              <w:keepLines w:val="0"/>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0E5F0542">
      <w:pPr>
        <w:keepNext w:val="0"/>
        <w:keepLines w:val="0"/>
        <w:pageBreakBefore w:val="0"/>
        <w:widowControl/>
        <w:shd w:val="clear"/>
        <w:kinsoku/>
        <w:wordWrap/>
        <w:topLinePunct w:val="0"/>
        <w:bidi w:val="0"/>
        <w:snapToGrid/>
        <w:spacing w:before="0" w:line="360" w:lineRule="auto"/>
        <w:ind w:firstLine="0" w:firstLineChars="0"/>
        <w:jc w:val="righ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61DBF9BC">
      <w:pPr>
        <w:keepNext w:val="0"/>
        <w:keepLines w:val="0"/>
        <w:pageBreakBefore w:val="0"/>
        <w:widowControl/>
        <w:kinsoku/>
        <w:wordWrap/>
        <w:topLinePunct w:val="0"/>
        <w:bidi w:val="0"/>
        <w:snapToGrid/>
        <w:spacing w:line="360" w:lineRule="auto"/>
        <w:ind w:firstLine="480" w:firstLineChars="200"/>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2026年7月14日</w:t>
      </w:r>
    </w:p>
    <w:p w14:paraId="3CDBD3D7">
      <w:pPr>
        <w:keepNext w:val="0"/>
        <w:keepLines w:val="0"/>
        <w:pageBreakBefore w:val="0"/>
        <w:kinsoku/>
        <w:wordWrap/>
        <w:topLinePunct w:val="0"/>
        <w:bidi w:val="0"/>
        <w:snapToGrid/>
        <w:spacing w:line="360" w:lineRule="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br w:type="page"/>
      </w:r>
    </w:p>
    <w:p w14:paraId="2DA7CA48">
      <w:pPr>
        <w:keepNext w:val="0"/>
        <w:keepLines w:val="0"/>
        <w:pageBreakBefore w:val="0"/>
        <w:widowControl/>
        <w:kinsoku/>
        <w:wordWrap/>
        <w:topLinePunct w:val="0"/>
        <w:bidi w:val="0"/>
        <w:snapToGrid/>
        <w:spacing w:line="360" w:lineRule="auto"/>
        <w:ind w:firstLine="0" w:firstLineChars="0"/>
        <w:jc w:val="center"/>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
          <w:bCs/>
          <w:color w:val="auto"/>
          <w:sz w:val="32"/>
          <w:szCs w:val="32"/>
          <w:highlight w:val="none"/>
          <w:lang w:val="en-US" w:eastAsia="zh-CN"/>
        </w:rPr>
        <w:t>承诺书</w:t>
      </w:r>
    </w:p>
    <w:p w14:paraId="0E171831">
      <w:pPr>
        <w:keepNext w:val="0"/>
        <w:keepLines w:val="0"/>
        <w:pageBreakBefore w:val="0"/>
        <w:kinsoku/>
        <w:wordWrap/>
        <w:topLinePunct w:val="0"/>
        <w:bidi w:val="0"/>
        <w:snapToGrid/>
        <w:spacing w:line="360" w:lineRule="auto"/>
        <w:ind w:firstLine="5040" w:firstLineChars="2100"/>
        <w:jc w:val="left"/>
        <w:rPr>
          <w:rFonts w:asciiTheme="minorEastAsia" w:hAnsiTheme="minorEastAsia" w:eastAsiaTheme="minorEastAsia" w:cstheme="minorEastAsia"/>
          <w:color w:val="auto"/>
          <w:sz w:val="24"/>
          <w:szCs w:val="24"/>
          <w:highlight w:val="none"/>
        </w:rPr>
      </w:pPr>
    </w:p>
    <w:p w14:paraId="6DFE2922">
      <w:pPr>
        <w:keepNext w:val="0"/>
        <w:keepLines w:val="0"/>
        <w:pageBreakBefore w:val="0"/>
        <w:kinsoku/>
        <w:wordWrap/>
        <w:topLinePunct w:val="0"/>
        <w:bidi w:val="0"/>
        <w:snapToGrid/>
        <w:spacing w:beforeLines="50"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1203B">
      <w:pPr>
        <w:keepNext w:val="0"/>
        <w:keepLines w:val="0"/>
        <w:pageBreakBefore w:val="0"/>
        <w:kinsoku/>
        <w:wordWrap/>
        <w:topLinePunct w:val="0"/>
        <w:bidi w:val="0"/>
        <w:snapToGrid/>
        <w:spacing w:line="360" w:lineRule="auto"/>
        <w:ind w:left="240" w:hanging="240" w:hanging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本公司承诺提供的报名材料真实、合法、有效，自愿报名参加于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2026年</w:t>
      </w:r>
      <w:r>
        <w:rPr>
          <w:rFonts w:hint="eastAsia" w:asciiTheme="minorEastAsia" w:hAnsiTheme="minorEastAsia" w:eastAsiaTheme="minorEastAsia" w:cstheme="minorEastAsia"/>
          <w:color w:val="auto"/>
          <w:sz w:val="24"/>
          <w:szCs w:val="24"/>
          <w:highlight w:val="none"/>
          <w:u w:val="single"/>
          <w:lang w:val="en-US" w:eastAsia="zh-CN"/>
        </w:rPr>
        <w:t>7月20日</w:t>
      </w:r>
      <w:r>
        <w:rPr>
          <w:rFonts w:hint="eastAsia" w:asciiTheme="minorEastAsia" w:hAnsiTheme="minorEastAsia" w:eastAsiaTheme="minorEastAsia" w:cstheme="minorEastAsia"/>
          <w:color w:val="auto"/>
          <w:sz w:val="24"/>
          <w:szCs w:val="24"/>
          <w:highlight w:val="none"/>
        </w:rPr>
        <w:t>上午举行的“反向一次报价”</w:t>
      </w:r>
      <w:r>
        <w:rPr>
          <w:rFonts w:hint="eastAsia" w:asciiTheme="minorEastAsia" w:hAnsiTheme="minorEastAsia" w:eastAsiaTheme="minorEastAsia" w:cstheme="minorEastAsia"/>
          <w:color w:val="auto"/>
          <w:sz w:val="24"/>
          <w:szCs w:val="24"/>
          <w:highlight w:val="none"/>
          <w:u w:val="single"/>
          <w:lang w:eastAsia="zh-CN"/>
        </w:rPr>
        <w:t>连城县天泉湾酒店矿泉水采购项目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LCCQJJ20260720-1</w:t>
      </w:r>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w:t>
      </w:r>
      <w:r>
        <w:rPr>
          <w:rFonts w:hint="eastAsia" w:asciiTheme="minorEastAsia" w:hAnsiTheme="minorEastAsia" w:eastAsiaTheme="minorEastAsia" w:cstheme="minorEastAsia"/>
          <w:b/>
          <w:bCs/>
          <w:color w:val="auto"/>
          <w:sz w:val="24"/>
          <w:szCs w:val="24"/>
          <w:highlight w:val="none"/>
        </w:rPr>
        <w:t>本次</w:t>
      </w:r>
      <w:r>
        <w:rPr>
          <w:rFonts w:hint="eastAsia" w:asciiTheme="minorEastAsia" w:hAnsiTheme="minorEastAsia" w:eastAsiaTheme="minorEastAsia" w:cstheme="minorEastAsia"/>
          <w:b/>
          <w:bCs/>
          <w:color w:val="auto"/>
          <w:sz w:val="24"/>
          <w:szCs w:val="24"/>
          <w:highlight w:val="none"/>
          <w:lang w:val="en-US" w:eastAsia="zh-CN"/>
        </w:rPr>
        <w:t>提供的产品及</w:t>
      </w:r>
      <w:r>
        <w:rPr>
          <w:rFonts w:hint="eastAsia" w:asciiTheme="minorEastAsia" w:hAnsiTheme="minorEastAsia" w:eastAsiaTheme="minorEastAsia" w:cstheme="minorEastAsia"/>
          <w:b/>
          <w:bCs/>
          <w:color w:val="auto"/>
          <w:sz w:val="24"/>
          <w:szCs w:val="24"/>
          <w:highlight w:val="none"/>
        </w:rPr>
        <w:t>服务均满足本项目竞价文件求，并保证遵守和全面履行该次《网络竞价须知》中的各项条款。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若有违反该次《网络竞价须知》条款的行为，申请人愿被取消竞价资格，已交保证金作为违约金不予退回，若造成损失的，由本承诺人承担赔偿责任。</w:t>
      </w:r>
    </w:p>
    <w:p w14:paraId="56F33900">
      <w:pPr>
        <w:keepNext w:val="0"/>
        <w:keepLines w:val="0"/>
        <w:pageBreakBefore w:val="0"/>
        <w:kinsoku/>
        <w:wordWrap/>
        <w:topLinePunct w:val="0"/>
        <w:bidi w:val="0"/>
        <w:snapToGrid/>
        <w:spacing w:line="360" w:lineRule="auto"/>
        <w:rPr>
          <w:rFonts w:asciiTheme="minorEastAsia" w:hAnsiTheme="minorEastAsia" w:eastAsiaTheme="minorEastAsia" w:cstheme="minorEastAsia"/>
          <w:color w:val="auto"/>
          <w:sz w:val="24"/>
          <w:szCs w:val="24"/>
          <w:highlight w:val="none"/>
        </w:rPr>
      </w:pPr>
    </w:p>
    <w:p w14:paraId="745A45F6">
      <w:pPr>
        <w:keepNext w:val="0"/>
        <w:keepLines w:val="0"/>
        <w:pageBreakBefore w:val="0"/>
        <w:kinsoku/>
        <w:wordWrap/>
        <w:topLinePunct w:val="0"/>
        <w:bidi w:val="0"/>
        <w:snapToGrid/>
        <w:spacing w:line="360" w:lineRule="auto"/>
        <w:rPr>
          <w:rFonts w:asciiTheme="minorEastAsia" w:hAnsiTheme="minorEastAsia" w:eastAsiaTheme="minorEastAsia" w:cstheme="minorEastAsia"/>
          <w:color w:val="auto"/>
          <w:sz w:val="24"/>
          <w:szCs w:val="24"/>
          <w:highlight w:val="none"/>
        </w:rPr>
      </w:pPr>
    </w:p>
    <w:p w14:paraId="67844BD5">
      <w:pPr>
        <w:keepNext w:val="0"/>
        <w:keepLines w:val="0"/>
        <w:pageBreakBefore w:val="0"/>
        <w:kinsoku/>
        <w:wordWrap/>
        <w:topLinePunct w:val="0"/>
        <w:bidi w:val="0"/>
        <w:snapToGrid/>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w:t>
      </w:r>
      <w:r>
        <w:rPr>
          <w:rFonts w:hint="eastAsia" w:asciiTheme="minorEastAsia" w:hAnsiTheme="minorEastAsia" w:eastAsiaTheme="minorEastAsia" w:cstheme="minorEastAsia"/>
          <w:color w:val="auto"/>
          <w:sz w:val="24"/>
          <w:szCs w:val="24"/>
          <w:highlight w:val="none"/>
          <w:lang w:val="en-US" w:eastAsia="zh-CN"/>
        </w:rPr>
        <w:t>加盖单位公章</w:t>
      </w:r>
      <w:r>
        <w:rPr>
          <w:rFonts w:hint="eastAsia" w:asciiTheme="minorEastAsia" w:hAnsiTheme="minorEastAsia" w:eastAsiaTheme="minorEastAsia" w:cstheme="minorEastAsia"/>
          <w:color w:val="auto"/>
          <w:sz w:val="24"/>
          <w:szCs w:val="24"/>
          <w:highlight w:val="none"/>
        </w:rPr>
        <w:t>）：</w:t>
      </w:r>
    </w:p>
    <w:p w14:paraId="6FCADBEE">
      <w:pPr>
        <w:keepNext w:val="0"/>
        <w:keepLines w:val="0"/>
        <w:pageBreakBefore w:val="0"/>
        <w:kinsoku/>
        <w:wordWrap/>
        <w:topLinePunct w:val="0"/>
        <w:bidi w:val="0"/>
        <w:snapToGrid/>
        <w:spacing w:line="360" w:lineRule="auto"/>
        <w:jc w:val="left"/>
        <w:rPr>
          <w:rFonts w:asciiTheme="minorEastAsia" w:hAnsiTheme="minorEastAsia" w:eastAsiaTheme="minorEastAsia" w:cstheme="minorEastAsia"/>
          <w:color w:val="auto"/>
          <w:sz w:val="24"/>
          <w:szCs w:val="24"/>
          <w:highlight w:val="none"/>
        </w:rPr>
      </w:pPr>
    </w:p>
    <w:p w14:paraId="51232A68">
      <w:pPr>
        <w:keepNext w:val="0"/>
        <w:keepLines w:val="0"/>
        <w:pageBreakBefore w:val="0"/>
        <w:kinsoku/>
        <w:wordWrap/>
        <w:topLinePunct w:val="0"/>
        <w:bidi w:val="0"/>
        <w:snapToGrid/>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val="en-US" w:eastAsia="zh-CN"/>
        </w:rPr>
        <w:t>签字或盖章</w:t>
      </w:r>
      <w:r>
        <w:rPr>
          <w:rFonts w:hint="eastAsia" w:asciiTheme="minorEastAsia" w:hAnsiTheme="minorEastAsia" w:eastAsiaTheme="minorEastAsia" w:cstheme="minorEastAsia"/>
          <w:color w:val="auto"/>
          <w:sz w:val="24"/>
          <w:szCs w:val="24"/>
          <w:highlight w:val="none"/>
        </w:rPr>
        <w:t xml:space="preserve">）： </w:t>
      </w:r>
    </w:p>
    <w:p w14:paraId="6ACE40E7">
      <w:pPr>
        <w:keepNext w:val="0"/>
        <w:keepLines w:val="0"/>
        <w:pageBreakBefore w:val="0"/>
        <w:kinsoku/>
        <w:wordWrap/>
        <w:topLinePunct w:val="0"/>
        <w:bidi w:val="0"/>
        <w:snapToGrid/>
        <w:spacing w:line="360" w:lineRule="auto"/>
        <w:jc w:val="left"/>
        <w:rPr>
          <w:rFonts w:asciiTheme="minorEastAsia" w:hAnsiTheme="minorEastAsia" w:eastAsiaTheme="minorEastAsia" w:cstheme="minorEastAsia"/>
          <w:color w:val="auto"/>
          <w:sz w:val="24"/>
          <w:szCs w:val="24"/>
          <w:highlight w:val="none"/>
        </w:rPr>
      </w:pPr>
    </w:p>
    <w:p w14:paraId="43A7072D">
      <w:pPr>
        <w:keepNext w:val="0"/>
        <w:keepLines w:val="0"/>
        <w:pageBreakBefore w:val="0"/>
        <w:kinsoku/>
        <w:wordWrap/>
        <w:topLinePunct w:val="0"/>
        <w:bidi w:val="0"/>
        <w:snapToGrid/>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5D03373A">
      <w:pPr>
        <w:keepNext w:val="0"/>
        <w:keepLines w:val="0"/>
        <w:pageBreakBefore w:val="0"/>
        <w:kinsoku/>
        <w:wordWrap/>
        <w:topLinePunct w:val="0"/>
        <w:bidi w:val="0"/>
        <w:snapToGrid/>
        <w:spacing w:line="360" w:lineRule="auto"/>
        <w:jc w:val="left"/>
        <w:rPr>
          <w:rFonts w:hint="eastAsia" w:asciiTheme="minorEastAsia" w:hAnsiTheme="minorEastAsia" w:eastAsiaTheme="minorEastAsia" w:cstheme="minorEastAsia"/>
          <w:color w:val="auto"/>
          <w:sz w:val="24"/>
          <w:szCs w:val="24"/>
          <w:highlight w:val="none"/>
        </w:rPr>
      </w:pPr>
    </w:p>
    <w:p w14:paraId="4A238486">
      <w:pPr>
        <w:keepNext w:val="0"/>
        <w:keepLines w:val="0"/>
        <w:pageBreakBefore w:val="0"/>
        <w:kinsoku/>
        <w:wordWrap/>
        <w:topLinePunct w:val="0"/>
        <w:bidi w:val="0"/>
        <w:snapToGrid/>
        <w:spacing w:line="360" w:lineRule="auto"/>
        <w:jc w:val="left"/>
        <w:rPr>
          <w:rFonts w:ascii="方正小标宋简体" w:hAnsi="方正小标宋简体" w:eastAsia="方正小标宋简体" w:cs="方正小标宋简体"/>
          <w:bCs/>
          <w:color w:val="auto"/>
          <w:sz w:val="28"/>
          <w:szCs w:val="28"/>
          <w:highlight w:val="none"/>
        </w:rPr>
      </w:pPr>
      <w:r>
        <w:rPr>
          <w:rFonts w:hint="eastAsia" w:asciiTheme="minorEastAsia" w:hAnsiTheme="minorEastAsia" w:eastAsiaTheme="minorEastAsia" w:cstheme="minorEastAsia"/>
          <w:color w:val="auto"/>
          <w:sz w:val="24"/>
          <w:szCs w:val="24"/>
          <w:highlight w:val="none"/>
        </w:rPr>
        <w:t>年    月    日</w:t>
      </w:r>
    </w:p>
    <w:p w14:paraId="0A0BCAD2">
      <w:pPr>
        <w:keepNext w:val="0"/>
        <w:keepLines w:val="0"/>
        <w:pageBreakBefore w:val="0"/>
        <w:kinsoku/>
        <w:wordWrap/>
        <w:topLinePunct w:val="0"/>
        <w:bidi w:val="0"/>
        <w:snapToGrid/>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3F88773A">
      <w:pPr>
        <w:keepNext w:val="0"/>
        <w:keepLines w:val="0"/>
        <w:pageBreakBefore w:val="0"/>
        <w:kinsoku/>
        <w:wordWrap/>
        <w:topLinePunct w:val="0"/>
        <w:bidi w:val="0"/>
        <w:snapToGrid/>
        <w:spacing w:line="360" w:lineRule="auto"/>
        <w:jc w:val="center"/>
        <w:rPr>
          <w:rFonts w:hint="eastAsia" w:ascii="宋体" w:hAnsi="宋体" w:eastAsia="宋体" w:cs="Times New Roman"/>
          <w:bCs/>
          <w:color w:val="auto"/>
          <w:sz w:val="44"/>
          <w:szCs w:val="44"/>
          <w:highlight w:val="none"/>
          <w:lang w:val="en-US" w:eastAsia="zh-CN"/>
        </w:rPr>
      </w:pPr>
      <w:r>
        <w:rPr>
          <w:rFonts w:hint="eastAsia" w:ascii="宋体" w:hAnsi="宋体" w:eastAsia="宋体" w:cs="Times New Roman"/>
          <w:bCs/>
          <w:color w:val="auto"/>
          <w:sz w:val="44"/>
          <w:szCs w:val="44"/>
          <w:highlight w:val="none"/>
          <w:lang w:val="en-US" w:eastAsia="zh-CN"/>
        </w:rPr>
        <w:t>连城县天泉湾酒店矿泉水供货合同</w:t>
      </w:r>
    </w:p>
    <w:p w14:paraId="0778F368">
      <w:pPr>
        <w:keepNext w:val="0"/>
        <w:keepLines w:val="0"/>
        <w:pageBreakBefore w:val="0"/>
        <w:kinsoku/>
        <w:wordWrap/>
        <w:topLinePunct w:val="0"/>
        <w:bidi w:val="0"/>
        <w:snapToGrid/>
        <w:spacing w:line="360" w:lineRule="auto"/>
        <w:jc w:val="right"/>
        <w:rPr>
          <w:rFonts w:hint="default" w:ascii="宋体" w:hAnsi="宋体" w:eastAsia="宋体" w:cs="Times New Roman"/>
          <w:bCs/>
          <w:color w:val="auto"/>
          <w:sz w:val="28"/>
          <w:szCs w:val="28"/>
          <w:highlight w:val="none"/>
          <w:lang w:val="en-US" w:eastAsia="zh-CN"/>
        </w:rPr>
      </w:pPr>
      <w:r>
        <w:rPr>
          <w:rFonts w:hint="eastAsia" w:ascii="宋体" w:hAnsi="宋体" w:eastAsia="宋体" w:cs="Times New Roman"/>
          <w:bCs/>
          <w:color w:val="auto"/>
          <w:sz w:val="28"/>
          <w:szCs w:val="28"/>
          <w:highlight w:val="none"/>
          <w:lang w:val="en-US" w:eastAsia="zh-CN"/>
        </w:rPr>
        <w:t>合同编号：</w:t>
      </w:r>
    </w:p>
    <w:p w14:paraId="0F88BD6E">
      <w:pPr>
        <w:keepNext w:val="0"/>
        <w:keepLines w:val="0"/>
        <w:pageBreakBefore w:val="0"/>
        <w:kinsoku/>
        <w:wordWrap/>
        <w:overflowPunct/>
        <w:topLinePunct w:val="0"/>
        <w:autoSpaceDE/>
        <w:autoSpaceDN/>
        <w:bidi w:val="0"/>
        <w:adjustRightInd/>
        <w:snapToGrid/>
        <w:spacing w:line="360" w:lineRule="auto"/>
        <w:textAlignment w:val="auto"/>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甲方：</w:t>
      </w:r>
      <w:r>
        <w:rPr>
          <w:rFonts w:hint="eastAsia" w:ascii="Calibri" w:hAnsi="Calibri" w:eastAsia="宋体" w:cs="Times New Roman"/>
          <w:color w:val="auto"/>
          <w:sz w:val="24"/>
          <w:szCs w:val="24"/>
          <w:highlight w:val="none"/>
          <w:u w:val="single"/>
        </w:rPr>
        <w:t>连城县天泉湾酒店运营有限公司</w:t>
      </w:r>
    </w:p>
    <w:p w14:paraId="114E017F">
      <w:pPr>
        <w:keepNext w:val="0"/>
        <w:keepLines w:val="0"/>
        <w:pageBreakBefore w:val="0"/>
        <w:kinsoku/>
        <w:wordWrap/>
        <w:overflowPunct/>
        <w:topLinePunct w:val="0"/>
        <w:autoSpaceDE/>
        <w:autoSpaceDN/>
        <w:bidi w:val="0"/>
        <w:adjustRightInd/>
        <w:snapToGrid/>
        <w:spacing w:line="360" w:lineRule="auto"/>
        <w:textAlignment w:val="auto"/>
        <w:rPr>
          <w:rFonts w:hint="default" w:ascii="Calibri" w:hAnsi="Calibri" w:eastAsia="宋体" w:cs="Times New Roman"/>
          <w:color w:val="auto"/>
          <w:sz w:val="24"/>
          <w:szCs w:val="24"/>
          <w:highlight w:val="none"/>
          <w:lang w:val="en-US" w:eastAsia="zh-CN"/>
        </w:rPr>
      </w:pPr>
      <w:r>
        <w:rPr>
          <w:rFonts w:hint="eastAsia" w:ascii="Calibri" w:hAnsi="Calibri" w:eastAsia="宋体" w:cs="Times New Roman"/>
          <w:color w:val="auto"/>
          <w:sz w:val="24"/>
          <w:szCs w:val="24"/>
          <w:highlight w:val="none"/>
        </w:rPr>
        <w:t>乙方：</w:t>
      </w:r>
      <w:r>
        <w:rPr>
          <w:rFonts w:hint="eastAsia" w:ascii="Times New Roman" w:hAnsi="Times New Roman" w:eastAsia="宋体" w:cs="Times New Roman"/>
          <w:b w:val="0"/>
          <w:bCs w:val="0"/>
          <w:color w:val="auto"/>
          <w:sz w:val="24"/>
          <w:szCs w:val="24"/>
          <w:highlight w:val="none"/>
          <w:u w:val="single"/>
          <w:lang w:val="en-US" w:eastAsia="zh-CN"/>
        </w:rPr>
        <w:t xml:space="preserve">                            </w:t>
      </w:r>
    </w:p>
    <w:p w14:paraId="1512D2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根据《中华人民共和国民法典》及其它有关法律、行政法规，遵循平等、自愿、公平、诚信、互利互惠的原则</w:t>
      </w:r>
      <w:r>
        <w:rPr>
          <w:rFonts w:hint="eastAsia" w:ascii="Times New Roman" w:hAnsi="宋体" w:eastAsia="宋体" w:cs="宋体"/>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甲乙</w:t>
      </w:r>
      <w:r>
        <w:rPr>
          <w:rFonts w:hint="default" w:ascii="Times New Roman" w:hAnsi="Times New Roman" w:eastAsia="宋体" w:cs="Times New Roman"/>
          <w:color w:val="auto"/>
          <w:sz w:val="24"/>
          <w:szCs w:val="24"/>
          <w:highlight w:val="none"/>
        </w:rPr>
        <w:t>双方</w:t>
      </w:r>
      <w:r>
        <w:rPr>
          <w:rFonts w:hint="eastAsia" w:ascii="Times New Roman" w:hAnsi="Times New Roman" w:eastAsia="宋体" w:cs="Times New Roman"/>
          <w:color w:val="auto"/>
          <w:sz w:val="24"/>
          <w:szCs w:val="24"/>
          <w:highlight w:val="none"/>
          <w:lang w:val="en-US" w:eastAsia="zh-CN"/>
        </w:rPr>
        <w:t>就</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eastAsia="zh-CN"/>
        </w:rPr>
        <w:t>通</w:t>
      </w:r>
      <w:r>
        <w:rPr>
          <w:rFonts w:hint="default" w:ascii="Times New Roman" w:hAnsi="Times New Roman" w:eastAsia="宋体" w:cs="Times New Roman"/>
          <w:color w:val="auto"/>
          <w:sz w:val="24"/>
          <w:szCs w:val="24"/>
          <w:highlight w:val="none"/>
          <w:lang w:eastAsia="zh-CN"/>
        </w:rPr>
        <w:t>过友好协商</w:t>
      </w:r>
      <w:r>
        <w:rPr>
          <w:rFonts w:hint="default" w:ascii="Times New Roman" w:hAnsi="Times New Roman" w:eastAsia="宋体" w:cs="Times New Roman"/>
          <w:color w:val="auto"/>
          <w:sz w:val="24"/>
          <w:szCs w:val="24"/>
          <w:highlight w:val="none"/>
        </w:rPr>
        <w:t>达成如下协议：</w:t>
      </w:r>
    </w:p>
    <w:p w14:paraId="5355517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合同标的</w:t>
      </w:r>
      <w:r>
        <w:rPr>
          <w:rFonts w:hint="eastAsia" w:ascii="宋体" w:hAnsi="宋体" w:eastAsia="宋体" w:cs="宋体"/>
          <w:color w:val="auto"/>
          <w:kern w:val="0"/>
          <w:sz w:val="24"/>
          <w:szCs w:val="24"/>
          <w:highlight w:val="none"/>
          <w:lang w:eastAsia="zh-CN"/>
        </w:rPr>
        <w:t>（采购清单）：</w:t>
      </w:r>
    </w:p>
    <w:tbl>
      <w:tblPr>
        <w:tblStyle w:val="9"/>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0"/>
        <w:gridCol w:w="2382"/>
        <w:gridCol w:w="2493"/>
        <w:gridCol w:w="1269"/>
        <w:gridCol w:w="836"/>
        <w:gridCol w:w="1229"/>
        <w:gridCol w:w="1252"/>
      </w:tblGrid>
      <w:tr w14:paraId="7655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atLeast"/>
          <w:jc w:val="center"/>
        </w:trPr>
        <w:tc>
          <w:tcPr>
            <w:tcW w:w="740" w:type="dxa"/>
            <w:tcMar>
              <w:top w:w="60" w:type="dxa"/>
              <w:left w:w="120" w:type="dxa"/>
              <w:bottom w:w="30" w:type="dxa"/>
              <w:right w:w="120" w:type="dxa"/>
            </w:tcMar>
          </w:tcPr>
          <w:p w14:paraId="33FD82EE">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序号</w:t>
            </w:r>
          </w:p>
        </w:tc>
        <w:tc>
          <w:tcPr>
            <w:tcW w:w="2382" w:type="dxa"/>
            <w:tcMar>
              <w:top w:w="60" w:type="dxa"/>
              <w:left w:w="120" w:type="dxa"/>
              <w:bottom w:w="30" w:type="dxa"/>
              <w:right w:w="120" w:type="dxa"/>
            </w:tcMar>
          </w:tcPr>
          <w:p w14:paraId="77D1DD96">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品</w:t>
            </w:r>
            <w:r>
              <w:rPr>
                <w:rFonts w:hint="eastAsia" w:asciiTheme="majorEastAsia" w:hAnsiTheme="majorEastAsia" w:eastAsiaTheme="majorEastAsia" w:cstheme="majorEastAsia"/>
                <w:color w:val="auto"/>
                <w:sz w:val="24"/>
                <w:szCs w:val="24"/>
                <w:highlight w:val="none"/>
                <w:lang w:val="en-US" w:eastAsia="zh-CN"/>
              </w:rPr>
              <w:t>名</w:t>
            </w:r>
          </w:p>
        </w:tc>
        <w:tc>
          <w:tcPr>
            <w:tcW w:w="2493" w:type="dxa"/>
            <w:tcMar>
              <w:top w:w="60" w:type="dxa"/>
              <w:left w:w="120" w:type="dxa"/>
              <w:bottom w:w="30" w:type="dxa"/>
              <w:right w:w="120" w:type="dxa"/>
            </w:tcMar>
          </w:tcPr>
          <w:p w14:paraId="30FDFF1D">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规格型号</w:t>
            </w:r>
          </w:p>
        </w:tc>
        <w:tc>
          <w:tcPr>
            <w:tcW w:w="1269" w:type="dxa"/>
            <w:tcMar>
              <w:top w:w="60" w:type="dxa"/>
              <w:left w:w="120" w:type="dxa"/>
              <w:bottom w:w="30" w:type="dxa"/>
              <w:right w:w="120" w:type="dxa"/>
            </w:tcMar>
            <w:vAlign w:val="top"/>
          </w:tcPr>
          <w:p w14:paraId="72759D61">
            <w:pPr>
              <w:keepNext w:val="0"/>
              <w:keepLines w:val="0"/>
              <w:pageBreakBefore w:val="0"/>
              <w:widowControl w:val="0"/>
              <w:kinsoku/>
              <w:wordWrap/>
              <w:overflowPunct/>
              <w:topLinePunct w:val="0"/>
              <w:autoSpaceDE/>
              <w:autoSpaceDN/>
              <w:bidi w:val="0"/>
              <w:adjustRightInd/>
              <w:snapToGrid/>
              <w:spacing w:before="120" w:after="120" w:line="360" w:lineRule="auto"/>
              <w:ind w:left="0" w:leftChars="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预估</w:t>
            </w:r>
            <w:r>
              <w:rPr>
                <w:rFonts w:hint="eastAsia" w:asciiTheme="majorEastAsia" w:hAnsiTheme="majorEastAsia" w:eastAsiaTheme="majorEastAsia" w:cstheme="majorEastAsia"/>
                <w:color w:val="auto"/>
                <w:sz w:val="24"/>
                <w:szCs w:val="24"/>
                <w:highlight w:val="none"/>
              </w:rPr>
              <w:t>数量</w:t>
            </w:r>
          </w:p>
        </w:tc>
        <w:tc>
          <w:tcPr>
            <w:tcW w:w="836" w:type="dxa"/>
            <w:tcMar>
              <w:top w:w="60" w:type="dxa"/>
              <w:left w:w="120" w:type="dxa"/>
              <w:bottom w:w="30" w:type="dxa"/>
              <w:right w:w="120" w:type="dxa"/>
            </w:tcMar>
          </w:tcPr>
          <w:p w14:paraId="08E5D529">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单位</w:t>
            </w:r>
          </w:p>
        </w:tc>
        <w:tc>
          <w:tcPr>
            <w:tcW w:w="1229" w:type="dxa"/>
            <w:tcMar>
              <w:top w:w="60" w:type="dxa"/>
              <w:left w:w="120" w:type="dxa"/>
              <w:bottom w:w="30" w:type="dxa"/>
              <w:right w:w="120" w:type="dxa"/>
            </w:tcMar>
          </w:tcPr>
          <w:p w14:paraId="33CAACF4">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单价（元）</w:t>
            </w:r>
          </w:p>
        </w:tc>
        <w:tc>
          <w:tcPr>
            <w:tcW w:w="1252" w:type="dxa"/>
            <w:tcMar>
              <w:top w:w="60" w:type="dxa"/>
              <w:left w:w="120" w:type="dxa"/>
              <w:bottom w:w="30" w:type="dxa"/>
              <w:right w:w="120" w:type="dxa"/>
            </w:tcMar>
          </w:tcPr>
          <w:p w14:paraId="664DBEB6">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金额（元）</w:t>
            </w:r>
          </w:p>
        </w:tc>
      </w:tr>
      <w:tr w14:paraId="5E44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2" w:hRule="atLeast"/>
          <w:jc w:val="center"/>
        </w:trPr>
        <w:tc>
          <w:tcPr>
            <w:tcW w:w="740" w:type="dxa"/>
            <w:tcMar>
              <w:top w:w="60" w:type="dxa"/>
              <w:left w:w="120" w:type="dxa"/>
              <w:bottom w:w="30" w:type="dxa"/>
              <w:right w:w="120" w:type="dxa"/>
            </w:tcMar>
          </w:tcPr>
          <w:p w14:paraId="5C09F6F5">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w:t>
            </w:r>
          </w:p>
        </w:tc>
        <w:tc>
          <w:tcPr>
            <w:tcW w:w="2382" w:type="dxa"/>
            <w:tcMar>
              <w:top w:w="60" w:type="dxa"/>
              <w:left w:w="120" w:type="dxa"/>
              <w:bottom w:w="30" w:type="dxa"/>
              <w:right w:w="120" w:type="dxa"/>
            </w:tcMar>
          </w:tcPr>
          <w:p w14:paraId="00FB5D71">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冠豸山天然矿泉水</w:t>
            </w:r>
          </w:p>
        </w:tc>
        <w:tc>
          <w:tcPr>
            <w:tcW w:w="2493" w:type="dxa"/>
            <w:tcMar>
              <w:top w:w="60" w:type="dxa"/>
              <w:left w:w="120" w:type="dxa"/>
              <w:bottom w:w="30" w:type="dxa"/>
              <w:right w:w="120" w:type="dxa"/>
            </w:tcMar>
          </w:tcPr>
          <w:p w14:paraId="0E0EE4BF">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550ML*12瓶（膜装）</w:t>
            </w:r>
          </w:p>
        </w:tc>
        <w:tc>
          <w:tcPr>
            <w:tcW w:w="1269" w:type="dxa"/>
            <w:tcMar>
              <w:top w:w="60" w:type="dxa"/>
              <w:left w:w="120" w:type="dxa"/>
              <w:bottom w:w="30" w:type="dxa"/>
              <w:right w:w="120" w:type="dxa"/>
            </w:tcMar>
            <w:vAlign w:val="top"/>
          </w:tcPr>
          <w:p w14:paraId="098A9895">
            <w:pPr>
              <w:keepNext w:val="0"/>
              <w:keepLines w:val="0"/>
              <w:pageBreakBefore w:val="0"/>
              <w:widowControl w:val="0"/>
              <w:kinsoku/>
              <w:wordWrap/>
              <w:overflowPunct/>
              <w:topLinePunct w:val="0"/>
              <w:autoSpaceDE/>
              <w:autoSpaceDN/>
              <w:bidi w:val="0"/>
              <w:adjustRightInd/>
              <w:snapToGrid/>
              <w:spacing w:before="120" w:after="120" w:line="360" w:lineRule="auto"/>
              <w:ind w:left="0" w:leftChars="0"/>
              <w:jc w:val="center"/>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28000</w:t>
            </w:r>
          </w:p>
        </w:tc>
        <w:tc>
          <w:tcPr>
            <w:tcW w:w="836" w:type="dxa"/>
            <w:tcMar>
              <w:top w:w="60" w:type="dxa"/>
              <w:left w:w="120" w:type="dxa"/>
              <w:bottom w:w="30" w:type="dxa"/>
              <w:right w:w="120" w:type="dxa"/>
            </w:tcMar>
          </w:tcPr>
          <w:p w14:paraId="32E31329">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件</w:t>
            </w:r>
          </w:p>
        </w:tc>
        <w:tc>
          <w:tcPr>
            <w:tcW w:w="1229" w:type="dxa"/>
            <w:tcMar>
              <w:top w:w="60" w:type="dxa"/>
              <w:left w:w="120" w:type="dxa"/>
              <w:bottom w:w="30" w:type="dxa"/>
              <w:right w:w="120" w:type="dxa"/>
            </w:tcMar>
          </w:tcPr>
          <w:p w14:paraId="369EEA72">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default" w:asciiTheme="majorEastAsia" w:hAnsiTheme="majorEastAsia" w:eastAsiaTheme="majorEastAsia" w:cstheme="majorEastAsia"/>
                <w:color w:val="auto"/>
                <w:sz w:val="24"/>
                <w:szCs w:val="24"/>
                <w:highlight w:val="none"/>
                <w:lang w:val="en-US" w:eastAsia="zh-CN"/>
              </w:rPr>
            </w:pPr>
          </w:p>
        </w:tc>
        <w:tc>
          <w:tcPr>
            <w:tcW w:w="1252" w:type="dxa"/>
            <w:tcMar>
              <w:top w:w="60" w:type="dxa"/>
              <w:left w:w="120" w:type="dxa"/>
              <w:bottom w:w="30" w:type="dxa"/>
              <w:right w:w="120" w:type="dxa"/>
            </w:tcMar>
          </w:tcPr>
          <w:p w14:paraId="74382E04">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default" w:asciiTheme="majorEastAsia" w:hAnsiTheme="majorEastAsia" w:eastAsiaTheme="majorEastAsia" w:cstheme="majorEastAsia"/>
                <w:color w:val="auto"/>
                <w:sz w:val="24"/>
                <w:szCs w:val="24"/>
                <w:highlight w:val="none"/>
                <w:lang w:val="en-US" w:eastAsia="zh-CN"/>
              </w:rPr>
            </w:pPr>
          </w:p>
        </w:tc>
      </w:tr>
      <w:tr w14:paraId="1246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6" w:hRule="atLeast"/>
          <w:jc w:val="center"/>
        </w:trPr>
        <w:tc>
          <w:tcPr>
            <w:tcW w:w="740" w:type="dxa"/>
            <w:tcMar>
              <w:top w:w="60" w:type="dxa"/>
              <w:left w:w="120" w:type="dxa"/>
              <w:bottom w:w="30" w:type="dxa"/>
              <w:right w:w="120" w:type="dxa"/>
            </w:tcMar>
          </w:tcPr>
          <w:p w14:paraId="1C02B24C">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p>
        </w:tc>
        <w:tc>
          <w:tcPr>
            <w:tcW w:w="2382" w:type="dxa"/>
            <w:tcMar>
              <w:top w:w="60" w:type="dxa"/>
              <w:left w:w="120" w:type="dxa"/>
              <w:bottom w:w="30" w:type="dxa"/>
              <w:right w:w="120" w:type="dxa"/>
            </w:tcMar>
          </w:tcPr>
          <w:p w14:paraId="585C642F">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冠豸山天然矿泉水</w:t>
            </w:r>
          </w:p>
        </w:tc>
        <w:tc>
          <w:tcPr>
            <w:tcW w:w="2493" w:type="dxa"/>
            <w:tcMar>
              <w:top w:w="60" w:type="dxa"/>
              <w:left w:w="120" w:type="dxa"/>
              <w:bottom w:w="30" w:type="dxa"/>
              <w:right w:w="120" w:type="dxa"/>
            </w:tcMar>
          </w:tcPr>
          <w:p w14:paraId="7EC16C3E">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17L（桶装）</w:t>
            </w:r>
          </w:p>
        </w:tc>
        <w:tc>
          <w:tcPr>
            <w:tcW w:w="1269" w:type="dxa"/>
            <w:tcMar>
              <w:top w:w="60" w:type="dxa"/>
              <w:left w:w="120" w:type="dxa"/>
              <w:bottom w:w="30" w:type="dxa"/>
              <w:right w:w="120" w:type="dxa"/>
            </w:tcMar>
            <w:vAlign w:val="center"/>
          </w:tcPr>
          <w:p w14:paraId="72D59989">
            <w:pPr>
              <w:keepNext w:val="0"/>
              <w:keepLines w:val="0"/>
              <w:pageBreakBefore w:val="0"/>
              <w:widowControl/>
              <w:suppressLineNumbers w:val="0"/>
              <w:kinsoku/>
              <w:wordWrap/>
              <w:topLinePunct w:val="0"/>
              <w:bidi w:val="0"/>
              <w:snapToGrid/>
              <w:spacing w:line="360" w:lineRule="auto"/>
              <w:jc w:val="center"/>
              <w:textAlignment w:val="center"/>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3000</w:t>
            </w:r>
          </w:p>
        </w:tc>
        <w:tc>
          <w:tcPr>
            <w:tcW w:w="836" w:type="dxa"/>
            <w:tcMar>
              <w:top w:w="60" w:type="dxa"/>
              <w:left w:w="120" w:type="dxa"/>
              <w:bottom w:w="30" w:type="dxa"/>
              <w:right w:w="120" w:type="dxa"/>
            </w:tcMar>
            <w:vAlign w:val="center"/>
          </w:tcPr>
          <w:p w14:paraId="597565E0">
            <w:pPr>
              <w:keepNext w:val="0"/>
              <w:keepLines w:val="0"/>
              <w:pageBreakBefore w:val="0"/>
              <w:widowControl/>
              <w:suppressLineNumbers w:val="0"/>
              <w:kinsoku/>
              <w:wordWrap/>
              <w:topLinePunct w:val="0"/>
              <w:bidi w:val="0"/>
              <w:snapToGrid/>
              <w:spacing w:line="360" w:lineRule="auto"/>
              <w:jc w:val="center"/>
              <w:textAlignment w:val="center"/>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桶</w:t>
            </w:r>
          </w:p>
        </w:tc>
        <w:tc>
          <w:tcPr>
            <w:tcW w:w="1229" w:type="dxa"/>
            <w:tcMar>
              <w:top w:w="60" w:type="dxa"/>
              <w:left w:w="120" w:type="dxa"/>
              <w:bottom w:w="30" w:type="dxa"/>
              <w:right w:w="120" w:type="dxa"/>
            </w:tcMar>
          </w:tcPr>
          <w:p w14:paraId="5403BA12">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default" w:asciiTheme="majorEastAsia" w:hAnsiTheme="majorEastAsia" w:eastAsiaTheme="majorEastAsia" w:cstheme="majorEastAsia"/>
                <w:color w:val="auto"/>
                <w:sz w:val="24"/>
                <w:szCs w:val="24"/>
                <w:highlight w:val="none"/>
                <w:lang w:val="en-US" w:eastAsia="zh-CN"/>
              </w:rPr>
            </w:pPr>
          </w:p>
        </w:tc>
        <w:tc>
          <w:tcPr>
            <w:tcW w:w="1252" w:type="dxa"/>
            <w:tcMar>
              <w:top w:w="60" w:type="dxa"/>
              <w:left w:w="120" w:type="dxa"/>
              <w:bottom w:w="30" w:type="dxa"/>
              <w:right w:w="120" w:type="dxa"/>
            </w:tcMar>
          </w:tcPr>
          <w:p w14:paraId="3B218C22">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default" w:asciiTheme="majorEastAsia" w:hAnsiTheme="majorEastAsia" w:eastAsiaTheme="majorEastAsia" w:cstheme="majorEastAsia"/>
                <w:color w:val="auto"/>
                <w:sz w:val="24"/>
                <w:szCs w:val="24"/>
                <w:highlight w:val="none"/>
                <w:lang w:val="en-US" w:eastAsia="zh-CN"/>
              </w:rPr>
            </w:pPr>
          </w:p>
        </w:tc>
      </w:tr>
      <w:tr w14:paraId="7F6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7" w:hRule="atLeast"/>
          <w:jc w:val="center"/>
        </w:trPr>
        <w:tc>
          <w:tcPr>
            <w:tcW w:w="740" w:type="dxa"/>
            <w:tcMar>
              <w:top w:w="60" w:type="dxa"/>
              <w:left w:w="120" w:type="dxa"/>
              <w:bottom w:w="30" w:type="dxa"/>
              <w:right w:w="120" w:type="dxa"/>
            </w:tcMar>
          </w:tcPr>
          <w:p w14:paraId="71EDCA9A">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w:t>
            </w:r>
          </w:p>
        </w:tc>
        <w:tc>
          <w:tcPr>
            <w:tcW w:w="2382" w:type="dxa"/>
            <w:tcMar>
              <w:top w:w="60" w:type="dxa"/>
              <w:left w:w="120" w:type="dxa"/>
              <w:bottom w:w="30" w:type="dxa"/>
              <w:right w:w="120" w:type="dxa"/>
            </w:tcMar>
          </w:tcPr>
          <w:p w14:paraId="7FDAB962">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冠豸山山泉水</w:t>
            </w:r>
          </w:p>
        </w:tc>
        <w:tc>
          <w:tcPr>
            <w:tcW w:w="2493" w:type="dxa"/>
            <w:tcMar>
              <w:top w:w="60" w:type="dxa"/>
              <w:left w:w="120" w:type="dxa"/>
              <w:bottom w:w="30" w:type="dxa"/>
              <w:right w:w="120" w:type="dxa"/>
            </w:tcMar>
          </w:tcPr>
          <w:p w14:paraId="6EAD47B2">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18L（桶装）</w:t>
            </w:r>
          </w:p>
        </w:tc>
        <w:tc>
          <w:tcPr>
            <w:tcW w:w="1269" w:type="dxa"/>
            <w:tcMar>
              <w:top w:w="60" w:type="dxa"/>
              <w:left w:w="120" w:type="dxa"/>
              <w:bottom w:w="30" w:type="dxa"/>
              <w:right w:w="120" w:type="dxa"/>
            </w:tcMar>
            <w:vAlign w:val="center"/>
          </w:tcPr>
          <w:p w14:paraId="07AEE631">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w:t>
            </w:r>
          </w:p>
        </w:tc>
        <w:tc>
          <w:tcPr>
            <w:tcW w:w="836" w:type="dxa"/>
            <w:tcMar>
              <w:top w:w="60" w:type="dxa"/>
              <w:left w:w="120" w:type="dxa"/>
              <w:bottom w:w="30" w:type="dxa"/>
              <w:right w:w="120" w:type="dxa"/>
            </w:tcMar>
            <w:vAlign w:val="center"/>
          </w:tcPr>
          <w:p w14:paraId="79D9DE56">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桶</w:t>
            </w:r>
          </w:p>
        </w:tc>
        <w:tc>
          <w:tcPr>
            <w:tcW w:w="1229" w:type="dxa"/>
            <w:tcMar>
              <w:top w:w="60" w:type="dxa"/>
              <w:left w:w="120" w:type="dxa"/>
              <w:bottom w:w="30" w:type="dxa"/>
              <w:right w:w="120" w:type="dxa"/>
            </w:tcMar>
          </w:tcPr>
          <w:p w14:paraId="431A1FD1">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default" w:asciiTheme="majorEastAsia" w:hAnsiTheme="majorEastAsia" w:eastAsiaTheme="majorEastAsia" w:cstheme="majorEastAsia"/>
                <w:color w:val="auto"/>
                <w:sz w:val="24"/>
                <w:szCs w:val="24"/>
                <w:highlight w:val="none"/>
                <w:lang w:val="en-US" w:eastAsia="zh-CN"/>
              </w:rPr>
            </w:pPr>
          </w:p>
        </w:tc>
        <w:tc>
          <w:tcPr>
            <w:tcW w:w="1252" w:type="dxa"/>
            <w:tcMar>
              <w:top w:w="60" w:type="dxa"/>
              <w:left w:w="120" w:type="dxa"/>
              <w:bottom w:w="30" w:type="dxa"/>
              <w:right w:w="120" w:type="dxa"/>
            </w:tcMar>
          </w:tcPr>
          <w:p w14:paraId="5E601919">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default" w:asciiTheme="majorEastAsia" w:hAnsiTheme="majorEastAsia" w:eastAsiaTheme="majorEastAsia" w:cstheme="majorEastAsia"/>
                <w:color w:val="auto"/>
                <w:sz w:val="24"/>
                <w:szCs w:val="24"/>
                <w:highlight w:val="none"/>
                <w:lang w:val="en-US" w:eastAsia="zh-CN"/>
              </w:rPr>
            </w:pPr>
          </w:p>
        </w:tc>
      </w:tr>
      <w:tr w14:paraId="7169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3" w:hRule="atLeast"/>
          <w:jc w:val="center"/>
        </w:trPr>
        <w:tc>
          <w:tcPr>
            <w:tcW w:w="10201" w:type="dxa"/>
            <w:gridSpan w:val="7"/>
            <w:tcMar>
              <w:top w:w="60" w:type="dxa"/>
              <w:left w:w="120" w:type="dxa"/>
              <w:bottom w:w="30" w:type="dxa"/>
              <w:right w:w="120" w:type="dxa"/>
            </w:tcMar>
          </w:tcPr>
          <w:p w14:paraId="2A32FC5F">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合计：</w:t>
            </w:r>
            <w:r>
              <w:rPr>
                <w:rFonts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含税）</w:t>
            </w:r>
          </w:p>
        </w:tc>
      </w:tr>
    </w:tbl>
    <w:p w14:paraId="2F0F33D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合同总金额</w:t>
      </w:r>
    </w:p>
    <w:p w14:paraId="3715572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.1合同总金额为人民币大写：</w:t>
      </w:r>
      <w:r>
        <w:rPr>
          <w:rFonts w:hint="eastAsia" w:ascii="宋体" w:hAnsi="宋体" w:eastAsia="宋体" w:cs="宋体"/>
          <w:color w:val="auto"/>
          <w:kern w:val="0"/>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u w:val="single"/>
          <w:lang w:val="en-US" w:eastAsia="zh-CN"/>
        </w:rPr>
        <w:t>元整</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    .00）</w:t>
      </w:r>
      <w:r>
        <w:rPr>
          <w:rFonts w:hint="eastAsia" w:ascii="宋体" w:hAnsi="宋体" w:eastAsia="宋体" w:cs="宋体"/>
          <w:color w:val="auto"/>
          <w:kern w:val="0"/>
          <w:sz w:val="24"/>
          <w:szCs w:val="24"/>
          <w:highlight w:val="none"/>
          <w:u w:val="single"/>
          <w:lang w:eastAsia="zh-CN"/>
        </w:rPr>
        <w:t>（该价格为含税价，包含增值税、运输、包装、装卸等全部相关费用，甲方无需另行支付其他款项。）</w:t>
      </w:r>
      <w:r>
        <w:rPr>
          <w:rFonts w:ascii="宋体" w:hAnsi="宋体" w:eastAsia="宋体" w:cs="宋体"/>
          <w:color w:val="auto"/>
          <w:kern w:val="0"/>
          <w:sz w:val="24"/>
          <w:szCs w:val="24"/>
          <w:highlight w:val="none"/>
          <w:lang w:val="en-US" w:eastAsia="zh-CN" w:bidi="ar"/>
        </w:rPr>
        <w:t>。</w:t>
      </w:r>
    </w:p>
    <w:p w14:paraId="44EED47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合同标的交付时间、地点和条件</w:t>
      </w:r>
    </w:p>
    <w:p w14:paraId="76D4EB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交付时间：</w:t>
      </w:r>
      <w:r>
        <w:rPr>
          <w:rFonts w:hint="eastAsia" w:ascii="宋体" w:hAnsi="宋体" w:eastAsia="宋体" w:cs="宋体"/>
          <w:color w:val="auto"/>
          <w:kern w:val="0"/>
          <w:sz w:val="24"/>
          <w:szCs w:val="24"/>
          <w:highlight w:val="none"/>
          <w:u w:val="single"/>
        </w:rPr>
        <w:t>甲方提前下达供货需求后，乙方需在甲方通知后</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日内完成送货交付；</w:t>
      </w:r>
    </w:p>
    <w:p w14:paraId="4847700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交付地点：</w:t>
      </w:r>
      <w:r>
        <w:rPr>
          <w:rFonts w:hint="eastAsia" w:ascii="宋体" w:hAnsi="宋体" w:eastAsia="宋体" w:cs="宋体"/>
          <w:color w:val="auto"/>
          <w:kern w:val="0"/>
          <w:sz w:val="24"/>
          <w:szCs w:val="24"/>
          <w:highlight w:val="none"/>
          <w:u w:val="single"/>
        </w:rPr>
        <w:t>具体包含两处经营主体，①连城县天泉湾酒店运营有限公司，坐落于福建省连城县新泉镇北村榕河路26号②连城县天泉湾酒店运营有限公司莲峰分公司，坐落于福建省连城县莲峰镇大坪村廖屋山路33号莲嘉小区8幢。</w:t>
      </w:r>
    </w:p>
    <w:p w14:paraId="52D9B60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 交付条件：</w:t>
      </w:r>
      <w:r>
        <w:rPr>
          <w:rFonts w:hint="eastAsia" w:ascii="宋体" w:hAnsi="宋体" w:eastAsia="宋体" w:cs="宋体"/>
          <w:color w:val="auto"/>
          <w:kern w:val="0"/>
          <w:sz w:val="24"/>
          <w:szCs w:val="24"/>
          <w:highlight w:val="none"/>
          <w:u w:val="single"/>
        </w:rPr>
        <w:t>根据甲方每次下单需求足额配送，满足酒店日常客房、公共区域使用要求。</w:t>
      </w:r>
    </w:p>
    <w:p w14:paraId="70C2AA7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3.4 乙方</w:t>
      </w:r>
      <w:r>
        <w:rPr>
          <w:rFonts w:hint="eastAsia" w:ascii="宋体" w:hAnsi="宋体" w:eastAsia="宋体" w:cs="宋体"/>
          <w:color w:val="auto"/>
          <w:kern w:val="0"/>
          <w:sz w:val="24"/>
          <w:szCs w:val="24"/>
          <w:highlight w:val="none"/>
        </w:rPr>
        <w:t>所供产品为未使用过的全新产品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产品质量应满足国家及生产厂家的合格质量标</w:t>
      </w:r>
      <w:r>
        <w:rPr>
          <w:rFonts w:hint="eastAsia" w:ascii="宋体" w:hAnsi="宋体" w:eastAsia="宋体" w:cs="宋体"/>
          <w:color w:val="auto"/>
          <w:kern w:val="0"/>
          <w:sz w:val="24"/>
          <w:szCs w:val="24"/>
          <w:highlight w:val="none"/>
          <w:lang w:val="en-US" w:eastAsia="zh-CN"/>
        </w:rPr>
        <w:t>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各项技术规格及参数满足国家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行业及本合同</w:t>
      </w:r>
      <w:r>
        <w:rPr>
          <w:rFonts w:hint="eastAsia" w:ascii="宋体" w:hAnsi="宋体" w:eastAsia="宋体" w:cs="宋体"/>
          <w:color w:val="auto"/>
          <w:kern w:val="0"/>
          <w:sz w:val="24"/>
          <w:szCs w:val="24"/>
          <w:highlight w:val="none"/>
          <w:lang w:val="en-US" w:eastAsia="zh-CN"/>
        </w:rPr>
        <w:t>约定</w:t>
      </w:r>
      <w:r>
        <w:rPr>
          <w:rFonts w:hint="eastAsia" w:ascii="宋体" w:hAnsi="宋体" w:eastAsia="宋体" w:cs="宋体"/>
          <w:color w:val="auto"/>
          <w:kern w:val="0"/>
          <w:sz w:val="24"/>
          <w:szCs w:val="24"/>
          <w:highlight w:val="none"/>
        </w:rPr>
        <w:t>要求，任何属于产品质量问题的责任均由乙方承担。</w:t>
      </w:r>
    </w:p>
    <w:p w14:paraId="70E0B39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包装需标注产品名称、生产日期、保质期、生产厂家等信息，符合国家</w:t>
      </w:r>
      <w:r>
        <w:rPr>
          <w:rFonts w:ascii="宋体" w:hAnsi="宋体" w:eastAsia="宋体" w:cs="宋体"/>
          <w:color w:val="auto"/>
          <w:kern w:val="0"/>
          <w:sz w:val="24"/>
          <w:szCs w:val="24"/>
          <w:highlight w:val="none"/>
          <w:lang w:val="en-US" w:eastAsia="zh-CN" w:bidi="ar"/>
        </w:rPr>
        <w:t>食品</w:t>
      </w:r>
      <w:r>
        <w:rPr>
          <w:rFonts w:hint="eastAsia" w:ascii="宋体" w:hAnsi="宋体" w:eastAsia="宋体" w:cs="宋体"/>
          <w:color w:val="auto"/>
          <w:kern w:val="0"/>
          <w:sz w:val="24"/>
          <w:szCs w:val="24"/>
          <w:highlight w:val="none"/>
        </w:rPr>
        <w:t>包装规范</w:t>
      </w:r>
      <w:r>
        <w:rPr>
          <w:rFonts w:hint="eastAsia" w:ascii="宋体" w:hAnsi="宋体" w:eastAsia="宋体" w:cs="宋体"/>
          <w:color w:val="auto"/>
          <w:kern w:val="0"/>
          <w:sz w:val="24"/>
          <w:szCs w:val="24"/>
          <w:highlight w:val="none"/>
          <w:lang w:eastAsia="zh-CN"/>
        </w:rPr>
        <w:t>。</w:t>
      </w:r>
    </w:p>
    <w:p w14:paraId="5146E2C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w:t>
      </w:r>
      <w:r>
        <w:rPr>
          <w:rFonts w:ascii="宋体" w:hAnsi="宋体" w:eastAsia="宋体" w:cs="宋体"/>
          <w:color w:val="auto"/>
          <w:kern w:val="0"/>
          <w:sz w:val="24"/>
          <w:szCs w:val="24"/>
          <w:highlight w:val="none"/>
          <w:lang w:val="en-US" w:eastAsia="zh-CN" w:bidi="ar"/>
        </w:rPr>
        <w:t>乙方须严格按照约定品牌、规格、包装标准供货，未经甲方书面同意，不得擅自更换产品品牌、规格、包装材质</w:t>
      </w:r>
      <w:r>
        <w:rPr>
          <w:rFonts w:hint="eastAsia" w:ascii="宋体" w:hAnsi="宋体" w:eastAsia="宋体" w:cs="宋体"/>
          <w:color w:val="auto"/>
          <w:kern w:val="0"/>
          <w:sz w:val="24"/>
          <w:szCs w:val="24"/>
          <w:highlight w:val="none"/>
        </w:rPr>
        <w:t>。</w:t>
      </w:r>
    </w:p>
    <w:p w14:paraId="0597F6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验收</w:t>
      </w:r>
    </w:p>
    <w:p w14:paraId="6C1692B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w:t>
      </w:r>
      <w:r>
        <w:rPr>
          <w:rFonts w:ascii="宋体" w:hAnsi="宋体" w:eastAsia="宋体" w:cs="宋体"/>
          <w:color w:val="auto"/>
          <w:sz w:val="24"/>
          <w:szCs w:val="24"/>
          <w:highlight w:val="none"/>
        </w:rPr>
        <w:t>货物送达后甲方当场组织验收，乙方须派员到场配合，并随货提供产品合格证、质量证明等完整资料。双方代表共同验收并签署验收单据；乙方无故缺席验收，视为认可甲方验收结果。货物验收不合格，乙方须</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日内无条件更换合格产品。</w:t>
      </w:r>
    </w:p>
    <w:p w14:paraId="4A629B2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4.2</w:t>
      </w:r>
      <w:r>
        <w:rPr>
          <w:rFonts w:hint="eastAsia" w:ascii="宋体" w:hAnsi="宋体" w:eastAsia="宋体" w:cs="宋体"/>
          <w:color w:val="auto"/>
          <w:kern w:val="0"/>
          <w:sz w:val="24"/>
          <w:szCs w:val="24"/>
          <w:highlight w:val="none"/>
        </w:rPr>
        <w:t>原厂原包装供货</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，不得自行拆封或加装配件。</w:t>
      </w:r>
    </w:p>
    <w:p w14:paraId="5C96B8F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4.3</w:t>
      </w:r>
      <w:r>
        <w:rPr>
          <w:rFonts w:ascii="宋体" w:hAnsi="宋体" w:eastAsia="宋体" w:cs="宋体"/>
          <w:color w:val="auto"/>
          <w:kern w:val="0"/>
          <w:sz w:val="24"/>
          <w:szCs w:val="24"/>
          <w:highlight w:val="none"/>
          <w:lang w:val="en-US" w:eastAsia="zh-CN" w:bidi="ar"/>
        </w:rPr>
        <w:t>甲方有权对所供</w:t>
      </w:r>
      <w:r>
        <w:rPr>
          <w:rFonts w:hint="eastAsia" w:ascii="宋体" w:hAnsi="宋体" w:eastAsia="宋体" w:cs="宋体"/>
          <w:color w:val="auto"/>
          <w:kern w:val="0"/>
          <w:sz w:val="24"/>
          <w:szCs w:val="24"/>
          <w:highlight w:val="none"/>
          <w:lang w:val="en-US" w:eastAsia="zh-CN" w:bidi="ar"/>
        </w:rPr>
        <w:t>货物</w:t>
      </w:r>
      <w:r>
        <w:rPr>
          <w:rFonts w:ascii="宋体" w:hAnsi="宋体" w:eastAsia="宋体" w:cs="宋体"/>
          <w:color w:val="auto"/>
          <w:kern w:val="0"/>
          <w:sz w:val="24"/>
          <w:szCs w:val="24"/>
          <w:highlight w:val="none"/>
          <w:lang w:val="en-US" w:eastAsia="zh-CN" w:bidi="ar"/>
        </w:rPr>
        <w:t>抽样送检，检测费用全部包含在供货单价内，甲方不再另行付费；若检测判定水质、卫生、规格等质量不合格，视同乙方根本违约，甲方可拒收、解除合同并追究乙方全部违约责任；</w:t>
      </w:r>
    </w:p>
    <w:p w14:paraId="674F586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产品保期为生产后</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个月,质保期内发生问题，除甲方使用或保管不当等原因而造成质量问题的以外，由乙方负责免费更换。如无法更换甲方有权退货，并且乙方应承担因此给甲方造成的损失。质保期后，如需退换，乙方只收取成本费。乙方所供产品的卫生、质量及包装等必须符合《中华人民共和国食品安全法》的要求，如因产品本身质量问题引起甲方出现食品安全事故，由乙方承担一切法律责任及经济责任。</w:t>
      </w:r>
    </w:p>
    <w:p w14:paraId="2FD2AFE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合同款项的支付</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具体如下：</w:t>
      </w:r>
    </w:p>
    <w:tbl>
      <w:tblPr>
        <w:tblStyle w:val="9"/>
        <w:tblW w:w="5055"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261"/>
        <w:gridCol w:w="1721"/>
        <w:gridCol w:w="6997"/>
      </w:tblGrid>
      <w:tr w14:paraId="39F182A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70" w:hRule="atLeast"/>
          <w:tblHeader/>
        </w:trPr>
        <w:tc>
          <w:tcPr>
            <w:tcW w:w="63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BF4D1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Cs w:val="24"/>
                <w:highlight w:val="none"/>
              </w:rPr>
            </w:pPr>
            <w:r>
              <w:rPr>
                <w:rFonts w:ascii="宋体" w:hAnsi="宋体" w:eastAsia="宋体" w:cs="宋体"/>
                <w:color w:val="auto"/>
                <w:kern w:val="0"/>
                <w:sz w:val="24"/>
                <w:szCs w:val="24"/>
                <w:highlight w:val="none"/>
              </w:rPr>
              <w:t>支付期次</w:t>
            </w:r>
          </w:p>
        </w:tc>
        <w:tc>
          <w:tcPr>
            <w:tcW w:w="86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892C2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Cs w:val="24"/>
                <w:highlight w:val="none"/>
              </w:rPr>
            </w:pPr>
            <w:r>
              <w:rPr>
                <w:rFonts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val="en-US" w:eastAsia="zh-CN"/>
              </w:rPr>
              <w:t>比例</w:t>
            </w:r>
            <w:r>
              <w:rPr>
                <w:rFonts w:ascii="宋体" w:hAnsi="宋体" w:eastAsia="宋体" w:cs="宋体"/>
                <w:color w:val="auto"/>
                <w:kern w:val="0"/>
                <w:sz w:val="24"/>
                <w:szCs w:val="24"/>
                <w:highlight w:val="none"/>
              </w:rPr>
              <w:t>(%)</w:t>
            </w:r>
          </w:p>
        </w:tc>
        <w:tc>
          <w:tcPr>
            <w:tcW w:w="350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0CF24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Cs w:val="24"/>
                <w:highlight w:val="none"/>
              </w:rPr>
            </w:pPr>
            <w:r>
              <w:rPr>
                <w:rFonts w:ascii="宋体" w:hAnsi="宋体" w:eastAsia="宋体" w:cs="宋体"/>
                <w:color w:val="auto"/>
                <w:kern w:val="0"/>
                <w:sz w:val="24"/>
                <w:szCs w:val="24"/>
                <w:highlight w:val="none"/>
              </w:rPr>
              <w:t>支付期次说明</w:t>
            </w:r>
          </w:p>
        </w:tc>
      </w:tr>
      <w:tr w14:paraId="10E009E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632" w:type="pct"/>
            <w:tcBorders>
              <w:top w:val="single" w:color="666666" w:sz="6" w:space="0"/>
              <w:left w:val="single" w:color="666666" w:sz="6" w:space="0"/>
              <w:bottom w:val="single" w:color="666666" w:sz="6" w:space="0"/>
              <w:right w:val="single" w:color="666666" w:sz="6" w:space="0"/>
            </w:tcBorders>
            <w:shd w:val="clear" w:color="auto" w:fill="auto"/>
            <w:noWrap w:val="0"/>
            <w:vAlign w:val="center"/>
          </w:tcPr>
          <w:p w14:paraId="5F630A00">
            <w:pPr>
              <w:pStyle w:val="3"/>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1</w:t>
            </w:r>
          </w:p>
        </w:tc>
        <w:tc>
          <w:tcPr>
            <w:tcW w:w="862" w:type="pct"/>
            <w:tcBorders>
              <w:top w:val="single" w:color="666666" w:sz="6" w:space="0"/>
              <w:left w:val="single" w:color="666666" w:sz="6" w:space="0"/>
              <w:bottom w:val="single" w:color="666666" w:sz="6" w:space="0"/>
              <w:right w:val="single" w:color="666666" w:sz="6" w:space="0"/>
            </w:tcBorders>
            <w:shd w:val="clear" w:color="auto" w:fill="auto"/>
            <w:noWrap w:val="0"/>
            <w:vAlign w:val="center"/>
          </w:tcPr>
          <w:p w14:paraId="526800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w:t>
            </w:r>
          </w:p>
        </w:tc>
        <w:tc>
          <w:tcPr>
            <w:tcW w:w="3505" w:type="pct"/>
            <w:tcBorders>
              <w:top w:val="single" w:color="666666" w:sz="6" w:space="0"/>
              <w:left w:val="single" w:color="666666" w:sz="6" w:space="0"/>
              <w:bottom w:val="single" w:color="666666" w:sz="6" w:space="0"/>
              <w:right w:val="single" w:color="666666" w:sz="6" w:space="0"/>
            </w:tcBorders>
            <w:shd w:val="clear" w:color="auto" w:fill="auto"/>
            <w:noWrap w:val="0"/>
            <w:vAlign w:val="center"/>
          </w:tcPr>
          <w:p w14:paraId="27E595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支付方式：</w:t>
            </w:r>
            <w:r>
              <w:rPr>
                <w:rFonts w:ascii="宋体" w:hAnsi="宋体" w:eastAsia="宋体" w:cs="宋体"/>
                <w:color w:val="auto"/>
                <w:sz w:val="24"/>
                <w:szCs w:val="24"/>
                <w:highlight w:val="none"/>
              </w:rPr>
              <w:t>按季度付款，以银行转账方式支付货款，</w:t>
            </w:r>
            <w:r>
              <w:rPr>
                <w:rFonts w:hint="eastAsia" w:ascii="宋体" w:hAnsi="宋体" w:eastAsia="宋体" w:cs="宋体"/>
                <w:color w:val="auto"/>
                <w:sz w:val="24"/>
                <w:szCs w:val="24"/>
                <w:highlight w:val="none"/>
                <w:lang w:val="en-US" w:eastAsia="zh-CN"/>
              </w:rPr>
              <w:t>甲方</w:t>
            </w:r>
            <w:r>
              <w:rPr>
                <w:rFonts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乙方</w:t>
            </w:r>
            <w:r>
              <w:rPr>
                <w:rFonts w:ascii="宋体" w:hAnsi="宋体" w:eastAsia="宋体" w:cs="宋体"/>
                <w:color w:val="auto"/>
                <w:sz w:val="24"/>
                <w:szCs w:val="24"/>
                <w:highlight w:val="none"/>
              </w:rPr>
              <w:t>实际供货情况据实结算货款。</w:t>
            </w:r>
          </w:p>
          <w:p w14:paraId="323338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实际结算原则：本季度经</w:t>
            </w:r>
            <w:r>
              <w:rPr>
                <w:rFonts w:hint="eastAsia" w:ascii="宋体" w:hAnsi="宋体" w:eastAsia="宋体" w:cs="宋体"/>
                <w:color w:val="auto"/>
                <w:sz w:val="24"/>
                <w:szCs w:val="24"/>
                <w:highlight w:val="none"/>
                <w:lang w:val="en-US" w:eastAsia="zh-CN"/>
              </w:rPr>
              <w:t>甲方</w:t>
            </w:r>
            <w:r>
              <w:rPr>
                <w:rFonts w:ascii="宋体" w:hAnsi="宋体" w:eastAsia="宋体" w:cs="宋体"/>
                <w:color w:val="auto"/>
                <w:sz w:val="24"/>
                <w:szCs w:val="24"/>
                <w:highlight w:val="none"/>
              </w:rPr>
              <w:t>验收合格的矿泉水实际供货数量×中标固定含税单价；中标单价合同履行期内不作调整，供货数量以双方共同签字确认的到货验收单据为结算依据。</w:t>
            </w:r>
          </w:p>
          <w:p w14:paraId="3EC1B86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sz w:val="24"/>
                <w:szCs w:val="24"/>
                <w:highlight w:val="none"/>
              </w:rPr>
              <w:t>乙方完成全部供货，货物经甲方验收合格并交付使用，且乙方足额提供对应发票后，甲方于</w:t>
            </w:r>
            <w:r>
              <w:rPr>
                <w:rFonts w:hint="eastAsia" w:ascii="宋体" w:hAnsi="宋体" w:eastAsia="宋体" w:cs="宋体"/>
                <w:color w:val="auto"/>
                <w:sz w:val="24"/>
                <w:szCs w:val="24"/>
                <w:highlight w:val="none"/>
                <w:lang w:val="en-US" w:eastAsia="zh-CN"/>
              </w:rPr>
              <w:t>20</w:t>
            </w:r>
            <w:r>
              <w:rPr>
                <w:rFonts w:ascii="宋体" w:hAnsi="宋体" w:eastAsia="宋体" w:cs="宋体"/>
                <w:color w:val="auto"/>
                <w:sz w:val="24"/>
                <w:szCs w:val="24"/>
                <w:highlight w:val="none"/>
              </w:rPr>
              <w:t>个工作日内一次性付清全款</w:t>
            </w:r>
            <w:r>
              <w:rPr>
                <w:rFonts w:hint="eastAsia" w:ascii="宋体" w:hAnsi="宋体" w:eastAsia="宋体" w:cs="宋体"/>
                <w:color w:val="auto"/>
                <w:sz w:val="24"/>
                <w:szCs w:val="24"/>
                <w:highlight w:val="none"/>
                <w:lang w:eastAsia="zh-CN"/>
              </w:rPr>
              <w:t>。</w:t>
            </w:r>
          </w:p>
        </w:tc>
      </w:tr>
    </w:tbl>
    <w:p w14:paraId="0594B08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甲方付款前乙方应提供与支付期次等额的</w:t>
      </w:r>
      <w:r>
        <w:rPr>
          <w:rFonts w:hint="eastAsia" w:ascii="宋体" w:hAnsi="宋体" w:eastAsia="宋体" w:cs="宋体"/>
          <w:color w:val="auto"/>
          <w:kern w:val="0"/>
          <w:sz w:val="24"/>
          <w:szCs w:val="24"/>
          <w:highlight w:val="none"/>
          <w:lang w:val="en-US" w:eastAsia="zh-CN"/>
        </w:rPr>
        <w:t>增值税专用</w:t>
      </w:r>
      <w:r>
        <w:rPr>
          <w:rFonts w:hint="eastAsia" w:ascii="宋体" w:hAnsi="宋体" w:eastAsia="宋体" w:cs="宋体"/>
          <w:color w:val="auto"/>
          <w:kern w:val="0"/>
          <w:sz w:val="24"/>
          <w:szCs w:val="24"/>
          <w:highlight w:val="none"/>
        </w:rPr>
        <w:t>发票，</w:t>
      </w:r>
      <w:r>
        <w:rPr>
          <w:rFonts w:ascii="宋体" w:hAnsi="宋体" w:eastAsia="宋体" w:cs="宋体"/>
          <w:color w:val="auto"/>
          <w:sz w:val="24"/>
          <w:szCs w:val="24"/>
          <w:highlight w:val="none"/>
        </w:rPr>
        <w:t>乙方未按要求提供合规发票的，甲方有权顺延付款，且乙方需承担由此产生的全部损失</w:t>
      </w:r>
      <w:r>
        <w:rPr>
          <w:rFonts w:hint="eastAsia" w:ascii="宋体" w:hAnsi="宋体" w:eastAsia="宋体" w:cs="宋体"/>
          <w:color w:val="auto"/>
          <w:kern w:val="0"/>
          <w:sz w:val="24"/>
          <w:szCs w:val="24"/>
          <w:highlight w:val="none"/>
        </w:rPr>
        <w:t>。</w:t>
      </w:r>
    </w:p>
    <w:p w14:paraId="1D085ADB">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合同有效期 </w:t>
      </w:r>
    </w:p>
    <w:p w14:paraId="7FE6C3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u w:val="none"/>
          <w:lang w:val="en-US" w:eastAsia="zh-CN"/>
        </w:rPr>
      </w:pPr>
      <w:r>
        <w:rPr>
          <w:rFonts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1</w:t>
      </w:r>
      <w:r>
        <w:rPr>
          <w:rFonts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US" w:eastAsia="zh-CN"/>
        </w:rPr>
        <w:t>本项目供货服务期限为2年，本合同有效期自签订之日起，至2年供货期满、全部款项结清且所有质保义务履行完毕之日止</w:t>
      </w:r>
      <w:r>
        <w:rPr>
          <w:rFonts w:ascii="宋体" w:hAnsi="宋体" w:eastAsia="宋体" w:cs="宋体"/>
          <w:color w:val="auto"/>
          <w:sz w:val="24"/>
          <w:szCs w:val="24"/>
          <w:highlight w:val="none"/>
          <w:u w:val="none"/>
          <w:lang w:val="en-US" w:eastAsia="zh-CN"/>
        </w:rPr>
        <w:t>。</w:t>
      </w:r>
    </w:p>
    <w:p w14:paraId="35DE9E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违约责任 </w:t>
      </w:r>
    </w:p>
    <w:p w14:paraId="7AB0C71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lang w:val="en-US" w:eastAsia="zh-CN" w:bidi="ar"/>
        </w:rPr>
        <w:t>乙方未按甲方通知时限如期送货的</w:t>
      </w:r>
      <w:r>
        <w:rPr>
          <w:rFonts w:hint="eastAsia" w:ascii="宋体" w:hAnsi="宋体" w:eastAsia="宋体" w:cs="宋体"/>
          <w:color w:val="auto"/>
          <w:kern w:val="0"/>
          <w:sz w:val="24"/>
          <w:szCs w:val="24"/>
          <w:highlight w:val="none"/>
        </w:rPr>
        <w:t>，将按每延期一日</w:t>
      </w:r>
      <w:r>
        <w:rPr>
          <w:rFonts w:hint="eastAsia" w:ascii="宋体" w:hAnsi="宋体" w:eastAsia="宋体" w:cs="宋体"/>
          <w:b w:val="0"/>
          <w:bCs/>
          <w:color w:val="auto"/>
          <w:kern w:val="0"/>
          <w:sz w:val="24"/>
          <w:szCs w:val="24"/>
          <w:highlight w:val="none"/>
          <w:lang w:val="en-US" w:eastAsia="zh-CN"/>
        </w:rPr>
        <w:t>向甲方支付100元违约金</w:t>
      </w:r>
      <w:r>
        <w:rPr>
          <w:rFonts w:hint="eastAsia" w:ascii="宋体" w:hAnsi="宋体" w:eastAsia="宋体" w:cs="宋体"/>
          <w:color w:val="auto"/>
          <w:kern w:val="0"/>
          <w:sz w:val="24"/>
          <w:szCs w:val="24"/>
          <w:highlight w:val="none"/>
          <w:lang w:eastAsia="zh-CN"/>
        </w:rPr>
        <w:t>，逾期超过10日，甲方有权无条件解除合同。</w:t>
      </w:r>
    </w:p>
    <w:p w14:paraId="7C8D8AC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.2</w:t>
      </w:r>
      <w:r>
        <w:rPr>
          <w:rFonts w:ascii="宋体" w:hAnsi="宋体" w:eastAsia="宋体" w:cs="宋体"/>
          <w:color w:val="auto"/>
          <w:sz w:val="24"/>
          <w:szCs w:val="24"/>
          <w:highlight w:val="none"/>
        </w:rPr>
        <w:t>若乙方所供货物的品类、规格、参数、品质与合同约定不符，视为乙方违约。甲方有权拒收货物、解除本合同，乙方须在限期内换货，并赔偿甲方因此产生的经济损失。</w:t>
      </w:r>
    </w:p>
    <w:p w14:paraId="7C732D3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sz w:val="24"/>
          <w:szCs w:val="24"/>
          <w:highlight w:val="none"/>
        </w:rPr>
        <w:t>本项目严禁乙方分包、转包。若甲方发现乙方擅自分包、转包，有权立即解除合同，乙方须承担合同总金额</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0%的违约金，并赔偿甲方全部损失</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101693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 xml:space="preserve">知识产权 </w:t>
      </w:r>
    </w:p>
    <w:p w14:paraId="4B8D29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 xml:space="preserve">.1 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 </w:t>
      </w:r>
    </w:p>
    <w:p w14:paraId="551CEC2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若乙方提供的</w:t>
      </w:r>
      <w:r>
        <w:rPr>
          <w:rFonts w:ascii="宋体" w:hAnsi="宋体" w:eastAsia="宋体" w:cs="宋体"/>
          <w:color w:val="auto"/>
          <w:sz w:val="24"/>
          <w:szCs w:val="24"/>
          <w:highlight w:val="none"/>
        </w:rPr>
        <w:t>货物被认定为假冒伪劣、侵犯知识产权产品，甲方有权解除合同、拒收货物，乙方须退还全部货款，并按合同总金额</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0%向甲方支付违约金，同时承担全部法律后果。</w:t>
      </w:r>
      <w:r>
        <w:rPr>
          <w:rFonts w:hint="eastAsia" w:ascii="宋体" w:hAnsi="宋体" w:eastAsia="宋体" w:cs="宋体"/>
          <w:color w:val="auto"/>
          <w:kern w:val="0"/>
          <w:sz w:val="24"/>
          <w:szCs w:val="24"/>
          <w:highlight w:val="none"/>
        </w:rPr>
        <w:t xml:space="preserve"> </w:t>
      </w:r>
    </w:p>
    <w:p w14:paraId="24A735E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 xml:space="preserve">解决争议的方法 </w:t>
      </w:r>
    </w:p>
    <w:p w14:paraId="65A3870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 xml:space="preserve">.1 甲、乙双方协商解决。 </w:t>
      </w:r>
    </w:p>
    <w:p w14:paraId="21EB06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 xml:space="preserve">.2 若协商解决不成，则通过下列途径之一解决： </w:t>
      </w:r>
    </w:p>
    <w:p w14:paraId="003683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□提交仲裁委员会仲裁，具体如下</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rPr>
        <w:t xml:space="preserve">。 </w:t>
      </w:r>
    </w:p>
    <w:p w14:paraId="10B8A0A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☑向甲方所在地人民法院提起诉讼，具体如下：</w:t>
      </w:r>
      <w:r>
        <w:rPr>
          <w:rFonts w:hint="eastAsia" w:ascii="宋体" w:hAnsi="宋体" w:eastAsia="宋体" w:cs="宋体"/>
          <w:color w:val="auto"/>
          <w:kern w:val="0"/>
          <w:sz w:val="24"/>
          <w:szCs w:val="24"/>
          <w:highlight w:val="none"/>
          <w:u w:val="single"/>
        </w:rPr>
        <w:t>败诉方承担包括但不限于诉讼费、交通费、财产保全保险费、保全费、律师代理费等相关费用</w:t>
      </w:r>
      <w:r>
        <w:rPr>
          <w:rFonts w:hint="eastAsia" w:ascii="宋体" w:hAnsi="宋体" w:eastAsia="宋体" w:cs="宋体"/>
          <w:color w:val="auto"/>
          <w:kern w:val="0"/>
          <w:sz w:val="24"/>
          <w:szCs w:val="24"/>
          <w:highlight w:val="none"/>
        </w:rPr>
        <w:t xml:space="preserve">。 </w:t>
      </w:r>
    </w:p>
    <w:p w14:paraId="54F7E0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 xml:space="preserve">不可抗力 </w:t>
      </w:r>
    </w:p>
    <w:p w14:paraId="3AE2B87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 xml:space="preserve">.1 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 </w:t>
      </w:r>
    </w:p>
    <w:p w14:paraId="249181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 xml:space="preserve">.2 本合同中的不可抗力指不能预见、不能避免、不能克服的客观情况，包括但不限于：自然灾害如地震、台风、洪水、火灾及政府行为、法律规定或其适用的变化或其他任何无法 预见、避免或控制的事件。 </w:t>
      </w:r>
    </w:p>
    <w:p w14:paraId="2ED1040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 xml:space="preserve">甲方的权利义务 </w:t>
      </w:r>
    </w:p>
    <w:p w14:paraId="1F78FB5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.1按时足额支付款项，以确保乙方按时按量完成任务。</w:t>
      </w:r>
    </w:p>
    <w:p w14:paraId="20F8C73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.2</w:t>
      </w:r>
      <w:r>
        <w:rPr>
          <w:rFonts w:ascii="宋体" w:hAnsi="宋体" w:eastAsia="宋体" w:cs="宋体"/>
          <w:color w:val="auto"/>
          <w:sz w:val="24"/>
          <w:szCs w:val="24"/>
          <w:highlight w:val="none"/>
        </w:rPr>
        <w:t>甲方有权对到货货物质量、供货进度进行查验监督，对不合格问题有权要求乙方限期整改</w:t>
      </w:r>
      <w:r>
        <w:rPr>
          <w:rFonts w:hint="eastAsia" w:ascii="宋体" w:hAnsi="宋体" w:eastAsia="宋体" w:cs="宋体"/>
          <w:color w:val="auto"/>
          <w:kern w:val="0"/>
          <w:sz w:val="24"/>
          <w:szCs w:val="24"/>
          <w:highlight w:val="none"/>
        </w:rPr>
        <w:t>。</w:t>
      </w:r>
    </w:p>
    <w:p w14:paraId="5D20E2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.3法律、法规规定的其他义务。</w:t>
      </w:r>
    </w:p>
    <w:p w14:paraId="0E67547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乙方的权利义务</w:t>
      </w:r>
    </w:p>
    <w:p w14:paraId="14F20E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.1依照本合同约定的内容和标准提供相应的货物，并承担相关售后服务，接受甲方的监督。</w:t>
      </w:r>
    </w:p>
    <w:p w14:paraId="17077D2E">
      <w:pPr>
        <w:keepNext w:val="0"/>
        <w:keepLines w:val="0"/>
        <w:pageBreakBefore w:val="0"/>
        <w:kinsoku/>
        <w:wordWrap/>
        <w:overflowPunct/>
        <w:topLinePunct w:val="0"/>
        <w:autoSpaceDE/>
        <w:autoSpaceDN/>
        <w:bidi w:val="0"/>
        <w:adjustRightInd/>
        <w:snapToGrid/>
        <w:spacing w:line="360" w:lineRule="auto"/>
        <w:ind w:firstLine="47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12</w:t>
      </w:r>
      <w:r>
        <w:rPr>
          <w:rFonts w:hint="eastAsia" w:ascii="宋体" w:hAnsi="宋体" w:eastAsia="宋体" w:cs="宋体"/>
          <w:color w:val="auto"/>
          <w:spacing w:val="-2"/>
          <w:sz w:val="24"/>
          <w:szCs w:val="24"/>
          <w:highlight w:val="none"/>
        </w:rPr>
        <w:t>.2依照国家、有关规定和本合同约定，制订供货计划，</w:t>
      </w:r>
      <w:r>
        <w:rPr>
          <w:rFonts w:hint="eastAsia" w:ascii="宋体" w:hAnsi="宋体" w:eastAsia="宋体" w:cs="宋体"/>
          <w:color w:val="auto"/>
          <w:sz w:val="24"/>
          <w:szCs w:val="24"/>
          <w:highlight w:val="none"/>
        </w:rPr>
        <w:t>并组织实施；</w:t>
      </w:r>
    </w:p>
    <w:p w14:paraId="706584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.3对甲方违反国家、有关法律法规的行为，进行劝阻、制止，劝阻、制止无效的应及时书面报告有关行政主管部门；</w:t>
      </w:r>
    </w:p>
    <w:p w14:paraId="43D0ED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.4负责所供货物交货验收前的保管工作；</w:t>
      </w:r>
    </w:p>
    <w:p w14:paraId="5F8389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.5法律、法规规定的其他义务。</w:t>
      </w:r>
    </w:p>
    <w:p w14:paraId="015BFD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商业廉洁约定</w:t>
      </w:r>
    </w:p>
    <w:p w14:paraId="130C10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一致同意坚决抵制一切商业贿赂行为，任何一方及工作人员不得私下收受、给予合同价款以外现金、礼品、消费、福利等不正当利益；一方违反本条约定，另一方有权单方解除合同，本次全部供货交易视为无效，违约方赔偿对方全部经济损失。</w:t>
      </w:r>
    </w:p>
    <w:p w14:paraId="3BE63C1A">
      <w:pPr>
        <w:keepNext w:val="0"/>
        <w:keepLines w:val="0"/>
        <w:pageBreakBefore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其他约定 </w:t>
      </w:r>
    </w:p>
    <w:p w14:paraId="30870A7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14.1 履约保证金：履约保证金为合同金额的10%，乙方可以选择现金转账或银行保函或国有企业的担保保函等形式，在合同签订前提交。履约担保有效期至合同履行完成验收合格，乙方提出书面申请后28日历天内一次性无息退回。采用保函形式的，保函能够通过互联网且无需任何授权即可在相应的官方网站验证真伪，并在保函上写明网址。</w:t>
      </w:r>
    </w:p>
    <w:p w14:paraId="28F898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合同</w:t>
      </w:r>
      <w:r>
        <w:rPr>
          <w:rFonts w:hint="eastAsia" w:ascii="宋体" w:hAnsi="宋体" w:eastAsia="宋体" w:cs="宋体"/>
          <w:color w:val="auto"/>
          <w:kern w:val="0"/>
          <w:sz w:val="24"/>
          <w:szCs w:val="24"/>
          <w:highlight w:val="none"/>
          <w:lang w:val="en-US" w:eastAsia="zh-CN"/>
        </w:rPr>
        <w:t>附件</w:t>
      </w:r>
      <w:r>
        <w:rPr>
          <w:rFonts w:hint="eastAsia" w:ascii="宋体" w:hAnsi="宋体" w:eastAsia="宋体" w:cs="宋体"/>
          <w:color w:val="auto"/>
          <w:kern w:val="0"/>
          <w:sz w:val="24"/>
          <w:szCs w:val="24"/>
          <w:highlight w:val="none"/>
        </w:rPr>
        <w:t>与本合同具有同等法律效力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本合同未尽事宜，双方可另行补充。 </w:t>
      </w:r>
    </w:p>
    <w:p w14:paraId="0694C89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 本合同一式</w:t>
      </w:r>
      <w:r>
        <w:rPr>
          <w:rFonts w:hint="eastAsia" w:ascii="宋体" w:hAnsi="宋体" w:eastAsia="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rPr>
        <w:t>份，甲乙双方各执</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 xml:space="preserve">份，双方签字盖章后生效，具有同等法律效力。 </w:t>
      </w:r>
    </w:p>
    <w:p w14:paraId="5C1F358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（以下无正文）</w:t>
      </w:r>
    </w:p>
    <w:p w14:paraId="4004A7C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p>
    <w:tbl>
      <w:tblPr>
        <w:tblStyle w:val="10"/>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2"/>
        <w:gridCol w:w="392"/>
        <w:gridCol w:w="5084"/>
      </w:tblGrid>
      <w:tr w14:paraId="645A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182" w:type="dxa"/>
            <w:tcBorders>
              <w:top w:val="nil"/>
              <w:left w:val="nil"/>
              <w:bottom w:val="nil"/>
              <w:right w:val="nil"/>
            </w:tcBorders>
            <w:vAlign w:val="center"/>
          </w:tcPr>
          <w:p w14:paraId="6E666367">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color w:val="auto"/>
                <w:highlight w:val="none"/>
                <w:vertAlign w:val="baseline"/>
                <w:lang w:val="en-US" w:eastAsia="zh-CN"/>
              </w:rPr>
            </w:pPr>
            <w:r>
              <w:rPr>
                <w:rFonts w:hint="eastAsia"/>
                <w:color w:val="auto"/>
                <w:highlight w:val="none"/>
                <w:vertAlign w:val="baseline"/>
                <w:lang w:val="en-US" w:eastAsia="zh-CN"/>
              </w:rPr>
              <w:t>甲方（盖章）：连城县天泉湾酒店运营有限公司</w:t>
            </w:r>
          </w:p>
        </w:tc>
        <w:tc>
          <w:tcPr>
            <w:tcW w:w="392" w:type="dxa"/>
            <w:tcBorders>
              <w:top w:val="nil"/>
              <w:left w:val="nil"/>
              <w:bottom w:val="nil"/>
              <w:right w:val="nil"/>
            </w:tcBorders>
            <w:vAlign w:val="center"/>
          </w:tcPr>
          <w:p w14:paraId="5905D91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color w:val="auto"/>
                <w:highlight w:val="none"/>
                <w:vertAlign w:val="baseline"/>
                <w:lang w:val="en-US" w:eastAsia="zh-CN"/>
              </w:rPr>
            </w:pPr>
          </w:p>
        </w:tc>
        <w:tc>
          <w:tcPr>
            <w:tcW w:w="5084" w:type="dxa"/>
            <w:tcBorders>
              <w:top w:val="nil"/>
              <w:left w:val="nil"/>
              <w:bottom w:val="nil"/>
              <w:right w:val="nil"/>
            </w:tcBorders>
            <w:vAlign w:val="center"/>
          </w:tcPr>
          <w:p w14:paraId="4152B646">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乙方（盖章）：</w:t>
            </w:r>
          </w:p>
        </w:tc>
      </w:tr>
      <w:tr w14:paraId="6AED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182" w:type="dxa"/>
            <w:tcBorders>
              <w:top w:val="nil"/>
              <w:left w:val="nil"/>
              <w:bottom w:val="nil"/>
              <w:right w:val="nil"/>
            </w:tcBorders>
            <w:vAlign w:val="center"/>
          </w:tcPr>
          <w:p w14:paraId="0A0E0125">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法定代表人（签章）：</w:t>
            </w:r>
          </w:p>
        </w:tc>
        <w:tc>
          <w:tcPr>
            <w:tcW w:w="392" w:type="dxa"/>
            <w:tcBorders>
              <w:top w:val="nil"/>
              <w:left w:val="nil"/>
              <w:bottom w:val="nil"/>
              <w:right w:val="nil"/>
            </w:tcBorders>
            <w:vAlign w:val="center"/>
          </w:tcPr>
          <w:p w14:paraId="7D1CB14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vertAlign w:val="baseline"/>
                <w:lang w:val="en-US" w:eastAsia="zh-CN"/>
              </w:rPr>
            </w:pPr>
          </w:p>
        </w:tc>
        <w:tc>
          <w:tcPr>
            <w:tcW w:w="5084" w:type="dxa"/>
            <w:tcBorders>
              <w:top w:val="nil"/>
              <w:left w:val="nil"/>
              <w:bottom w:val="nil"/>
              <w:right w:val="nil"/>
            </w:tcBorders>
            <w:shd w:val="clear" w:color="auto" w:fill="auto"/>
            <w:vAlign w:val="center"/>
          </w:tcPr>
          <w:p w14:paraId="56F78E5E">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法定代表人（签章）：</w:t>
            </w:r>
          </w:p>
        </w:tc>
      </w:tr>
      <w:tr w14:paraId="37EC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182" w:type="dxa"/>
            <w:tcBorders>
              <w:top w:val="nil"/>
              <w:left w:val="nil"/>
              <w:bottom w:val="nil"/>
              <w:right w:val="nil"/>
            </w:tcBorders>
            <w:vAlign w:val="center"/>
          </w:tcPr>
          <w:p w14:paraId="461C79A5">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住所：福建省连城县新泉镇北村榕河路26号</w:t>
            </w:r>
          </w:p>
        </w:tc>
        <w:tc>
          <w:tcPr>
            <w:tcW w:w="392" w:type="dxa"/>
            <w:tcBorders>
              <w:top w:val="nil"/>
              <w:left w:val="nil"/>
              <w:bottom w:val="nil"/>
              <w:right w:val="nil"/>
            </w:tcBorders>
            <w:vAlign w:val="center"/>
          </w:tcPr>
          <w:p w14:paraId="0107101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vertAlign w:val="baseline"/>
                <w:lang w:val="en-US" w:eastAsia="zh-CN"/>
              </w:rPr>
            </w:pPr>
          </w:p>
        </w:tc>
        <w:tc>
          <w:tcPr>
            <w:tcW w:w="5084" w:type="dxa"/>
            <w:tcBorders>
              <w:top w:val="nil"/>
              <w:left w:val="nil"/>
              <w:bottom w:val="nil"/>
              <w:right w:val="nil"/>
            </w:tcBorders>
            <w:shd w:val="clear" w:color="auto" w:fill="auto"/>
            <w:vAlign w:val="center"/>
          </w:tcPr>
          <w:p w14:paraId="45C40A76">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住所：</w:t>
            </w:r>
          </w:p>
        </w:tc>
      </w:tr>
      <w:tr w14:paraId="59EF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82" w:type="dxa"/>
            <w:tcBorders>
              <w:top w:val="nil"/>
              <w:left w:val="nil"/>
              <w:bottom w:val="nil"/>
              <w:right w:val="nil"/>
            </w:tcBorders>
            <w:vAlign w:val="center"/>
          </w:tcPr>
          <w:p w14:paraId="58B180F5">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联系电话：19805978729</w:t>
            </w:r>
          </w:p>
        </w:tc>
        <w:tc>
          <w:tcPr>
            <w:tcW w:w="392" w:type="dxa"/>
            <w:tcBorders>
              <w:top w:val="nil"/>
              <w:left w:val="nil"/>
              <w:bottom w:val="nil"/>
              <w:right w:val="nil"/>
            </w:tcBorders>
            <w:vAlign w:val="center"/>
          </w:tcPr>
          <w:p w14:paraId="7E32661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vertAlign w:val="baseline"/>
                <w:lang w:val="en-US" w:eastAsia="zh-CN"/>
              </w:rPr>
            </w:pPr>
          </w:p>
        </w:tc>
        <w:tc>
          <w:tcPr>
            <w:tcW w:w="5084" w:type="dxa"/>
            <w:tcBorders>
              <w:top w:val="nil"/>
              <w:left w:val="nil"/>
              <w:bottom w:val="nil"/>
              <w:right w:val="nil"/>
            </w:tcBorders>
            <w:shd w:val="clear" w:color="auto" w:fill="auto"/>
            <w:vAlign w:val="center"/>
          </w:tcPr>
          <w:p w14:paraId="4D7B8CE6">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联系电话：</w:t>
            </w:r>
          </w:p>
        </w:tc>
      </w:tr>
      <w:tr w14:paraId="74B6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182" w:type="dxa"/>
            <w:tcBorders>
              <w:top w:val="nil"/>
              <w:left w:val="nil"/>
              <w:bottom w:val="nil"/>
              <w:right w:val="nil"/>
            </w:tcBorders>
            <w:vAlign w:val="center"/>
          </w:tcPr>
          <w:p w14:paraId="39894171">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开户银行：连城县农村信用合作联社新泉信用社</w:t>
            </w:r>
          </w:p>
        </w:tc>
        <w:tc>
          <w:tcPr>
            <w:tcW w:w="392" w:type="dxa"/>
            <w:tcBorders>
              <w:top w:val="nil"/>
              <w:left w:val="nil"/>
              <w:bottom w:val="nil"/>
              <w:right w:val="nil"/>
            </w:tcBorders>
            <w:vAlign w:val="center"/>
          </w:tcPr>
          <w:p w14:paraId="7F671DF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vertAlign w:val="baseline"/>
                <w:lang w:val="en-US" w:eastAsia="zh-CN"/>
              </w:rPr>
            </w:pPr>
          </w:p>
        </w:tc>
        <w:tc>
          <w:tcPr>
            <w:tcW w:w="5084" w:type="dxa"/>
            <w:tcBorders>
              <w:top w:val="nil"/>
              <w:left w:val="nil"/>
              <w:bottom w:val="nil"/>
              <w:right w:val="nil"/>
            </w:tcBorders>
            <w:shd w:val="clear" w:color="auto" w:fill="auto"/>
            <w:vAlign w:val="center"/>
          </w:tcPr>
          <w:p w14:paraId="591C4FF3">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开户银行：</w:t>
            </w:r>
          </w:p>
        </w:tc>
      </w:tr>
      <w:tr w14:paraId="44DD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182" w:type="dxa"/>
            <w:tcBorders>
              <w:top w:val="nil"/>
              <w:left w:val="nil"/>
              <w:bottom w:val="nil"/>
              <w:right w:val="nil"/>
            </w:tcBorders>
            <w:vAlign w:val="center"/>
          </w:tcPr>
          <w:p w14:paraId="7BB3501C">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银行账号：9090813010010000036075</w:t>
            </w:r>
          </w:p>
        </w:tc>
        <w:tc>
          <w:tcPr>
            <w:tcW w:w="392" w:type="dxa"/>
            <w:tcBorders>
              <w:top w:val="nil"/>
              <w:left w:val="nil"/>
              <w:bottom w:val="nil"/>
              <w:right w:val="nil"/>
            </w:tcBorders>
            <w:vAlign w:val="center"/>
          </w:tcPr>
          <w:p w14:paraId="23B8654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vertAlign w:val="baseline"/>
                <w:lang w:val="en-US" w:eastAsia="zh-CN"/>
              </w:rPr>
            </w:pPr>
          </w:p>
        </w:tc>
        <w:tc>
          <w:tcPr>
            <w:tcW w:w="5084" w:type="dxa"/>
            <w:tcBorders>
              <w:top w:val="nil"/>
              <w:left w:val="nil"/>
              <w:bottom w:val="nil"/>
              <w:right w:val="nil"/>
            </w:tcBorders>
            <w:shd w:val="clear" w:color="auto" w:fill="auto"/>
            <w:vAlign w:val="center"/>
          </w:tcPr>
          <w:p w14:paraId="1A59720E">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银行账号：</w:t>
            </w:r>
          </w:p>
        </w:tc>
      </w:tr>
      <w:tr w14:paraId="7FE6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82" w:type="dxa"/>
            <w:tcBorders>
              <w:top w:val="nil"/>
              <w:left w:val="nil"/>
              <w:bottom w:val="nil"/>
              <w:right w:val="nil"/>
            </w:tcBorders>
            <w:vAlign w:val="center"/>
          </w:tcPr>
          <w:p w14:paraId="33BFEAF1">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统一社会信用代码：91350825MAE5GWC59Y</w:t>
            </w:r>
          </w:p>
        </w:tc>
        <w:tc>
          <w:tcPr>
            <w:tcW w:w="392" w:type="dxa"/>
            <w:tcBorders>
              <w:top w:val="nil"/>
              <w:left w:val="nil"/>
              <w:bottom w:val="nil"/>
              <w:right w:val="nil"/>
            </w:tcBorders>
            <w:vAlign w:val="center"/>
          </w:tcPr>
          <w:p w14:paraId="7D74661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vertAlign w:val="baseline"/>
                <w:lang w:val="en-US" w:eastAsia="zh-CN"/>
              </w:rPr>
            </w:pPr>
          </w:p>
        </w:tc>
        <w:tc>
          <w:tcPr>
            <w:tcW w:w="5084" w:type="dxa"/>
            <w:tcBorders>
              <w:top w:val="nil"/>
              <w:left w:val="nil"/>
              <w:bottom w:val="nil"/>
              <w:right w:val="nil"/>
            </w:tcBorders>
            <w:shd w:val="clear" w:color="auto" w:fill="auto"/>
            <w:vAlign w:val="center"/>
          </w:tcPr>
          <w:p w14:paraId="04F789F2">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统一社会信用代码：</w:t>
            </w:r>
          </w:p>
        </w:tc>
      </w:tr>
      <w:tr w14:paraId="48AF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658" w:type="dxa"/>
            <w:gridSpan w:val="3"/>
            <w:tcBorders>
              <w:top w:val="nil"/>
              <w:left w:val="nil"/>
              <w:bottom w:val="nil"/>
              <w:right w:val="nil"/>
            </w:tcBorders>
            <w:vAlign w:val="center"/>
          </w:tcPr>
          <w:p w14:paraId="1B018251">
            <w:pPr>
              <w:keepNext w:val="0"/>
              <w:keepLines w:val="0"/>
              <w:pageBreakBefore w:val="0"/>
              <w:widowControl/>
              <w:kinsoku/>
              <w:wordWrap/>
              <w:overflowPunct/>
              <w:topLinePunct w:val="0"/>
              <w:autoSpaceDE/>
              <w:autoSpaceDN/>
              <w:bidi w:val="0"/>
              <w:adjustRightInd/>
              <w:snapToGrid/>
              <w:spacing w:before="75" w:after="75" w:line="360" w:lineRule="auto"/>
              <w:jc w:val="left"/>
              <w:textAlignment w:val="auto"/>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签订地点：</w:t>
            </w:r>
            <w:r>
              <w:rPr>
                <w:rFonts w:hint="eastAsia" w:asciiTheme="minorEastAsia" w:hAnsiTheme="minorEastAsia" w:eastAsiaTheme="minorEastAsia" w:cstheme="minorEastAsia"/>
                <w:color w:val="auto"/>
                <w:kern w:val="0"/>
                <w:sz w:val="24"/>
                <w:szCs w:val="24"/>
                <w:highlight w:val="none"/>
                <w:u w:val="single"/>
                <w:lang w:val="en-US" w:eastAsia="zh-CN"/>
              </w:rPr>
              <w:t xml:space="preserve"> 连城县新泉镇 </w:t>
            </w:r>
          </w:p>
          <w:p w14:paraId="16AAFA6F">
            <w:pPr>
              <w:keepNext w:val="0"/>
              <w:keepLines w:val="0"/>
              <w:pageBreakBefore w:val="0"/>
              <w:widowControl/>
              <w:kinsoku/>
              <w:wordWrap/>
              <w:overflowPunct/>
              <w:topLinePunct w:val="0"/>
              <w:autoSpaceDE/>
              <w:autoSpaceDN/>
              <w:bidi w:val="0"/>
              <w:adjustRightInd/>
              <w:snapToGrid/>
              <w:spacing w:before="75" w:after="75" w:line="360" w:lineRule="auto"/>
              <w:jc w:val="left"/>
              <w:textAlignment w:val="auto"/>
              <w:rPr>
                <w:rFonts w:hint="eastAsia" w:ascii="Times New Roman" w:hAnsi="Times New Roman" w:eastAsia="宋体" w:cs="Times New Roman"/>
                <w:color w:val="auto"/>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rPr>
              <w:t>签订日期：</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日</w:t>
            </w:r>
          </w:p>
        </w:tc>
      </w:tr>
    </w:tbl>
    <w:p w14:paraId="1F1442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00" w:leftChars="0" w:firstLine="562" w:firstLineChars="200"/>
        <w:textAlignment w:val="auto"/>
        <w:rPr>
          <w:rFonts w:hint="eastAsia" w:ascii="宋体" w:hAnsi="宋体" w:eastAsia="宋体" w:cs="宋体"/>
          <w:b/>
          <w:bCs/>
          <w:color w:val="auto"/>
          <w:sz w:val="28"/>
          <w:szCs w:val="28"/>
          <w:highlight w:val="none"/>
        </w:rPr>
      </w:pPr>
    </w:p>
    <w:p w14:paraId="717DE77F">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color w:val="auto"/>
          <w:highlight w:val="none"/>
        </w:rPr>
      </w:pPr>
    </w:p>
    <w:sectPr>
      <w:headerReference r:id="rId3" w:type="default"/>
      <w:footerReference r:id="rId4" w:type="default"/>
      <w:pgSz w:w="11906" w:h="16838"/>
      <w:pgMar w:top="1043" w:right="1026" w:bottom="1043" w:left="10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0EE3">
    <w:pPr>
      <w:pStyle w:val="6"/>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7568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1756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C0670">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4DA5E"/>
    <w:multiLevelType w:val="singleLevel"/>
    <w:tmpl w:val="F134DA5E"/>
    <w:lvl w:ilvl="0" w:tentative="0">
      <w:start w:val="14"/>
      <w:numFmt w:val="decimal"/>
      <w:suff w:val="space"/>
      <w:lvlText w:val="%1."/>
      <w:lvlJc w:val="left"/>
    </w:lvl>
  </w:abstractNum>
  <w:abstractNum w:abstractNumId="1">
    <w:nsid w:val="0000000B"/>
    <w:multiLevelType w:val="multilevel"/>
    <w:tmpl w:val="0000000B"/>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8"/>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2">
    <w:nsid w:val="0F6F26BC"/>
    <w:multiLevelType w:val="singleLevel"/>
    <w:tmpl w:val="0F6F26BC"/>
    <w:lvl w:ilvl="0" w:tentative="0">
      <w:start w:val="6"/>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97065"/>
    <w:rsid w:val="001009DC"/>
    <w:rsid w:val="00774B32"/>
    <w:rsid w:val="00D348C5"/>
    <w:rsid w:val="00EB1C0E"/>
    <w:rsid w:val="010F7FF3"/>
    <w:rsid w:val="01D803E5"/>
    <w:rsid w:val="026D3223"/>
    <w:rsid w:val="03D66BA6"/>
    <w:rsid w:val="045A77D7"/>
    <w:rsid w:val="046E3282"/>
    <w:rsid w:val="049942AC"/>
    <w:rsid w:val="04C01C5A"/>
    <w:rsid w:val="04C2712A"/>
    <w:rsid w:val="05191440"/>
    <w:rsid w:val="052E47BF"/>
    <w:rsid w:val="05A625A8"/>
    <w:rsid w:val="06141C07"/>
    <w:rsid w:val="065869DA"/>
    <w:rsid w:val="066761DB"/>
    <w:rsid w:val="06823015"/>
    <w:rsid w:val="06B37672"/>
    <w:rsid w:val="06C947A0"/>
    <w:rsid w:val="06DF410B"/>
    <w:rsid w:val="073C1416"/>
    <w:rsid w:val="07943000"/>
    <w:rsid w:val="079923C4"/>
    <w:rsid w:val="08202AE5"/>
    <w:rsid w:val="08A454C4"/>
    <w:rsid w:val="08E21B49"/>
    <w:rsid w:val="09886B94"/>
    <w:rsid w:val="099866AB"/>
    <w:rsid w:val="0AD876A7"/>
    <w:rsid w:val="0B161F7E"/>
    <w:rsid w:val="0B1A381C"/>
    <w:rsid w:val="0B73117E"/>
    <w:rsid w:val="0C087B18"/>
    <w:rsid w:val="0C1741FF"/>
    <w:rsid w:val="0C1E558E"/>
    <w:rsid w:val="0C5C1C12"/>
    <w:rsid w:val="0C8C24F7"/>
    <w:rsid w:val="0D8D29CB"/>
    <w:rsid w:val="0DE325EB"/>
    <w:rsid w:val="0DF02F5A"/>
    <w:rsid w:val="0E567261"/>
    <w:rsid w:val="0EC00B7E"/>
    <w:rsid w:val="0F24110D"/>
    <w:rsid w:val="0F5F0397"/>
    <w:rsid w:val="0FAC2EB1"/>
    <w:rsid w:val="0FAE09D7"/>
    <w:rsid w:val="10101691"/>
    <w:rsid w:val="110E3E23"/>
    <w:rsid w:val="110E5BD1"/>
    <w:rsid w:val="11B85B3D"/>
    <w:rsid w:val="12A460C1"/>
    <w:rsid w:val="12FC57B3"/>
    <w:rsid w:val="130A061A"/>
    <w:rsid w:val="13280AA0"/>
    <w:rsid w:val="13347445"/>
    <w:rsid w:val="13723F8E"/>
    <w:rsid w:val="13B3480E"/>
    <w:rsid w:val="13CC3B21"/>
    <w:rsid w:val="13D6315D"/>
    <w:rsid w:val="14060DE1"/>
    <w:rsid w:val="14333BA0"/>
    <w:rsid w:val="14C8253B"/>
    <w:rsid w:val="156A53A0"/>
    <w:rsid w:val="156F29B6"/>
    <w:rsid w:val="157D50D3"/>
    <w:rsid w:val="158A77F0"/>
    <w:rsid w:val="15F80BFE"/>
    <w:rsid w:val="160C28FB"/>
    <w:rsid w:val="16526560"/>
    <w:rsid w:val="16E15B36"/>
    <w:rsid w:val="16F07B27"/>
    <w:rsid w:val="170F4451"/>
    <w:rsid w:val="1763654B"/>
    <w:rsid w:val="17996410"/>
    <w:rsid w:val="17A27073"/>
    <w:rsid w:val="18041ADC"/>
    <w:rsid w:val="186662F2"/>
    <w:rsid w:val="186E33F9"/>
    <w:rsid w:val="18714C97"/>
    <w:rsid w:val="18910E95"/>
    <w:rsid w:val="18972950"/>
    <w:rsid w:val="18DC4807"/>
    <w:rsid w:val="18E45469"/>
    <w:rsid w:val="19D92AF4"/>
    <w:rsid w:val="1A0538E9"/>
    <w:rsid w:val="1A206975"/>
    <w:rsid w:val="1A2E524E"/>
    <w:rsid w:val="1A3441CE"/>
    <w:rsid w:val="1A530AF8"/>
    <w:rsid w:val="1AD32329"/>
    <w:rsid w:val="1AED2CFB"/>
    <w:rsid w:val="1BA710FC"/>
    <w:rsid w:val="1BF400B9"/>
    <w:rsid w:val="1C7134B8"/>
    <w:rsid w:val="1C784846"/>
    <w:rsid w:val="1CB91826"/>
    <w:rsid w:val="1DBA49EB"/>
    <w:rsid w:val="1E592455"/>
    <w:rsid w:val="1F1D250F"/>
    <w:rsid w:val="1F264A2D"/>
    <w:rsid w:val="1F3802BD"/>
    <w:rsid w:val="1F3A2287"/>
    <w:rsid w:val="1F634C1F"/>
    <w:rsid w:val="1FCA360B"/>
    <w:rsid w:val="201725C8"/>
    <w:rsid w:val="20743577"/>
    <w:rsid w:val="20A26336"/>
    <w:rsid w:val="219739C1"/>
    <w:rsid w:val="21D06ED2"/>
    <w:rsid w:val="22252D7A"/>
    <w:rsid w:val="222C235B"/>
    <w:rsid w:val="224D22D1"/>
    <w:rsid w:val="22E569AE"/>
    <w:rsid w:val="22EC3898"/>
    <w:rsid w:val="22F10EAE"/>
    <w:rsid w:val="22F664C5"/>
    <w:rsid w:val="23735D67"/>
    <w:rsid w:val="23897339"/>
    <w:rsid w:val="23C40371"/>
    <w:rsid w:val="23D66BBB"/>
    <w:rsid w:val="23DC56BB"/>
    <w:rsid w:val="23E46C65"/>
    <w:rsid w:val="24C745BD"/>
    <w:rsid w:val="253D03DB"/>
    <w:rsid w:val="260D24A3"/>
    <w:rsid w:val="269C55D5"/>
    <w:rsid w:val="26D27249"/>
    <w:rsid w:val="271433BD"/>
    <w:rsid w:val="27247AA4"/>
    <w:rsid w:val="279D7857"/>
    <w:rsid w:val="27AE3812"/>
    <w:rsid w:val="27DD5EA5"/>
    <w:rsid w:val="27F07987"/>
    <w:rsid w:val="27F8683B"/>
    <w:rsid w:val="28494BE2"/>
    <w:rsid w:val="28793E20"/>
    <w:rsid w:val="288602EB"/>
    <w:rsid w:val="28E3364C"/>
    <w:rsid w:val="291853E7"/>
    <w:rsid w:val="2919115F"/>
    <w:rsid w:val="29312005"/>
    <w:rsid w:val="29763EBB"/>
    <w:rsid w:val="298A3E0B"/>
    <w:rsid w:val="2A0001C5"/>
    <w:rsid w:val="2A2658E2"/>
    <w:rsid w:val="2A273408"/>
    <w:rsid w:val="2A331DAD"/>
    <w:rsid w:val="2B2D7144"/>
    <w:rsid w:val="2C3B13EC"/>
    <w:rsid w:val="2C8D2EC2"/>
    <w:rsid w:val="2D173C07"/>
    <w:rsid w:val="2D287BC3"/>
    <w:rsid w:val="2D32459D"/>
    <w:rsid w:val="2DEF06E0"/>
    <w:rsid w:val="2E0B376C"/>
    <w:rsid w:val="2E232138"/>
    <w:rsid w:val="2E496043"/>
    <w:rsid w:val="2E4F2F2D"/>
    <w:rsid w:val="2E876B6B"/>
    <w:rsid w:val="2E976DAE"/>
    <w:rsid w:val="2EBA2A9C"/>
    <w:rsid w:val="2EF37D5C"/>
    <w:rsid w:val="2F25260C"/>
    <w:rsid w:val="2F723377"/>
    <w:rsid w:val="2FE57FED"/>
    <w:rsid w:val="302208F9"/>
    <w:rsid w:val="30446AC1"/>
    <w:rsid w:val="306A22A0"/>
    <w:rsid w:val="309D61D2"/>
    <w:rsid w:val="30FB64E8"/>
    <w:rsid w:val="314B20D2"/>
    <w:rsid w:val="31AC0DC2"/>
    <w:rsid w:val="31CC3212"/>
    <w:rsid w:val="320A7897"/>
    <w:rsid w:val="32342B66"/>
    <w:rsid w:val="328E671A"/>
    <w:rsid w:val="329A6E6D"/>
    <w:rsid w:val="33571B89"/>
    <w:rsid w:val="33DE722D"/>
    <w:rsid w:val="341B222F"/>
    <w:rsid w:val="345968B4"/>
    <w:rsid w:val="346239BA"/>
    <w:rsid w:val="34675474"/>
    <w:rsid w:val="346E6803"/>
    <w:rsid w:val="348E47AF"/>
    <w:rsid w:val="350D1C3C"/>
    <w:rsid w:val="351E3DE1"/>
    <w:rsid w:val="352B0250"/>
    <w:rsid w:val="358F13AC"/>
    <w:rsid w:val="35C12962"/>
    <w:rsid w:val="35E548A3"/>
    <w:rsid w:val="35ED3757"/>
    <w:rsid w:val="373A405E"/>
    <w:rsid w:val="375A12C0"/>
    <w:rsid w:val="3767500A"/>
    <w:rsid w:val="37797999"/>
    <w:rsid w:val="377A101B"/>
    <w:rsid w:val="37D800AA"/>
    <w:rsid w:val="37E56DDC"/>
    <w:rsid w:val="37FB65FF"/>
    <w:rsid w:val="3851621F"/>
    <w:rsid w:val="38523D46"/>
    <w:rsid w:val="38765C86"/>
    <w:rsid w:val="38B13162"/>
    <w:rsid w:val="39297065"/>
    <w:rsid w:val="39447B32"/>
    <w:rsid w:val="39697599"/>
    <w:rsid w:val="3A612966"/>
    <w:rsid w:val="3A8A3C6B"/>
    <w:rsid w:val="3AD14FE6"/>
    <w:rsid w:val="3B471B5C"/>
    <w:rsid w:val="3C095063"/>
    <w:rsid w:val="3C705267"/>
    <w:rsid w:val="3CA31014"/>
    <w:rsid w:val="3D2A703F"/>
    <w:rsid w:val="3D361E88"/>
    <w:rsid w:val="3DA47C31"/>
    <w:rsid w:val="3DB334D8"/>
    <w:rsid w:val="3DD82F3F"/>
    <w:rsid w:val="3E2B7513"/>
    <w:rsid w:val="3E3A59A8"/>
    <w:rsid w:val="3E5E6398"/>
    <w:rsid w:val="3E5F7FDB"/>
    <w:rsid w:val="3EAA48DB"/>
    <w:rsid w:val="3F544847"/>
    <w:rsid w:val="3F670E16"/>
    <w:rsid w:val="3FFF2A05"/>
    <w:rsid w:val="403C5A07"/>
    <w:rsid w:val="40416B7A"/>
    <w:rsid w:val="406867FC"/>
    <w:rsid w:val="40A435AC"/>
    <w:rsid w:val="411150DB"/>
    <w:rsid w:val="417B255F"/>
    <w:rsid w:val="41B82E6B"/>
    <w:rsid w:val="41C21F3C"/>
    <w:rsid w:val="428B0580"/>
    <w:rsid w:val="42A72EE0"/>
    <w:rsid w:val="42B23D5F"/>
    <w:rsid w:val="42C27D1A"/>
    <w:rsid w:val="42F26851"/>
    <w:rsid w:val="43144A19"/>
    <w:rsid w:val="43853221"/>
    <w:rsid w:val="43996CCD"/>
    <w:rsid w:val="439D67BD"/>
    <w:rsid w:val="43A538C3"/>
    <w:rsid w:val="43D917BF"/>
    <w:rsid w:val="43F9776B"/>
    <w:rsid w:val="44627A06"/>
    <w:rsid w:val="44C1472D"/>
    <w:rsid w:val="45592BB7"/>
    <w:rsid w:val="4577128F"/>
    <w:rsid w:val="459260C9"/>
    <w:rsid w:val="467632F5"/>
    <w:rsid w:val="474451A1"/>
    <w:rsid w:val="477A0BC3"/>
    <w:rsid w:val="478101A3"/>
    <w:rsid w:val="47925F0D"/>
    <w:rsid w:val="47E26E94"/>
    <w:rsid w:val="48084421"/>
    <w:rsid w:val="48745BFB"/>
    <w:rsid w:val="48D03190"/>
    <w:rsid w:val="491312CF"/>
    <w:rsid w:val="49535B70"/>
    <w:rsid w:val="49AD63B3"/>
    <w:rsid w:val="49F92273"/>
    <w:rsid w:val="4A525E27"/>
    <w:rsid w:val="4A8F0E29"/>
    <w:rsid w:val="4B045373"/>
    <w:rsid w:val="4B69167A"/>
    <w:rsid w:val="4B6978CC"/>
    <w:rsid w:val="4B751DCD"/>
    <w:rsid w:val="4C3B5A15"/>
    <w:rsid w:val="4C5D11DF"/>
    <w:rsid w:val="4D111FCA"/>
    <w:rsid w:val="4D3F4746"/>
    <w:rsid w:val="4DB84525"/>
    <w:rsid w:val="4DC00786"/>
    <w:rsid w:val="4E320449"/>
    <w:rsid w:val="4E881E17"/>
    <w:rsid w:val="4E920EE8"/>
    <w:rsid w:val="4EA604F0"/>
    <w:rsid w:val="4EB33338"/>
    <w:rsid w:val="4EC8490A"/>
    <w:rsid w:val="4EEC23A6"/>
    <w:rsid w:val="4F147B4F"/>
    <w:rsid w:val="4F93316A"/>
    <w:rsid w:val="4FD317B8"/>
    <w:rsid w:val="505C355C"/>
    <w:rsid w:val="50852AB2"/>
    <w:rsid w:val="50D17AA6"/>
    <w:rsid w:val="50DD469C"/>
    <w:rsid w:val="51450494"/>
    <w:rsid w:val="519A711F"/>
    <w:rsid w:val="51C32090"/>
    <w:rsid w:val="52CA6EA2"/>
    <w:rsid w:val="52D01FDF"/>
    <w:rsid w:val="53281E1B"/>
    <w:rsid w:val="532F6D06"/>
    <w:rsid w:val="536A7B15"/>
    <w:rsid w:val="537D2167"/>
    <w:rsid w:val="539F6D74"/>
    <w:rsid w:val="54212AF2"/>
    <w:rsid w:val="545C3B2A"/>
    <w:rsid w:val="548E036A"/>
    <w:rsid w:val="56486A26"/>
    <w:rsid w:val="56505911"/>
    <w:rsid w:val="56CD0D0F"/>
    <w:rsid w:val="571E77BD"/>
    <w:rsid w:val="572052E3"/>
    <w:rsid w:val="577E200A"/>
    <w:rsid w:val="577E64AD"/>
    <w:rsid w:val="57A23F4A"/>
    <w:rsid w:val="581F37ED"/>
    <w:rsid w:val="58445001"/>
    <w:rsid w:val="58A12453"/>
    <w:rsid w:val="5A292701"/>
    <w:rsid w:val="5A3612C1"/>
    <w:rsid w:val="5A843DDB"/>
    <w:rsid w:val="5AC643F3"/>
    <w:rsid w:val="5AD31D08"/>
    <w:rsid w:val="5ADF7263"/>
    <w:rsid w:val="5AED3BDE"/>
    <w:rsid w:val="5B3E0678"/>
    <w:rsid w:val="5B597015"/>
    <w:rsid w:val="5B687259"/>
    <w:rsid w:val="5BA67D81"/>
    <w:rsid w:val="5BAF0380"/>
    <w:rsid w:val="5BC76675"/>
    <w:rsid w:val="5C602626"/>
    <w:rsid w:val="5D086F45"/>
    <w:rsid w:val="5D1C12D3"/>
    <w:rsid w:val="5D7E7207"/>
    <w:rsid w:val="5DB20C5F"/>
    <w:rsid w:val="5DFB0858"/>
    <w:rsid w:val="5E2D6537"/>
    <w:rsid w:val="5E4775F9"/>
    <w:rsid w:val="5E84084D"/>
    <w:rsid w:val="5F0B387C"/>
    <w:rsid w:val="5FA10F8B"/>
    <w:rsid w:val="601856F1"/>
    <w:rsid w:val="6028345A"/>
    <w:rsid w:val="60545FFD"/>
    <w:rsid w:val="6062696C"/>
    <w:rsid w:val="60A07495"/>
    <w:rsid w:val="60B82A30"/>
    <w:rsid w:val="60C72C73"/>
    <w:rsid w:val="60DF1D6B"/>
    <w:rsid w:val="6118702B"/>
    <w:rsid w:val="612E2CF2"/>
    <w:rsid w:val="617701F5"/>
    <w:rsid w:val="61E909C7"/>
    <w:rsid w:val="61F45CEA"/>
    <w:rsid w:val="62B15989"/>
    <w:rsid w:val="63021D41"/>
    <w:rsid w:val="636E5628"/>
    <w:rsid w:val="63A14DDA"/>
    <w:rsid w:val="63B674AC"/>
    <w:rsid w:val="63D3192F"/>
    <w:rsid w:val="63ED0C43"/>
    <w:rsid w:val="64C179D9"/>
    <w:rsid w:val="651838A9"/>
    <w:rsid w:val="652E1513"/>
    <w:rsid w:val="65FF07B9"/>
    <w:rsid w:val="6615622F"/>
    <w:rsid w:val="68150768"/>
    <w:rsid w:val="68580655"/>
    <w:rsid w:val="6871597E"/>
    <w:rsid w:val="68A37B22"/>
    <w:rsid w:val="68AB2E7A"/>
    <w:rsid w:val="69704AFB"/>
    <w:rsid w:val="69E14DA6"/>
    <w:rsid w:val="69E76134"/>
    <w:rsid w:val="69EE301F"/>
    <w:rsid w:val="6A8614A9"/>
    <w:rsid w:val="6A9A31A7"/>
    <w:rsid w:val="6AB724ED"/>
    <w:rsid w:val="6B1D005F"/>
    <w:rsid w:val="6B96396E"/>
    <w:rsid w:val="6BE566A3"/>
    <w:rsid w:val="6BF54B38"/>
    <w:rsid w:val="6C2C42D2"/>
    <w:rsid w:val="6C474C68"/>
    <w:rsid w:val="6CBA7B30"/>
    <w:rsid w:val="6D4573FA"/>
    <w:rsid w:val="6D543AE1"/>
    <w:rsid w:val="6D9E6B0A"/>
    <w:rsid w:val="6E0C43BB"/>
    <w:rsid w:val="6E573888"/>
    <w:rsid w:val="6F1352D6"/>
    <w:rsid w:val="6F3C65DA"/>
    <w:rsid w:val="6F944668"/>
    <w:rsid w:val="6FDB5DF3"/>
    <w:rsid w:val="6FDE58E3"/>
    <w:rsid w:val="6FE729EA"/>
    <w:rsid w:val="709E0994"/>
    <w:rsid w:val="713D7BBE"/>
    <w:rsid w:val="715C11B6"/>
    <w:rsid w:val="715F4802"/>
    <w:rsid w:val="71706A0F"/>
    <w:rsid w:val="717F28B3"/>
    <w:rsid w:val="721750DD"/>
    <w:rsid w:val="72231CD3"/>
    <w:rsid w:val="72435ED2"/>
    <w:rsid w:val="724E11C4"/>
    <w:rsid w:val="72872262"/>
    <w:rsid w:val="72EE408F"/>
    <w:rsid w:val="73D74B24"/>
    <w:rsid w:val="744D3038"/>
    <w:rsid w:val="744E128A"/>
    <w:rsid w:val="745919DD"/>
    <w:rsid w:val="74D13C69"/>
    <w:rsid w:val="74D6127F"/>
    <w:rsid w:val="750E0A19"/>
    <w:rsid w:val="75BA64AB"/>
    <w:rsid w:val="75EB0D5A"/>
    <w:rsid w:val="76A333E3"/>
    <w:rsid w:val="76B86E8E"/>
    <w:rsid w:val="76F51E90"/>
    <w:rsid w:val="7730111A"/>
    <w:rsid w:val="77495D38"/>
    <w:rsid w:val="77905715"/>
    <w:rsid w:val="77B86667"/>
    <w:rsid w:val="77DF669D"/>
    <w:rsid w:val="783E1615"/>
    <w:rsid w:val="783E33C3"/>
    <w:rsid w:val="78E421BD"/>
    <w:rsid w:val="790C34C1"/>
    <w:rsid w:val="7922142F"/>
    <w:rsid w:val="792C3B64"/>
    <w:rsid w:val="794C38BE"/>
    <w:rsid w:val="797D616D"/>
    <w:rsid w:val="798E3ED6"/>
    <w:rsid w:val="79B17BC5"/>
    <w:rsid w:val="7A5073DE"/>
    <w:rsid w:val="7A5275FA"/>
    <w:rsid w:val="7A65732D"/>
    <w:rsid w:val="7B1B79EC"/>
    <w:rsid w:val="7B931C78"/>
    <w:rsid w:val="7BCC0CE6"/>
    <w:rsid w:val="7BCE4A5E"/>
    <w:rsid w:val="7BDF310F"/>
    <w:rsid w:val="7C38637B"/>
    <w:rsid w:val="7C4F3DF1"/>
    <w:rsid w:val="7C8F68E3"/>
    <w:rsid w:val="7CB82067"/>
    <w:rsid w:val="7D225061"/>
    <w:rsid w:val="7D697134"/>
    <w:rsid w:val="7D874B49"/>
    <w:rsid w:val="7DBA7990"/>
    <w:rsid w:val="7DE20C95"/>
    <w:rsid w:val="7E130E4E"/>
    <w:rsid w:val="7E7044F2"/>
    <w:rsid w:val="7E9C7095"/>
    <w:rsid w:val="7EB51F05"/>
    <w:rsid w:val="7EBB39C0"/>
    <w:rsid w:val="7F08472B"/>
    <w:rsid w:val="7F264BB1"/>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next w:val="1"/>
    <w:qFormat/>
    <w:uiPriority w:val="0"/>
    <w:pPr>
      <w:keepNext/>
      <w:keepLines/>
      <w:widowControl w:val="0"/>
      <w:spacing w:before="260" w:beforeLines="0" w:after="260" w:afterLines="0" w:line="416" w:lineRule="auto"/>
      <w:jc w:val="both"/>
      <w:outlineLvl w:val="1"/>
    </w:pPr>
    <w:rPr>
      <w:rFonts w:ascii="Arial" w:hAnsi="Arial" w:eastAsia="黑体" w:cs="Calibri"/>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next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4">
    <w:name w:val="annotation text"/>
    <w:qFormat/>
    <w:uiPriority w:val="0"/>
    <w:pPr>
      <w:widowControl w:val="0"/>
      <w:jc w:val="left"/>
    </w:pPr>
    <w:rPr>
      <w:rFonts w:ascii="宋体" w:hAnsi="宋体" w:eastAsia="宋体" w:cs="宋体"/>
      <w:kern w:val="2"/>
      <w:sz w:val="28"/>
      <w:szCs w:val="28"/>
      <w:lang w:val="en-US" w:eastAsia="zh-CN"/>
    </w:rPr>
  </w:style>
  <w:style w:type="paragraph" w:styleId="5">
    <w:name w:val="Body Text Indent 2"/>
    <w:qFormat/>
    <w:uiPriority w:val="0"/>
    <w:pPr>
      <w:widowControl w:val="0"/>
      <w:spacing w:line="20" w:lineRule="atLeast"/>
      <w:ind w:firstLine="199" w:firstLineChars="199"/>
      <w:jc w:val="left"/>
    </w:pPr>
    <w:rPr>
      <w:rFonts w:ascii="宋体" w:hAnsi="Times New Roman" w:eastAsia="宋体" w:cs="Times New Roman"/>
      <w:kern w:val="2"/>
      <w:sz w:val="24"/>
      <w:szCs w:val="24"/>
      <w:lang w:val="en-US" w:eastAsia="zh-CN" w:bidi="ar-SA"/>
    </w:rPr>
  </w:style>
  <w:style w:type="paragraph" w:styleId="6">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7">
    <w:name w:val="Normal (Web)"/>
    <w:next w:val="8"/>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szCs w:val="22"/>
      <w:lang w:val="en-US" w:eastAsia="zh-CN" w:bidi="ar"/>
    </w:rPr>
  </w:style>
  <w:style w:type="paragraph" w:customStyle="1" w:styleId="8">
    <w:name w:val="样式 标题 3 + (中文) 黑体 小四 非加粗 段前: 7.8 磅 段后: 0 磅 行距: 固定值 20 磅"/>
    <w:autoRedefine/>
    <w:qFormat/>
    <w:uiPriority w:val="0"/>
    <w:pPr>
      <w:keepNext/>
      <w:keepLines/>
      <w:widowControl w:val="0"/>
      <w:numPr>
        <w:ilvl w:val="2"/>
        <w:numId w:val="1"/>
      </w:numPr>
      <w:tabs>
        <w:tab w:val="left" w:pos="425"/>
      </w:tabs>
      <w:spacing w:before="0" w:after="0" w:line="400" w:lineRule="exact"/>
      <w:jc w:val="both"/>
      <w:outlineLvl w:val="2"/>
    </w:pPr>
    <w:rPr>
      <w:rFonts w:ascii="Calibri" w:hAnsi="Calibri" w:eastAsia="黑体" w:cs="宋体"/>
      <w:bCs/>
      <w:kern w:val="2"/>
      <w:sz w:val="24"/>
      <w:szCs w:val="20"/>
      <w:lang w:val="en-US" w:eastAsia="zh-CN" w:bidi="ar-SA"/>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7902</Words>
  <Characters>8459</Characters>
  <Lines>0</Lines>
  <Paragraphs>0</Paragraphs>
  <TotalTime>3</TotalTime>
  <ScaleCrop>false</ScaleCrop>
  <LinksUpToDate>false</LinksUpToDate>
  <CharactersWithSpaces>8637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2026-04-11T03:55:00Z</dcterms:created>
  <dc:creator>邱~labe</dc:creator>
  <cp:lastModifiedBy>Administrator</cp:lastModifiedBy>
  <dcterms:modified xsi:type="dcterms:W3CDTF">2026-07-14T08:10:40Z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FEDABB949A154652BB250A9F6BDF3ECD_11</vt:lpwstr>
  </property>
  <property fmtid="{D5CDD505-2E9C-101B-9397-08002B2CF9AE}" pid="4" name="KSOTemplateDocerSaveRecord">
    <vt:lpwstr>eyJoZGlkIjoiOGFjMmU0Yjk5NmUyMjAwNzM3OGEzNzg5ZGMyZDkzOWUiLCJ1c2VySWQiOiIxNTc4Njk4MDQ3In0=</vt:lpwstr>
  </property>
</Properties>
</file>