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C30A82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25" w:line="360" w:lineRule="exact"/>
        <w:jc w:val="center"/>
        <w:textAlignment w:val="auto"/>
        <w:rPr>
          <w:rFonts w:hint="eastAsia" w:ascii="宋体" w:hAnsi="宋体" w:eastAsia="宋体" w:cs="宋体"/>
          <w:color w:val="auto"/>
          <w:sz w:val="44"/>
          <w:szCs w:val="44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44"/>
          <w:szCs w:val="44"/>
          <w:highlight w:val="none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44"/>
          <w:szCs w:val="44"/>
          <w:highlight w:val="none"/>
          <w:shd w:val="clear" w:color="auto" w:fill="FFFFFF"/>
        </w:rPr>
        <w:t>网络竞价须知</w:t>
      </w:r>
    </w:p>
    <w:p w14:paraId="4075846D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 w:val="0"/>
        <w:spacing w:before="225" w:line="360" w:lineRule="exact"/>
        <w:jc w:val="center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</w:rPr>
        <w:t>（项目编号: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eastAsia="zh-CN"/>
        </w:rPr>
        <w:t>LCCQJJ2026081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</w:rPr>
        <w:t>）</w:t>
      </w:r>
    </w:p>
    <w:p w14:paraId="59EC2C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</w:p>
    <w:p w14:paraId="5FF80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连城县国有资产产权交易服务有限公司（以下简称本公司）遵循“公开、公平、公正、诚实信用”的原则，依照国家法律、法规、政策为本次竞价活动提供服务。现将有关竞价事项告知如下：</w:t>
      </w:r>
    </w:p>
    <w:p w14:paraId="359CC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一、公开竞价、报名时间、地点</w:t>
      </w:r>
    </w:p>
    <w:p w14:paraId="56F77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竞价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截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止时间：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2026年8月11日10:00止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。</w:t>
      </w:r>
    </w:p>
    <w:p w14:paraId="5A1DB88E">
      <w:pPr>
        <w:keepNext w:val="0"/>
        <w:keepLines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竞价地点：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连城县招标投标交易平台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(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https://lcyjy.enjoy5191.com/home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 xml:space="preserve"> )</w:t>
      </w:r>
    </w:p>
    <w:p w14:paraId="6EF3AA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报名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截止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时间：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2026年8月11日10:00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止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。</w:t>
      </w:r>
    </w:p>
    <w:p w14:paraId="208A0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报名地点：连城县国有资产产权交易服务有限公司（福建省龙岩市连城县莲峰镇李彭村彭坊桥路1号4层）</w:t>
      </w:r>
    </w:p>
    <w:p w14:paraId="664BF2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default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连城产权联系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人及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电话：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林女士18039848961</w:t>
      </w:r>
    </w:p>
    <w:p w14:paraId="025B69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二、项目概况及工作要求</w:t>
      </w:r>
    </w:p>
    <w:p w14:paraId="6644DD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1.项目名称：连城县站前广场苗圃基地苗木管护服务采购项目</w:t>
      </w:r>
    </w:p>
    <w:p w14:paraId="0299D1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2.采购管护服务内容：</w:t>
      </w:r>
    </w:p>
    <w:p w14:paraId="30CBB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本项目为基地苗木及草皮常态化管护服务采购，不涉及苗木、草皮等物资采购，服务范围为指定基地全域现有苗木、草皮绿植，以下为服务覆盖管护对象体量及具体作业服务内容、配套服务要求。</w:t>
      </w:r>
    </w:p>
    <w:p w14:paraId="5823B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2.1</w:t>
      </w:r>
      <w:r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  <w:t>本次管护覆盖苗木及草皮全部体量，明细如下：</w:t>
      </w:r>
    </w:p>
    <w:p w14:paraId="3BDCF6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2.1.1.</w:t>
      </w:r>
      <w:r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  <w:t>乔木培育苗（栽植1年以上）：香樟约2550株、红皮榕约2194株；</w:t>
      </w:r>
    </w:p>
    <w:p w14:paraId="7C998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2.1.2.</w:t>
      </w:r>
      <w:r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  <w:t>球类造型培育苗（栽植1年以上）：海桐球约3126株、红花檵木球约5691株、无刺构骨球约3083株、红叶石楠球约5665株；</w:t>
      </w:r>
    </w:p>
    <w:p w14:paraId="0B083B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2.1.3.</w:t>
      </w:r>
      <w:r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  <w:t>草皮类：基地铺种草皮面积约443.01㎡。</w:t>
      </w:r>
    </w:p>
    <w:p w14:paraId="31692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2.2服务覆盖基地全域苗木及草皮，具体作业内容如下：</w:t>
      </w:r>
    </w:p>
    <w:p w14:paraId="0F8142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2.2.1.地块除草：对苗木区、草皮区及空地开展除草作业，清理杂草、枯枝杂物，保持种植区域整洁通透。</w:t>
      </w:r>
    </w:p>
    <w:p w14:paraId="22F35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2.2.2.苗木施肥：结合苗木品种、生长周期及土壤情况，科学施肥，保障苗木生长养分充足、长势健壮。</w:t>
      </w:r>
    </w:p>
    <w:p w14:paraId="7F8569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2.2.3.整形修剪：对乔木、球类苗木进行规范修剪，去除病弱枝、杂乱枝，优化通风透光条件，规整苗木冠形与景观品相。</w:t>
      </w:r>
    </w:p>
    <w:p w14:paraId="54F8CC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2.2.4.浇灌补水：根据天气及土壤干湿情况，常态化科学浇灌，按需补水，杜绝苗木干旱、积水烂根等问题。</w:t>
      </w:r>
    </w:p>
    <w:p w14:paraId="10F5C5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2.2.5.病虫害药剂喷施：定期巡查排查病虫害，采用合规低毒药剂开展预防与消杀作业，有效防控病虫危害，保障苗木健康生长。</w:t>
      </w:r>
    </w:p>
    <w:p w14:paraId="3C8A1B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2.2.6.配套服务：苗圃全域日常巡查、场地保洁、杂物清运、沟渠疏通；安全巡查、现场作业管控、隐患排查；台风、暴雨、高温等灾害及苗木病害、倒伏险情应急处置；按月建立养护台账、留存影像资料，编制管护月报；配合甲方苗木清点、现场核查、临时工作安排与资料报送。</w:t>
      </w:r>
    </w:p>
    <w:p w14:paraId="57FA7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3.招标控制价及采购清单：</w:t>
      </w:r>
    </w:p>
    <w:tbl>
      <w:tblPr>
        <w:tblStyle w:val="15"/>
        <w:tblW w:w="49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7"/>
        <w:gridCol w:w="1023"/>
        <w:gridCol w:w="3993"/>
        <w:gridCol w:w="533"/>
        <w:gridCol w:w="1082"/>
        <w:gridCol w:w="997"/>
        <w:gridCol w:w="1082"/>
      </w:tblGrid>
      <w:tr w14:paraId="11F79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  <w:tblHeader/>
          <w:jc w:val="center"/>
        </w:trPr>
        <w:tc>
          <w:tcPr>
            <w:tcW w:w="300" w:type="pct"/>
            <w:shd w:val="clear" w:color="auto" w:fill="auto"/>
            <w:vAlign w:val="center"/>
          </w:tcPr>
          <w:p w14:paraId="278BF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序号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4FCAAC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服务项目名称</w:t>
            </w:r>
          </w:p>
        </w:tc>
        <w:tc>
          <w:tcPr>
            <w:tcW w:w="2154" w:type="pct"/>
            <w:shd w:val="clear" w:color="auto" w:fill="auto"/>
            <w:vAlign w:val="center"/>
          </w:tcPr>
          <w:p w14:paraId="09F82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服务内容说明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535EC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单位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477D2C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数量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790A9F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单价（元）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3DECC6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小计</w:t>
            </w:r>
          </w:p>
          <w:p w14:paraId="59542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（元）</w:t>
            </w:r>
          </w:p>
        </w:tc>
      </w:tr>
      <w:tr w14:paraId="6579BE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tblHeader/>
          <w:jc w:val="center"/>
        </w:trPr>
        <w:tc>
          <w:tcPr>
            <w:tcW w:w="300" w:type="pct"/>
            <w:shd w:val="clear" w:color="auto" w:fill="auto"/>
            <w:vAlign w:val="center"/>
          </w:tcPr>
          <w:p w14:paraId="7D67B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667B9D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乔木管护服务</w:t>
            </w:r>
          </w:p>
        </w:tc>
        <w:tc>
          <w:tcPr>
            <w:tcW w:w="2154" w:type="pct"/>
            <w:shd w:val="clear" w:color="auto" w:fill="auto"/>
            <w:vAlign w:val="center"/>
          </w:tcPr>
          <w:p w14:paraId="7D1E7C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对基地栽植1年以上乔木培育苗（香樟约2550株、红皮榕约2194株）开展除草、施肥、修剪、浇灌、病虫害防治等常态化管护作业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41ACF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株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24854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4744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3D75A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13.5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4405A5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64044</w:t>
            </w:r>
          </w:p>
        </w:tc>
      </w:tr>
      <w:tr w14:paraId="67B85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0" w:hRule="atLeast"/>
          <w:tblHeader/>
          <w:jc w:val="center"/>
        </w:trPr>
        <w:tc>
          <w:tcPr>
            <w:tcW w:w="300" w:type="pct"/>
            <w:shd w:val="clear" w:color="auto" w:fill="auto"/>
            <w:vAlign w:val="center"/>
          </w:tcPr>
          <w:p w14:paraId="12B31E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4630A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球类造型苗木管护服务</w:t>
            </w:r>
          </w:p>
        </w:tc>
        <w:tc>
          <w:tcPr>
            <w:tcW w:w="2154" w:type="pct"/>
            <w:shd w:val="clear" w:color="auto" w:fill="auto"/>
            <w:vAlign w:val="center"/>
          </w:tcPr>
          <w:p w14:paraId="74DF3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对基地栽植1年以上球类造型培育苗（海桐球约3126株、红花檵木球约5691株、无刺构骨球约3083株、红叶石楠球5665株）开展除草、施肥、造型修剪、浇灌、病虫害防治等常态化管护作业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6F973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株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20C85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17565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06287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8.4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705B7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147546</w:t>
            </w:r>
          </w:p>
        </w:tc>
      </w:tr>
      <w:tr w14:paraId="1A4B4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5" w:hRule="atLeast"/>
          <w:tblHeader/>
          <w:jc w:val="center"/>
        </w:trPr>
        <w:tc>
          <w:tcPr>
            <w:tcW w:w="300" w:type="pct"/>
            <w:shd w:val="clear" w:color="auto" w:fill="auto"/>
            <w:vAlign w:val="center"/>
          </w:tcPr>
          <w:p w14:paraId="11972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3F1A9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草皮管护服务</w:t>
            </w:r>
          </w:p>
        </w:tc>
        <w:tc>
          <w:tcPr>
            <w:tcW w:w="2154" w:type="pct"/>
            <w:shd w:val="clear" w:color="auto" w:fill="auto"/>
            <w:vAlign w:val="center"/>
          </w:tcPr>
          <w:p w14:paraId="4DF8F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对基地443.01㎡铺种草皮开展除草、施肥、浇灌、病虫害防治、保洁养护等常态化管护作业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592B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㎡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725CD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443.01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6A05F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23.07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4B7D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10220</w:t>
            </w:r>
          </w:p>
        </w:tc>
      </w:tr>
      <w:tr w14:paraId="7B65F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6" w:hRule="atLeast"/>
          <w:tblHeader/>
          <w:jc w:val="center"/>
        </w:trPr>
        <w:tc>
          <w:tcPr>
            <w:tcW w:w="300" w:type="pct"/>
            <w:shd w:val="clear" w:color="auto" w:fill="auto"/>
            <w:vAlign w:val="center"/>
          </w:tcPr>
          <w:p w14:paraId="395CB0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551" w:type="pct"/>
            <w:shd w:val="clear" w:color="auto" w:fill="auto"/>
            <w:vAlign w:val="center"/>
          </w:tcPr>
          <w:p w14:paraId="36F56EBE">
            <w:pPr>
              <w:bidi w:val="0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default"/>
                <w:sz w:val="28"/>
                <w:szCs w:val="28"/>
                <w:lang w:val="en-US" w:eastAsia="zh-CN"/>
              </w:rPr>
              <w:t>全域配套管护服务</w:t>
            </w:r>
          </w:p>
          <w:p w14:paraId="18399534">
            <w:pPr>
              <w:bidi w:val="0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2154" w:type="pct"/>
            <w:shd w:val="clear" w:color="auto" w:fill="auto"/>
            <w:vAlign w:val="center"/>
          </w:tcPr>
          <w:p w14:paraId="6F79D0F1">
            <w:pPr>
              <w:bidi w:val="0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苗圃全域日常巡查、场地保洁、杂物清运、沟渠疏通；安全巡查、现场作业管控、隐患排查；台风、暴雨、高温等灾害及苗木病害、倒伏险情应急处置；按月建立养护台账、留存影像资料，编制管护月报；配合甲方苗木清点、现场核查、临时工作安排与资料报送。</w:t>
            </w:r>
          </w:p>
        </w:tc>
        <w:tc>
          <w:tcPr>
            <w:tcW w:w="287" w:type="pct"/>
            <w:shd w:val="clear" w:color="auto" w:fill="auto"/>
            <w:vAlign w:val="center"/>
          </w:tcPr>
          <w:p w14:paraId="5E920B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8"/>
                <w:szCs w:val="28"/>
                <w:lang w:val="en-US" w:eastAsia="zh-CN"/>
              </w:rPr>
              <w:t>x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项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521C8C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538" w:type="pct"/>
            <w:shd w:val="clear" w:color="auto" w:fill="auto"/>
            <w:vAlign w:val="center"/>
          </w:tcPr>
          <w:p w14:paraId="4D01E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16492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28B9F5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16492</w:t>
            </w:r>
          </w:p>
        </w:tc>
      </w:tr>
      <w:tr w14:paraId="7C52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7" w:hRule="atLeast"/>
          <w:tblHeader/>
          <w:jc w:val="center"/>
        </w:trPr>
        <w:tc>
          <w:tcPr>
            <w:tcW w:w="4416" w:type="pct"/>
            <w:gridSpan w:val="6"/>
            <w:shd w:val="clear" w:color="auto" w:fill="auto"/>
            <w:noWrap/>
            <w:vAlign w:val="center"/>
          </w:tcPr>
          <w:p w14:paraId="6826C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最高控制价（元）</w:t>
            </w:r>
          </w:p>
        </w:tc>
        <w:tc>
          <w:tcPr>
            <w:tcW w:w="583" w:type="pct"/>
            <w:shd w:val="clear" w:color="auto" w:fill="auto"/>
            <w:vAlign w:val="center"/>
          </w:tcPr>
          <w:p w14:paraId="22625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宋体" w:hAnsi="宋体" w:eastAsia="宋体" w:cs="宋体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lang w:val="en-US" w:eastAsia="zh-CN"/>
              </w:rPr>
              <w:t>238302</w:t>
            </w:r>
          </w:p>
        </w:tc>
      </w:tr>
    </w:tbl>
    <w:p w14:paraId="2C3FC2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4.服务周期：12个月。</w:t>
      </w:r>
    </w:p>
    <w:p w14:paraId="715B39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5.质量要求：苗木存活率在服务期满苗木整体存活率不低于95%（因不可抗力、第三方人为破坏、征地施工等造成苗木未能存活的，不计入存活率考核损耗）。否则，按实际缺失比例及合同约定扣减相应服务费用。</w:t>
      </w:r>
    </w:p>
    <w:p w14:paraId="77F4B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6.竞价保证金：4600元</w:t>
      </w:r>
    </w:p>
    <w:p w14:paraId="064DB8EA">
      <w:pPr>
        <w:keepNext w:val="0"/>
        <w:keepLines w:val="0"/>
        <w:pageBreakBefore w:val="0"/>
        <w:widowControl/>
        <w:kinsoku/>
        <w:wordWrap/>
        <w:topLinePunct w:val="0"/>
        <w:bidi w:val="0"/>
        <w:spacing w:line="360" w:lineRule="auto"/>
        <w:ind w:left="0" w:firstLine="480"/>
        <w:jc w:val="left"/>
        <w:rPr>
          <w:rFonts w:hint="default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特别提示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：本项目不集中组织现场踏勘，竞价人可根据本公告所提供的内容要求自行踏勘现场(相关责任由竞价人自行承担)，竞价人对本次</w:t>
      </w:r>
      <w:r>
        <w:rPr>
          <w:rFonts w:hint="eastAsia" w:ascii="宋体" w:hAnsi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竞价</w:t>
      </w:r>
      <w:r>
        <w:rPr>
          <w:rFonts w:hint="eastAsia" w:ascii="宋体" w:hAnsi="宋体" w:eastAsia="宋体" w:cs="宋体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内容应有充分认识，自行判断能够完成本项目所需的费用。成交人不得以实际情况与现场不一致而要求委托人给予以补偿。</w:t>
      </w:r>
    </w:p>
    <w:p w14:paraId="4DBE7F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三、竞价资格</w:t>
      </w:r>
    </w:p>
    <w:p w14:paraId="49CDB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1.竞价人必须遵守中华人民共和国法律、法规，具有独立法人资格的国内企业（失信被执行人除外）。</w:t>
      </w:r>
    </w:p>
    <w:p w14:paraId="1C312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8"/>
          <w:szCs w:val="28"/>
          <w:lang w:val="en-US" w:eastAsia="zh-CN"/>
        </w:rPr>
        <w:t>2.竞价者必须具有履行合同所必需的能力，须提供1项类似业绩（绿化工程项目或绿化养护相关业绩）合同复印件。</w:t>
      </w:r>
    </w:p>
    <w:p w14:paraId="547986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.竞价资格（及限制性条件）认定由竞价人自行审查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因此产生委托人不予签订合同及其它一切后果由竞价人自行负责。竞价人提供虚假材料或资质不符合条件的，视为恶意竞价，保证金不予退回，按违约处理，委托人可另行选取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。</w:t>
      </w:r>
    </w:p>
    <w:p w14:paraId="35A19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四、竞价保证金</w:t>
      </w:r>
    </w:p>
    <w:p w14:paraId="16775A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1.竞价保证金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4600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元，必须于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2026年8月11日上午</w:t>
      </w: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  <w:shd w:val="clear" w:color="auto" w:fill="FFFFFF"/>
          <w:lang w:val="en-US" w:eastAsia="zh-CN"/>
        </w:rPr>
        <w:t>10:00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前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转入</w:t>
      </w: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  <w:lang w:val="en-US" w:eastAsia="zh-CN"/>
        </w:rPr>
        <w:t>平台系统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指定账户，以实际到账为准（户名：福建随行软件有限公司，开户行：招商银行福州分行营业部，账号：在线获取保证金子账号）。</w:t>
      </w:r>
    </w:p>
    <w:p w14:paraId="4D1894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2.竞价成交后，成交人必须在成交之日起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个工作日内与本公司签订《竞价结果通知书》，在签订《竞价结果通知书》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个工作日内向委托人提供《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采购合同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》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由委托人经过相应审批程序后签订。</w:t>
      </w:r>
    </w:p>
    <w:p w14:paraId="7456A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3.成交人的竞价保证金在成交人与委托人签订委托合同后10个工作日内一次性无息退回。</w:t>
      </w:r>
    </w:p>
    <w:p w14:paraId="18324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4.未成交人的保证金，在竞价结束后10个工作日内（遇法定节假日顺延）无息退回。</w:t>
      </w:r>
    </w:p>
    <w:p w14:paraId="3BBE1B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五、竞价手续</w:t>
      </w:r>
    </w:p>
    <w:p w14:paraId="339899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1.有意参加竞价人应提供如下有效证照复印件：</w:t>
      </w:r>
    </w:p>
    <w:p w14:paraId="538CAA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（1）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营业执照副本、法定代表人身份证复印件；</w:t>
      </w:r>
    </w:p>
    <w:p w14:paraId="2B05C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（2）类似业绩合同复印件；</w:t>
      </w:r>
    </w:p>
    <w:p w14:paraId="657A53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（3）签订完整的承诺书；</w:t>
      </w:r>
    </w:p>
    <w:p w14:paraId="7F1FF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（4）填写报价的分项报价表；</w:t>
      </w:r>
    </w:p>
    <w:p w14:paraId="42EDA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如有需到现场办理竞价手续的，应提供《授权委托书》原件和委托代理人身份证复印件（法定代表人除外）。</w:t>
      </w:r>
    </w:p>
    <w:p w14:paraId="7E91FA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以上材料须加盖公章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后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上传至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“连城县招标投标交易平台”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。</w:t>
      </w:r>
    </w:p>
    <w:p w14:paraId="04F44A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2.报名方式</w:t>
      </w:r>
    </w:p>
    <w:p w14:paraId="3CD294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参与本次竞价会的竞价人须在规定时间前缴纳竞价保证金，登录连城县招标投标交易平台办理竞价登记手续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并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需支付平台使用费100元，并将报名资料上传至交易平台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https://lcyjy.enjoy5191.com/home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）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。若因系统原因无法上传报名材料，可通过现场递交或邮件（邮箱地址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: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lccqjyw20251@16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3.com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）的方式提交。 </w:t>
      </w:r>
    </w:p>
    <w:p w14:paraId="12FF1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3.竞价人应自行登连城县招标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投标交易平台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网站学习竞价流程，注册竞价系统账号并在报名截止时间之前登录竞价系统申请竞价，根据流程上传相关资料，若有疑问应及时咨询本公司业务部门；由于竞价人竞价材料未按时提交、或者竞价申请未按时提交而导致本公司无法进行资格审核、或者竞价账号未注册或者未激活的，均视为竞价人放弃本次竞价报名。</w:t>
      </w:r>
    </w:p>
    <w:p w14:paraId="4A5645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4.如委托人撤回竞价标的，竞价人已经交保证金的，保证金即予无息退还，竞价人对此不得有异议，且本公司不对竞价人承担任何损失，此是竞价人参与本次竞价的先决条件。竞价人一旦报名成功，即视为同意本公司的前述免责内容。</w:t>
      </w:r>
    </w:p>
    <w:p w14:paraId="6F78E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六、竞价程序</w:t>
      </w:r>
    </w:p>
    <w:p w14:paraId="39819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1.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本场竞价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须三家及以上竞价人在规定时间内参与竞价，如果在规定时间内参与竞价的竞价人不足三家，则按流标处理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，竞价人不得有异议。</w:t>
      </w:r>
    </w:p>
    <w:p w14:paraId="73091B7F">
      <w:pPr>
        <w:widowControl/>
        <w:shd w:val="clear"/>
        <w:snapToGrid/>
        <w:spacing w:before="0" w:line="520" w:lineRule="exact"/>
        <w:ind w:left="0" w:firstLine="560" w:firstLineChars="200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2.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</w:rPr>
        <w:t>意向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  <w:lang w:eastAsia="zh-CN"/>
        </w:rPr>
        <w:t>竞价人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</w:rPr>
        <w:t>应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  <w:lang w:val="en-US" w:eastAsia="zh-CN"/>
        </w:rPr>
        <w:t>自行登陆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  <w:lang w:eastAsia="zh-CN"/>
        </w:rPr>
        <w:t>连城县招标投标交易平台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</w:rPr>
        <w:t>注册用户名，并于报名截止时间前办理报名竞价手续，登录到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  <w:lang w:eastAsia="zh-CN"/>
        </w:rPr>
        <w:t>连城县招标投标交易平台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</w:rPr>
        <w:t>申请参与本场竞价。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  <w:lang w:val="en-US" w:eastAsia="zh-CN"/>
        </w:rPr>
        <w:t>报价截止时间后，系统将自动开启解密，提交报价的</w:t>
      </w:r>
      <w:r>
        <w:rPr>
          <w:rFonts w:hint="eastAsia" w:ascii="宋体" w:hAnsi="宋体" w:cs="宋体"/>
          <w:color w:val="auto"/>
          <w:kern w:val="2"/>
          <w:sz w:val="28"/>
          <w:szCs w:val="28"/>
          <w:highlight w:val="none"/>
          <w:shd w:val="clear"/>
          <w:lang w:val="en-US" w:eastAsia="zh-CN"/>
        </w:rPr>
        <w:t>供应商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  <w:lang w:val="en-US" w:eastAsia="zh-CN"/>
        </w:rPr>
        <w:t>需在30分钟内进行解密，否则视为撤回报价。</w:t>
      </w:r>
    </w:p>
    <w:p w14:paraId="0777FC65">
      <w:pPr>
        <w:widowControl/>
        <w:shd w:val="clear"/>
        <w:snapToGrid/>
        <w:spacing w:before="0" w:line="520" w:lineRule="exact"/>
        <w:ind w:left="0" w:firstLine="560" w:firstLineChars="200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3.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</w:rPr>
        <w:t>本次公开竞价采用“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  <w:lang w:eastAsia="zh-CN"/>
        </w:rPr>
        <w:t>连城县招标投标交易平台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</w:rPr>
        <w:t>(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  <w:lang w:eastAsia="zh-CN"/>
        </w:rPr>
        <w:t>https://lcyjy.enjoy5191.com/home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</w:rPr>
        <w:t xml:space="preserve"> )”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  <w:lang w:eastAsia="zh-CN"/>
        </w:rPr>
        <w:t>网络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  <w:lang w:val="en-US" w:eastAsia="zh-CN"/>
        </w:rPr>
        <w:t>反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  <w:lang w:eastAsia="zh-CN"/>
        </w:rPr>
        <w:t>向一次性报价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  <w:lang w:val="en-US" w:eastAsia="zh-CN"/>
        </w:rPr>
        <w:t>价低者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</w:rPr>
        <w:t>得的交易方式，以“价格优先，时间优先”（即同等价格时，以报价时间优先）确定本次竞价标的的成交人。</w:t>
      </w:r>
    </w:p>
    <w:p w14:paraId="511A05B7">
      <w:pPr>
        <w:widowControl/>
        <w:shd w:val="clear"/>
        <w:snapToGrid/>
        <w:spacing w:before="0" w:line="520" w:lineRule="exact"/>
        <w:ind w:left="0"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3.1竞价人以总价报价方式进行报价，竞价人在报价时不得高于最高限价，根据有效竞价人报价排名情况，由低到高排序，最低的一名即为成交人。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成交价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包括但不限于税费、服务费、文印费、差旅费、交通费、住宿费等所有相关费用，竞价人应对本次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竞价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内容应有充分认识，自行判断能够完成本项目所需的费用，风险费用应自行考虑计入投标报价，竞价人未考虑风险因素造成的损失由竞价人自行负责。</w:t>
      </w:r>
    </w:p>
    <w:p w14:paraId="10EF8A3D">
      <w:pPr>
        <w:widowControl/>
        <w:shd w:val="clear"/>
        <w:snapToGrid/>
        <w:spacing w:before="0" w:line="520" w:lineRule="exact"/>
        <w:ind w:left="0" w:firstLine="560" w:firstLineChars="200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  <w:lang w:val="en-US" w:eastAsia="zh-CN"/>
        </w:rPr>
        <w:t>3.2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</w:rPr>
        <w:t>若有两个或两个以上的报价相等时，以先报价的竞价人为成交人；若有两个或两个以上的报价相等，报价时间相同时，则以报名时先缴纳竞价保证的竞价人为成交人；若有两个或两个以上的报价相等，报价时间相同，且缴纳竞价保证金时间相同时，则以报名时先提交报名材料的竞价人为成交人。</w:t>
      </w:r>
    </w:p>
    <w:p w14:paraId="3EFB34F2">
      <w:pPr>
        <w:widowControl/>
        <w:shd w:val="clear"/>
        <w:snapToGrid/>
        <w:spacing w:before="0" w:line="520" w:lineRule="exact"/>
        <w:ind w:left="0" w:firstLine="560" w:firstLineChars="200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4.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  <w:lang w:eastAsia="zh-CN"/>
        </w:rPr>
        <w:t>竞价人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</w:rPr>
        <w:t>应以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u w:val="none"/>
          <w:lang w:val="en-US" w:eastAsia="zh-CN" w:bidi="ar-SA"/>
        </w:rPr>
        <w:t>总价形式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</w:rPr>
        <w:t>进行报价，竞价系统设置的价格表示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  <w:lang w:val="en-US" w:eastAsia="zh-CN"/>
        </w:rPr>
        <w:t>最高限价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</w:rPr>
        <w:t>，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  <w:lang w:eastAsia="zh-CN"/>
        </w:rPr>
        <w:t>竞价人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</w:rPr>
        <w:t>在竞价系统填报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  <w:lang w:val="en-US" w:eastAsia="zh-CN"/>
        </w:rPr>
        <w:t>价格高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</w:rPr>
        <w:t>于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  <w:lang w:val="en-US" w:eastAsia="zh-CN"/>
        </w:rPr>
        <w:t>最高限价则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</w:rPr>
        <w:t>为无效报价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</w:rPr>
        <w:t>填报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  <w:lang w:val="en-US" w:eastAsia="zh-CN"/>
        </w:rPr>
        <w:t>总价最低的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  <w:lang w:eastAsia="zh-CN"/>
        </w:rPr>
        <w:t>竞价人</w:t>
      </w:r>
      <w:r>
        <w:rPr>
          <w:rFonts w:hint="eastAsia" w:ascii="宋体" w:hAnsi="宋体" w:eastAsia="宋体" w:cs="宋体"/>
          <w:b/>
          <w:bCs/>
          <w:color w:val="auto"/>
          <w:kern w:val="2"/>
          <w:sz w:val="28"/>
          <w:szCs w:val="28"/>
          <w:highlight w:val="none"/>
          <w:shd w:val="clear"/>
        </w:rPr>
        <w:t>作为本项目成交人。</w:t>
      </w: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shd w:val="clear"/>
          <w:lang w:val="en-US" w:eastAsia="zh-CN"/>
        </w:rPr>
        <w:t xml:space="preserve">若竞价系统显示无效报价竞价人为成交人的，我司有权按照本《竞价须知》规则排除无效报价竞价人后，根据有效报价竞价人的排序重新确定成交人。 </w:t>
      </w:r>
    </w:p>
    <w:p w14:paraId="1DE08A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5.特别提示：标的经公开征集到的合格竞价人,应以不高于最高限价进行报价，同时成交人应签署《竞价结果通知书》等相关文件，否则视同为违约。</w:t>
      </w:r>
    </w:p>
    <w:p w14:paraId="672BA2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6.本公司有权就竞价时间做出调整，如有调整将在本公司网站进行公告。</w:t>
      </w:r>
    </w:p>
    <w:p w14:paraId="71CA38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七、交易服务费</w:t>
      </w:r>
    </w:p>
    <w:p w14:paraId="57E127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竞价成交后，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本项目的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shd w:val="clear"/>
          <w:lang w:val="en-US" w:eastAsia="zh-CN"/>
        </w:rPr>
        <w:t>招标代理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服务费按成交价×1.5%计费向成交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人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收取</w:t>
      </w:r>
      <w:r>
        <w:rPr>
          <w:rFonts w:hint="eastAsia" w:ascii="宋体" w:hAnsi="宋体" w:cs="宋体"/>
          <w:color w:val="auto"/>
          <w:sz w:val="28"/>
          <w:szCs w:val="28"/>
          <w:lang w:eastAsia="zh-CN"/>
        </w:rPr>
        <w:t>，</w:t>
      </w:r>
      <w:r>
        <w:rPr>
          <w:rFonts w:hint="eastAsia" w:ascii="宋体" w:hAnsi="宋体" w:cs="宋体"/>
          <w:b/>
          <w:bCs/>
          <w:color w:val="auto"/>
          <w:sz w:val="28"/>
          <w:szCs w:val="28"/>
          <w:lang w:eastAsia="zh-CN"/>
        </w:rPr>
        <w:t>不足3000元的，按3000元计费。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招标代理服务费须在成交之日起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个工作日汇到本公司指定账户（户名：连城县国有资产产权交易服务有限公司，开户行：中国农业银行连城县支行，账号：1377 0101 0400 18263）。招标代理服务费未按期付清的，视成交人根本违约，竞价保证金不予退回。</w:t>
      </w:r>
    </w:p>
    <w:p w14:paraId="4D171E9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付款方式</w:t>
      </w:r>
    </w:p>
    <w:p w14:paraId="0312A6C7">
      <w:pPr>
        <w:pStyle w:val="14"/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1.付款方式：以合同总成交价折算为月度平均服务费，每期按月度平均服务费的 80% 予以支付；成交人按要求开具合法有效的增值税专用发票后，委托人据实办理当期款项结算支付。</w:t>
      </w:r>
    </w:p>
    <w:p w14:paraId="679425FB">
      <w:pPr>
        <w:pStyle w:val="14"/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kern w:val="2"/>
          <w:sz w:val="28"/>
          <w:szCs w:val="28"/>
          <w:highlight w:val="none"/>
          <w:lang w:val="en-US" w:eastAsia="zh-CN" w:bidi="ar-SA"/>
        </w:rPr>
        <w:t>2.尾款兑付：合同履约期满 12 个月后，委托人统一组织综合考核验收。若成交人考核结果达标合格，委托人将一次性结清各月度累计剩余未支付的 20% 服务费；若考核未达到约定标准，按照合同考核相关条款执行扣款、不予支付部分或全部尾款。</w:t>
      </w:r>
    </w:p>
    <w:p w14:paraId="3DF91C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九、费用承担</w:t>
      </w:r>
    </w:p>
    <w:p w14:paraId="3FAF24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1.竞价人自行承担参加竞价会有关的全部费用（包括但不限于差旅费、邮寄费、资料费等）。</w:t>
      </w:r>
    </w:p>
    <w:p w14:paraId="1FB29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2.成交价为包干价，包括但不限于税费、服务费、文印费、差旅费、交通费、住宿费等所有相关费用，竞价人应对本次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竞价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内容应有充分认识，自行判断能够完成本项目所需的费用，风险费用应自行考虑计入投标报价，竞价人未考虑风险因素造成的损失由竞价人自行负责。</w:t>
      </w:r>
    </w:p>
    <w:p w14:paraId="20001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十、违约责任</w:t>
      </w:r>
    </w:p>
    <w:p w14:paraId="3D3620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成交人应价后反悔的，或不即时签订《竞价结果通知书》，或逾期未缴纳交易服务费，本公司按违约处理，保证金不予退回，同时《竞价结果通知书》自动失效，并视情对竞价标的再次竞价或处理，本公司将保留向该成交人提起赔偿诉讼的权利。</w:t>
      </w:r>
    </w:p>
    <w:p w14:paraId="60122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十一、注意事项</w:t>
      </w:r>
    </w:p>
    <w:p w14:paraId="0BE8C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1.因不可预见的原因导致上述竞价交易方式不能正常进行的，本公司有权中止交易或临时决定采用其它竞价方式和竞价交易规则，竞价人对此不得有异议。</w:t>
      </w:r>
    </w:p>
    <w:p w14:paraId="7688D2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2.竞价人应妥善保管好用户名及密码，用户名为竞价人参加网络竞价的唯一合法身份，所有用户登录后的报价均视为竞价人本人真实意愿的表示。如用户名丢失或被他人盗用所造成的一切后果均由竞价人负责。</w:t>
      </w:r>
    </w:p>
    <w:p w14:paraId="23D0B8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3.成交后，成交人应当与委托人签订《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采购合同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》，并严格履行，双方的权利、义务以《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采购合同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》约定为准。</w:t>
      </w:r>
    </w:p>
    <w:p w14:paraId="607001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4.因委托人、成交人的原因造成不能签订相应的合同或解除合同、合同无效的，我司不承担任何责任。签订《竞价结果通知书》视为我司对成交人的合同义务履行完毕。</w:t>
      </w:r>
    </w:p>
    <w:p w14:paraId="55325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  <w:lang w:val="en-US" w:eastAsia="zh-CN"/>
        </w:rPr>
        <w:t>十二、特别提示</w:t>
      </w:r>
    </w:p>
    <w:tbl>
      <w:tblPr>
        <w:tblStyle w:val="15"/>
        <w:tblW w:w="9071" w:type="dxa"/>
        <w:jc w:val="center"/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9071"/>
      </w:tblGrid>
      <w:tr w14:paraId="49C3E3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00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 w14:paraId="7FC5A8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1.申请人必须对本项目情况及竞价流程进行充分的咨询和了解，一旦参与竞价，视为无异议，并对项目存在或可能存在的瑕疵表示认可，自行承担由此造成的风险。</w:t>
            </w:r>
          </w:p>
          <w:p w14:paraId="64FC57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2.竞价文件如有更正修改，公告将在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连城产权交易网（网址：http://www.lcxcqjy.com/）、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连城县招标投标交易平台(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8"/>
                <w:szCs w:val="28"/>
                <w:highlight w:val="none"/>
              </w:rPr>
              <w:t>网址：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https://lcyjy.enjoy5191.com/home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上发布，请潜在竞价人随时密切关注上述网站并下载相关信息，本公司不再另行通知（相同内容如有多次修改，以最后一次修改为准）。潜在竞价人未查看、下载修改内容的，后果自行承担。</w:t>
            </w:r>
          </w:p>
          <w:p w14:paraId="187F06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560" w:firstLineChars="200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3.有需要通知事项时，本公司以竞价人报名时载明的联系电话、联系地址（未另外注明的以身份证为准）作为联系依据，通过邮件或语音、短信的方式通知竞价人，即使竞价人不签收或未收到通知，均视为竞价人已收到通知，由此造成的后果由竞价人自行负责。竞价人成为成交人参照此条款执行。</w:t>
            </w:r>
          </w:p>
        </w:tc>
      </w:tr>
    </w:tbl>
    <w:p w14:paraId="0317B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  </w:t>
      </w:r>
    </w:p>
    <w:p w14:paraId="54301C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711200</wp:posOffset>
            </wp:positionH>
            <wp:positionV relativeFrom="paragraph">
              <wp:posOffset>75565</wp:posOffset>
            </wp:positionV>
            <wp:extent cx="934085" cy="934085"/>
            <wp:effectExtent l="0" t="0" r="10795" b="10795"/>
            <wp:wrapNone/>
            <wp:docPr id="2" name="图片 2" descr="公司微信公众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公司微信公众号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34085" cy="93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             连城县国有资产产权交易服务有限公司</w:t>
      </w:r>
    </w:p>
    <w:p w14:paraId="31E169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 w:firstLineChars="200"/>
        <w:jc w:val="both"/>
        <w:textAlignment w:val="auto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                                   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2026年8月5日</w:t>
      </w:r>
    </w:p>
    <w:p w14:paraId="03DE3A64">
      <w:pPr>
        <w:keepNext w:val="0"/>
        <w:keepLines w:val="0"/>
        <w:pageBreakBefore w:val="0"/>
        <w:kinsoku/>
        <w:wordWrap/>
        <w:topLinePunct w:val="0"/>
        <w:bidi w:val="0"/>
        <w:spacing w:line="520" w:lineRule="exact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59CEBB5D">
      <w:pPr>
        <w:keepNext w:val="0"/>
        <w:keepLines w:val="0"/>
        <w:pageBreakBefore w:val="0"/>
        <w:kinsoku/>
        <w:wordWrap/>
        <w:topLinePunct w:val="0"/>
        <w:bidi w:val="0"/>
        <w:spacing w:line="520" w:lineRule="exact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302C5248">
      <w:pPr>
        <w:keepNext w:val="0"/>
        <w:keepLines w:val="0"/>
        <w:pageBreakBefore w:val="0"/>
        <w:kinsoku/>
        <w:wordWrap/>
        <w:topLinePunct w:val="0"/>
        <w:bidi w:val="0"/>
        <w:spacing w:line="520" w:lineRule="exact"/>
        <w:jc w:val="center"/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  <w:t>承 诺 书</w:t>
      </w:r>
    </w:p>
    <w:p w14:paraId="4F154A88">
      <w:pPr>
        <w:keepNext w:val="0"/>
        <w:keepLines w:val="0"/>
        <w:pageBreakBefore w:val="0"/>
        <w:kinsoku/>
        <w:wordWrap/>
        <w:topLinePunct w:val="0"/>
        <w:bidi w:val="0"/>
        <w:spacing w:line="520" w:lineRule="exact"/>
        <w:ind w:firstLine="5880" w:firstLineChars="2100"/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</w:p>
    <w:p w14:paraId="6A7859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50" w:line="520" w:lineRule="exact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highlight w:val="none"/>
        </w:rPr>
        <w:t>连城县国有资产产权交易服务有限公司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：</w:t>
      </w:r>
    </w:p>
    <w:p w14:paraId="086D31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本人（公司）承诺提供的报名材料真实、合法、有效，自愿报名参加贵司于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>2026年8月11日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上午举行的“连城县招标投标交易平台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反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向一次报价”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eastAsia="zh-CN"/>
        </w:rPr>
        <w:t>连城县站前广场苗圃基地苗木管护服务采购项目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。收悉项目编号为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eastAsia="zh-CN"/>
        </w:rPr>
        <w:t>LCCQJJ2026081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的《网络竞价须知》，并保证遵守和全面履行该次《网络竞价须知》中的各项条款。若有违反该次《网络竞价须知》条款的行为，申请人愿被取消竞价资格，已交保证金作为违约金归贵公司所有（不予退回），若造成贵公司损失的，由本承诺人承担赔偿责任。</w:t>
      </w:r>
    </w:p>
    <w:p w14:paraId="28EA2D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6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</w:p>
    <w:p w14:paraId="28417D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920" w:firstLineChars="14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承诺人（申请人签章）：</w:t>
      </w:r>
    </w:p>
    <w:p w14:paraId="7B86B5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1400" w:firstLineChars="5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法定代表人或授权代理人（签章）：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</w:t>
      </w:r>
    </w:p>
    <w:p w14:paraId="22654E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920" w:firstLineChars="14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联系电话：</w:t>
      </w:r>
    </w:p>
    <w:p w14:paraId="407E7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5040" w:firstLineChars="1800"/>
        <w:jc w:val="both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年    月    日</w:t>
      </w:r>
    </w:p>
    <w:p w14:paraId="7CC180BE">
      <w:pP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</w:rPr>
      </w:pPr>
    </w:p>
    <w:p w14:paraId="3B899C2F">
      <w:pPr>
        <w:keepNext w:val="0"/>
        <w:keepLines w:val="0"/>
        <w:pageBreakBefore w:val="0"/>
        <w:kinsoku/>
        <w:wordWrap/>
        <w:topLinePunct w:val="0"/>
        <w:bidi w:val="0"/>
        <w:spacing w:line="520" w:lineRule="exact"/>
        <w:jc w:val="both"/>
        <w:rPr>
          <w:rFonts w:hint="default" w:ascii="宋体" w:hAnsi="宋体" w:cs="宋体"/>
          <w:color w:val="auto"/>
          <w:sz w:val="28"/>
          <w:szCs w:val="28"/>
          <w:highlight w:val="none"/>
          <w:lang w:val="en-US" w:eastAsia="zh-CN"/>
        </w:rPr>
      </w:pPr>
    </w:p>
    <w:sectPr>
      <w:footerReference r:id="rId3" w:type="default"/>
      <w:pgSz w:w="11906" w:h="16838"/>
      <w:pgMar w:top="1383" w:right="1417" w:bottom="1383" w:left="136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394907">
    <w:pPr>
      <w:pStyle w:val="11"/>
    </w:pPr>
    <w: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04021E08">
                <w:pPr>
                  <w:pStyle w:val="11"/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- 3 -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82A9F90"/>
    <w:multiLevelType w:val="singleLevel"/>
    <w:tmpl w:val="E82A9F90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0000004"/>
    <w:multiLevelType w:val="multilevel"/>
    <w:tmpl w:val="00000004"/>
    <w:lvl w:ilvl="0" w:tentative="0">
      <w:start w:val="1"/>
      <w:numFmt w:val="chineseCounting"/>
      <w:lvlText w:val="第%1章 "/>
      <w:lvlJc w:val="left"/>
      <w:pPr>
        <w:ind w:left="420" w:hanging="420"/>
      </w:pPr>
      <w:rPr>
        <w:rFonts w:hint="eastAsia" w:ascii="宋体" w:hAnsi="宋体" w:eastAsia="宋体" w:cs="宋体"/>
      </w:rPr>
    </w:lvl>
    <w:lvl w:ilvl="1" w:tentative="0">
      <w:start w:val="1"/>
      <w:numFmt w:val="chineseCounting"/>
      <w:lvlText w:val="%2"/>
      <w:lvlJc w:val="left"/>
      <w:pPr>
        <w:tabs>
          <w:tab w:val="left" w:pos="567"/>
        </w:tabs>
        <w:ind w:left="992" w:hanging="992"/>
      </w:pPr>
      <w:rPr>
        <w:rFonts w:hint="eastAsia" w:ascii="宋体" w:hAnsi="宋体" w:eastAsia="宋体" w:cs="宋体"/>
      </w:rPr>
    </w:lvl>
    <w:lvl w:ilvl="2" w:tentative="0">
      <w:start w:val="1"/>
      <w:numFmt w:val="decimal"/>
      <w:pStyle w:val="2"/>
      <w:lvlText w:val="%3"/>
      <w:lvlJc w:val="left"/>
      <w:pPr>
        <w:tabs>
          <w:tab w:val="left" w:pos="567"/>
        </w:tabs>
        <w:ind w:left="1628" w:hanging="1418"/>
      </w:pPr>
      <w:rPr>
        <w:rFonts w:hint="eastAsia" w:ascii="宋体" w:hAnsi="宋体" w:eastAsia="宋体" w:cs="宋体"/>
      </w:rPr>
    </w:lvl>
    <w:lvl w:ilvl="3" w:tentative="0">
      <w:start w:val="1"/>
      <w:numFmt w:val="decimal"/>
      <w:lvlText w:val="%3.%4"/>
      <w:lvlJc w:val="left"/>
      <w:pPr>
        <w:tabs>
          <w:tab w:val="left" w:pos="567"/>
        </w:tabs>
        <w:ind w:left="0" w:firstLine="0"/>
      </w:pPr>
      <w:rPr>
        <w:rFonts w:hint="eastAsia" w:ascii="宋体" w:hAnsi="宋体" w:eastAsia="宋体" w:cs="宋体"/>
      </w:rPr>
    </w:lvl>
    <w:lvl w:ilvl="4" w:tentative="0">
      <w:start w:val="1"/>
      <w:numFmt w:val="decimal"/>
      <w:lvlText w:val="%3.%4.%5"/>
      <w:lvlJc w:val="left"/>
      <w:pPr>
        <w:tabs>
          <w:tab w:val="left" w:pos="5529"/>
        </w:tabs>
        <w:ind w:left="5529" w:firstLine="0"/>
      </w:pPr>
      <w:rPr>
        <w:rFonts w:hint="eastAsia" w:ascii="宋体" w:hAnsi="宋体" w:eastAsia="宋体" w:cs="宋体"/>
      </w:rPr>
    </w:lvl>
    <w:lvl w:ilvl="5" w:tentative="0">
      <w:start w:val="1"/>
      <w:numFmt w:val="decimal"/>
      <w:lvlText w:val="%3.%4.%5.%6"/>
      <w:lvlJc w:val="left"/>
      <w:pPr>
        <w:ind w:left="3260" w:hanging="1134"/>
      </w:pPr>
      <w:rPr>
        <w:rFonts w:hint="eastAsia" w:ascii="宋体" w:hAnsi="宋体" w:eastAsia="宋体" w:cs="宋体"/>
      </w:rPr>
    </w:lvl>
    <w:lvl w:ilvl="6" w:tentative="0">
      <w:start w:val="1"/>
      <w:numFmt w:val="decimal"/>
      <w:lvlText w:val="%3.%4.%5.%6.%7"/>
      <w:lvlJc w:val="left"/>
      <w:pPr>
        <w:ind w:left="3827" w:hanging="1276"/>
      </w:pPr>
      <w:rPr>
        <w:rFonts w:hint="eastAsia" w:ascii="宋体" w:hAnsi="宋体" w:eastAsia="宋体" w:cs="宋体"/>
      </w:rPr>
    </w:lvl>
    <w:lvl w:ilvl="7" w:tentative="0">
      <w:start w:val="1"/>
      <w:numFmt w:val="decimal"/>
      <w:lvlText w:val="%3.%4.%5.%6.%7.%8"/>
      <w:lvlJc w:val="left"/>
      <w:pPr>
        <w:ind w:left="4394" w:hanging="1418"/>
      </w:pPr>
      <w:rPr>
        <w:rFonts w:hint="eastAsia" w:ascii="宋体" w:hAnsi="宋体" w:eastAsia="宋体" w:cs="宋体"/>
      </w:rPr>
    </w:lvl>
    <w:lvl w:ilvl="8" w:tentative="0">
      <w:start w:val="1"/>
      <w:numFmt w:val="decimal"/>
      <w:lvlText w:val="%3.%4.%5.%6.%7.%8.%9"/>
      <w:lvlJc w:val="left"/>
      <w:pPr>
        <w:ind w:left="5102" w:hanging="1700"/>
      </w:pPr>
      <w:rPr>
        <w:rFonts w:hint="eastAsia" w:ascii="宋体" w:hAnsi="宋体" w:eastAsia="宋体" w:cs="宋体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OGFjMmU0Yjk5NmUyMjAwNzM3OGEzNzg5ZGMyZDkzOWUifQ=="/>
  </w:docVars>
  <w:rsids>
    <w:rsidRoot w:val="3062140F"/>
    <w:rsid w:val="00061656"/>
    <w:rsid w:val="00072DF4"/>
    <w:rsid w:val="000F1B6A"/>
    <w:rsid w:val="001457F7"/>
    <w:rsid w:val="00160F00"/>
    <w:rsid w:val="003802F9"/>
    <w:rsid w:val="003F1AE5"/>
    <w:rsid w:val="004B7539"/>
    <w:rsid w:val="005E00E5"/>
    <w:rsid w:val="0077378A"/>
    <w:rsid w:val="007F0860"/>
    <w:rsid w:val="00814231"/>
    <w:rsid w:val="00826B3E"/>
    <w:rsid w:val="008A6B20"/>
    <w:rsid w:val="00911739"/>
    <w:rsid w:val="00954405"/>
    <w:rsid w:val="00A73D90"/>
    <w:rsid w:val="00A82968"/>
    <w:rsid w:val="00A90421"/>
    <w:rsid w:val="00B37402"/>
    <w:rsid w:val="00C353E3"/>
    <w:rsid w:val="00CD4699"/>
    <w:rsid w:val="00D17796"/>
    <w:rsid w:val="00DA2F8E"/>
    <w:rsid w:val="00F84E41"/>
    <w:rsid w:val="012F41F1"/>
    <w:rsid w:val="016A5229"/>
    <w:rsid w:val="02CA3FAE"/>
    <w:rsid w:val="039E3DB5"/>
    <w:rsid w:val="043164D2"/>
    <w:rsid w:val="04973358"/>
    <w:rsid w:val="076D2FEB"/>
    <w:rsid w:val="0804406F"/>
    <w:rsid w:val="081C4C9C"/>
    <w:rsid w:val="0834033F"/>
    <w:rsid w:val="0AD43D25"/>
    <w:rsid w:val="0AEE0C79"/>
    <w:rsid w:val="0B2D79F3"/>
    <w:rsid w:val="0C0C7087"/>
    <w:rsid w:val="0C9C0329"/>
    <w:rsid w:val="0CA830A9"/>
    <w:rsid w:val="0CDA1129"/>
    <w:rsid w:val="0D0C3638"/>
    <w:rsid w:val="0D724C37"/>
    <w:rsid w:val="0DDD71A5"/>
    <w:rsid w:val="0E6A79B6"/>
    <w:rsid w:val="0E8467A8"/>
    <w:rsid w:val="0F153787"/>
    <w:rsid w:val="10554859"/>
    <w:rsid w:val="108A4FA0"/>
    <w:rsid w:val="115251AE"/>
    <w:rsid w:val="128A572B"/>
    <w:rsid w:val="137205A3"/>
    <w:rsid w:val="138E2060"/>
    <w:rsid w:val="1410018A"/>
    <w:rsid w:val="14416FC6"/>
    <w:rsid w:val="14DE0881"/>
    <w:rsid w:val="15474BF8"/>
    <w:rsid w:val="1569686F"/>
    <w:rsid w:val="16052A7F"/>
    <w:rsid w:val="167C30C3"/>
    <w:rsid w:val="169951BC"/>
    <w:rsid w:val="183B56FD"/>
    <w:rsid w:val="18AE0B48"/>
    <w:rsid w:val="18EF3710"/>
    <w:rsid w:val="1A394265"/>
    <w:rsid w:val="1B215742"/>
    <w:rsid w:val="1CC932F4"/>
    <w:rsid w:val="1D570296"/>
    <w:rsid w:val="1E303C84"/>
    <w:rsid w:val="1EA56673"/>
    <w:rsid w:val="1EF00CA7"/>
    <w:rsid w:val="1F633F72"/>
    <w:rsid w:val="1FB913FE"/>
    <w:rsid w:val="203C362E"/>
    <w:rsid w:val="20E02F65"/>
    <w:rsid w:val="20EE7214"/>
    <w:rsid w:val="211A411E"/>
    <w:rsid w:val="21E464DA"/>
    <w:rsid w:val="226244CC"/>
    <w:rsid w:val="22950329"/>
    <w:rsid w:val="22A30872"/>
    <w:rsid w:val="234F36E4"/>
    <w:rsid w:val="236A7C99"/>
    <w:rsid w:val="23761465"/>
    <w:rsid w:val="23A6593F"/>
    <w:rsid w:val="246A52EB"/>
    <w:rsid w:val="24741525"/>
    <w:rsid w:val="249C78F6"/>
    <w:rsid w:val="24AF2DCF"/>
    <w:rsid w:val="25AD5A5E"/>
    <w:rsid w:val="25F64131"/>
    <w:rsid w:val="26945745"/>
    <w:rsid w:val="2861758C"/>
    <w:rsid w:val="2892098A"/>
    <w:rsid w:val="297E0FC2"/>
    <w:rsid w:val="2A8C2B55"/>
    <w:rsid w:val="2AC415FD"/>
    <w:rsid w:val="2B023949"/>
    <w:rsid w:val="2B474184"/>
    <w:rsid w:val="2B9065B4"/>
    <w:rsid w:val="2C2A04A0"/>
    <w:rsid w:val="2C4C065B"/>
    <w:rsid w:val="2C5C26DC"/>
    <w:rsid w:val="2C790770"/>
    <w:rsid w:val="2CDF621C"/>
    <w:rsid w:val="2D697A29"/>
    <w:rsid w:val="2E301AB4"/>
    <w:rsid w:val="2E7E609A"/>
    <w:rsid w:val="2F3740ED"/>
    <w:rsid w:val="2F642552"/>
    <w:rsid w:val="2FF9333B"/>
    <w:rsid w:val="300F15EE"/>
    <w:rsid w:val="3062140F"/>
    <w:rsid w:val="31496EC2"/>
    <w:rsid w:val="31E57E30"/>
    <w:rsid w:val="31F6203D"/>
    <w:rsid w:val="32165023"/>
    <w:rsid w:val="330407DF"/>
    <w:rsid w:val="33B379FC"/>
    <w:rsid w:val="33BB5A80"/>
    <w:rsid w:val="348738A9"/>
    <w:rsid w:val="34A710A8"/>
    <w:rsid w:val="354D07DD"/>
    <w:rsid w:val="36070CBD"/>
    <w:rsid w:val="366756A0"/>
    <w:rsid w:val="371B5B3B"/>
    <w:rsid w:val="3741602B"/>
    <w:rsid w:val="38A87E0A"/>
    <w:rsid w:val="39237EB6"/>
    <w:rsid w:val="39C752B8"/>
    <w:rsid w:val="3A0C4B4E"/>
    <w:rsid w:val="3CDB07AE"/>
    <w:rsid w:val="3D143517"/>
    <w:rsid w:val="3D3F6CF4"/>
    <w:rsid w:val="3D71306C"/>
    <w:rsid w:val="3D731A17"/>
    <w:rsid w:val="3DC87AC0"/>
    <w:rsid w:val="3E166E94"/>
    <w:rsid w:val="3FA56A13"/>
    <w:rsid w:val="410835EE"/>
    <w:rsid w:val="418B6AEE"/>
    <w:rsid w:val="42030652"/>
    <w:rsid w:val="423D177E"/>
    <w:rsid w:val="424010B3"/>
    <w:rsid w:val="42890CAC"/>
    <w:rsid w:val="429531AD"/>
    <w:rsid w:val="42E9200F"/>
    <w:rsid w:val="432E70E3"/>
    <w:rsid w:val="44891733"/>
    <w:rsid w:val="44B738AE"/>
    <w:rsid w:val="44E55E41"/>
    <w:rsid w:val="45A2046C"/>
    <w:rsid w:val="45C03291"/>
    <w:rsid w:val="46797B93"/>
    <w:rsid w:val="46965745"/>
    <w:rsid w:val="4758626E"/>
    <w:rsid w:val="47CB141F"/>
    <w:rsid w:val="47ED28F0"/>
    <w:rsid w:val="48556CDA"/>
    <w:rsid w:val="485D0F10"/>
    <w:rsid w:val="490214AF"/>
    <w:rsid w:val="493429D0"/>
    <w:rsid w:val="4A58410E"/>
    <w:rsid w:val="4ACA1E61"/>
    <w:rsid w:val="4B42467C"/>
    <w:rsid w:val="4C6355B6"/>
    <w:rsid w:val="4D235499"/>
    <w:rsid w:val="4D2550DF"/>
    <w:rsid w:val="4D515A96"/>
    <w:rsid w:val="4DA2556F"/>
    <w:rsid w:val="4E097504"/>
    <w:rsid w:val="4E143612"/>
    <w:rsid w:val="4E661F86"/>
    <w:rsid w:val="4E997C57"/>
    <w:rsid w:val="4E9D3635"/>
    <w:rsid w:val="4ED62599"/>
    <w:rsid w:val="4F4F373F"/>
    <w:rsid w:val="4F541F42"/>
    <w:rsid w:val="51A703F2"/>
    <w:rsid w:val="51AA471F"/>
    <w:rsid w:val="51F76DE0"/>
    <w:rsid w:val="522E2CD6"/>
    <w:rsid w:val="524A20F8"/>
    <w:rsid w:val="524E2EDF"/>
    <w:rsid w:val="53351704"/>
    <w:rsid w:val="53CB6FAB"/>
    <w:rsid w:val="542826BF"/>
    <w:rsid w:val="545B5616"/>
    <w:rsid w:val="55915C48"/>
    <w:rsid w:val="56DC71A4"/>
    <w:rsid w:val="56EB10E9"/>
    <w:rsid w:val="59AF6DF2"/>
    <w:rsid w:val="59E02F96"/>
    <w:rsid w:val="5A10637D"/>
    <w:rsid w:val="5A244F70"/>
    <w:rsid w:val="5B280C0A"/>
    <w:rsid w:val="5BA1276A"/>
    <w:rsid w:val="5C1B076F"/>
    <w:rsid w:val="5C2441D3"/>
    <w:rsid w:val="5C9245A9"/>
    <w:rsid w:val="5C9A35A3"/>
    <w:rsid w:val="5D434E88"/>
    <w:rsid w:val="5DBB508D"/>
    <w:rsid w:val="5E047FD0"/>
    <w:rsid w:val="5EA42C9D"/>
    <w:rsid w:val="5F1519BF"/>
    <w:rsid w:val="602A7EDE"/>
    <w:rsid w:val="616E7593"/>
    <w:rsid w:val="6189617B"/>
    <w:rsid w:val="620F4C9D"/>
    <w:rsid w:val="636B6B43"/>
    <w:rsid w:val="63F56C8F"/>
    <w:rsid w:val="63F81C8C"/>
    <w:rsid w:val="640D0C57"/>
    <w:rsid w:val="64433D8E"/>
    <w:rsid w:val="64C574CA"/>
    <w:rsid w:val="64D67929"/>
    <w:rsid w:val="664066EE"/>
    <w:rsid w:val="664A0B53"/>
    <w:rsid w:val="67A07D7A"/>
    <w:rsid w:val="67B160B6"/>
    <w:rsid w:val="67F820E4"/>
    <w:rsid w:val="680A030D"/>
    <w:rsid w:val="69113EED"/>
    <w:rsid w:val="69780E80"/>
    <w:rsid w:val="6A0A1171"/>
    <w:rsid w:val="6B23122A"/>
    <w:rsid w:val="6B776A6D"/>
    <w:rsid w:val="6BCB02F6"/>
    <w:rsid w:val="6CA81B7D"/>
    <w:rsid w:val="6D7B66F3"/>
    <w:rsid w:val="6DDB5D0B"/>
    <w:rsid w:val="6E661D1D"/>
    <w:rsid w:val="6F5D5B73"/>
    <w:rsid w:val="7007345D"/>
    <w:rsid w:val="705F07D2"/>
    <w:rsid w:val="706E1953"/>
    <w:rsid w:val="707966E1"/>
    <w:rsid w:val="709E0487"/>
    <w:rsid w:val="71B2527A"/>
    <w:rsid w:val="729A0B48"/>
    <w:rsid w:val="729B4033"/>
    <w:rsid w:val="75A82C1C"/>
    <w:rsid w:val="75C93329"/>
    <w:rsid w:val="77354B5A"/>
    <w:rsid w:val="77875CB0"/>
    <w:rsid w:val="77CE5972"/>
    <w:rsid w:val="77EB3293"/>
    <w:rsid w:val="786F5C73"/>
    <w:rsid w:val="78EB1D38"/>
    <w:rsid w:val="78F75F2F"/>
    <w:rsid w:val="79162DAA"/>
    <w:rsid w:val="7956473D"/>
    <w:rsid w:val="79B76855"/>
    <w:rsid w:val="7AD654A8"/>
    <w:rsid w:val="7C207AE9"/>
    <w:rsid w:val="7C435390"/>
    <w:rsid w:val="7CE44BA4"/>
    <w:rsid w:val="7E663674"/>
    <w:rsid w:val="7FDC1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1624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qFormat/>
    <w:uiPriority w:val="9"/>
    <w:pPr>
      <w:keepNext/>
      <w:keepLines/>
      <w:numPr>
        <w:ilvl w:val="2"/>
        <w:numId w:val="1"/>
      </w:numPr>
      <w:spacing w:before="120" w:after="120" w:line="360" w:lineRule="auto"/>
      <w:outlineLvl w:val="2"/>
    </w:pPr>
    <w:rPr>
      <w:b/>
      <w:bCs/>
      <w:sz w:val="30"/>
      <w:szCs w:val="32"/>
    </w:rPr>
  </w:style>
  <w:style w:type="paragraph" w:styleId="3">
    <w:name w:val="heading 4"/>
    <w:next w:val="1"/>
    <w:qFormat/>
    <w:uiPriority w:val="0"/>
    <w:pPr>
      <w:keepNext/>
      <w:keepLines/>
      <w:widowControl w:val="0"/>
      <w:spacing w:before="280" w:after="290" w:line="376" w:lineRule="auto"/>
      <w:jc w:val="both"/>
      <w:outlineLvl w:val="3"/>
    </w:pPr>
    <w:rPr>
      <w:rFonts w:ascii="Cambria" w:hAnsi="Cambria" w:eastAsia="宋体" w:cs="Times New Roman"/>
      <w:b/>
      <w:bCs/>
      <w:kern w:val="2"/>
      <w:sz w:val="28"/>
      <w:szCs w:val="28"/>
      <w:lang w:val="en-US" w:eastAsia="zh-CN" w:bidi="ar-SA"/>
    </w:rPr>
  </w:style>
  <w:style w:type="character" w:default="1" w:styleId="17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/>
    </w:pPr>
    <w:rPr>
      <w:szCs w:val="20"/>
    </w:rPr>
  </w:style>
  <w:style w:type="paragraph" w:styleId="5">
    <w:name w:val="Body Text"/>
    <w:basedOn w:val="1"/>
    <w:next w:val="6"/>
    <w:qFormat/>
    <w:uiPriority w:val="0"/>
    <w:pPr>
      <w:spacing w:line="380" w:lineRule="exact"/>
    </w:pPr>
    <w:rPr>
      <w:sz w:val="24"/>
    </w:rPr>
  </w:style>
  <w:style w:type="paragraph" w:customStyle="1" w:styleId="6">
    <w:name w:val="样式 表格正文 + 两端对齐"/>
    <w:basedOn w:val="1"/>
    <w:next w:val="7"/>
    <w:qFormat/>
    <w:uiPriority w:val="0"/>
    <w:pPr>
      <w:spacing w:line="300" w:lineRule="auto"/>
    </w:pPr>
  </w:style>
  <w:style w:type="paragraph" w:customStyle="1" w:styleId="7">
    <w:name w:val="正文1"/>
    <w:basedOn w:val="1"/>
    <w:qFormat/>
    <w:uiPriority w:val="0"/>
    <w:pPr>
      <w:spacing w:line="480" w:lineRule="exact"/>
      <w:ind w:firstLine="567"/>
    </w:pPr>
    <w:rPr>
      <w:rFonts w:ascii="幼圆" w:eastAsia="幼圆"/>
      <w:sz w:val="28"/>
      <w:szCs w:val="20"/>
    </w:rPr>
  </w:style>
  <w:style w:type="paragraph" w:styleId="8">
    <w:name w:val="Body Text Indent"/>
    <w:basedOn w:val="1"/>
    <w:next w:val="1"/>
    <w:qFormat/>
    <w:uiPriority w:val="1624"/>
    <w:pPr>
      <w:spacing w:after="120"/>
      <w:ind w:left="200" w:leftChars="200"/>
    </w:pPr>
    <w:rPr>
      <w:rFonts w:eastAsia="宋体"/>
      <w:kern w:val="0"/>
      <w:sz w:val="20"/>
    </w:rPr>
  </w:style>
  <w:style w:type="paragraph" w:styleId="9">
    <w:name w:val="Plain Text"/>
    <w:basedOn w:val="1"/>
    <w:next w:val="1"/>
    <w:qFormat/>
    <w:uiPriority w:val="0"/>
    <w:pPr>
      <w:widowControl w:val="0"/>
      <w:spacing w:before="0" w:beforeAutospacing="0" w:after="0" w:afterAutospacing="0" w:line="240" w:lineRule="auto"/>
      <w:jc w:val="both"/>
    </w:pPr>
    <w:rPr>
      <w:rFonts w:ascii="宋体" w:hAnsi="Courier New" w:cs="Courier New"/>
      <w:kern w:val="2"/>
      <w:sz w:val="21"/>
      <w:szCs w:val="21"/>
    </w:rPr>
  </w:style>
  <w:style w:type="paragraph" w:styleId="10">
    <w:name w:val="Balloon Text"/>
    <w:basedOn w:val="1"/>
    <w:link w:val="22"/>
    <w:qFormat/>
    <w:uiPriority w:val="0"/>
    <w:rPr>
      <w:sz w:val="18"/>
      <w:szCs w:val="18"/>
    </w:rPr>
  </w:style>
  <w:style w:type="paragraph" w:styleId="1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14">
    <w:name w:val="Body Text First Indent 2"/>
    <w:basedOn w:val="8"/>
    <w:next w:val="1"/>
    <w:qFormat/>
    <w:uiPriority w:val="0"/>
    <w:pPr>
      <w:ind w:firstLine="420" w:firstLineChars="200"/>
    </w:pPr>
  </w:style>
  <w:style w:type="table" w:styleId="16">
    <w:name w:val="Table Grid"/>
    <w:basedOn w:val="1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8">
    <w:name w:val="Strong"/>
    <w:basedOn w:val="17"/>
    <w:qFormat/>
    <w:uiPriority w:val="22"/>
    <w:rPr>
      <w:b/>
      <w:bCs/>
    </w:rPr>
  </w:style>
  <w:style w:type="paragraph" w:customStyle="1" w:styleId="19">
    <w:name w:val="样式 标题 3 + (中文) 黑体 小四 非加粗 段前: 7.8 磅 段后: 0 磅 行距: 固定值 20 磅"/>
    <w:basedOn w:val="2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20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  <w:style w:type="paragraph" w:customStyle="1" w:styleId="21">
    <w:name w:val="Heading #2|1"/>
    <w:basedOn w:val="1"/>
    <w:qFormat/>
    <w:uiPriority w:val="0"/>
    <w:pPr>
      <w:spacing w:after="280" w:line="538" w:lineRule="exact"/>
      <w:jc w:val="center"/>
      <w:outlineLvl w:val="1"/>
    </w:pPr>
    <w:rPr>
      <w:rFonts w:ascii="宋体" w:hAnsi="宋体" w:cs="宋体"/>
      <w:sz w:val="42"/>
      <w:szCs w:val="42"/>
      <w:lang w:val="zh-TW" w:eastAsia="zh-TW" w:bidi="zh-TW"/>
    </w:rPr>
  </w:style>
  <w:style w:type="character" w:customStyle="1" w:styleId="22">
    <w:name w:val="批注框文本 Char"/>
    <w:basedOn w:val="17"/>
    <w:link w:val="10"/>
    <w:qFormat/>
    <w:uiPriority w:val="0"/>
    <w:rPr>
      <w:rFonts w:ascii="Calibri" w:hAnsi="Calibri" w:eastAsia="宋体" w:cs="Arial"/>
      <w:kern w:val="2"/>
      <w:sz w:val="18"/>
      <w:szCs w:val="18"/>
    </w:rPr>
  </w:style>
  <w:style w:type="paragraph" w:customStyle="1" w:styleId="23">
    <w:name w:val="Other|1"/>
    <w:basedOn w:val="1"/>
    <w:qFormat/>
    <w:uiPriority w:val="0"/>
    <w:pPr>
      <w:widowControl w:val="0"/>
      <w:shd w:val="clear" w:color="auto" w:fill="auto"/>
      <w:spacing w:after="40" w:line="293" w:lineRule="auto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  <w:style w:type="paragraph" w:customStyle="1" w:styleId="2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  <w:style w:type="character" w:customStyle="1" w:styleId="25">
    <w:name w:val="font10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6">
    <w:name w:val="font11"/>
    <w:basedOn w:val="17"/>
    <w:qFormat/>
    <w:uiPriority w:val="0"/>
    <w:rPr>
      <w:rFonts w:hint="eastAsia" w:ascii="微软雅黑" w:hAnsi="微软雅黑" w:eastAsia="微软雅黑" w:cs="微软雅黑"/>
      <w:color w:val="000000"/>
      <w:sz w:val="20"/>
      <w:szCs w:val="20"/>
      <w:u w:val="none"/>
    </w:rPr>
  </w:style>
  <w:style w:type="paragraph" w:customStyle="1" w:styleId="27">
    <w:name w:val="样式3"/>
    <w:basedOn w:val="9"/>
    <w:qFormat/>
    <w:uiPriority w:val="0"/>
    <w:pPr>
      <w:spacing w:line="0" w:lineRule="atLeast"/>
      <w:outlineLvl w:val="0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4850</Words>
  <Characters>5307</Characters>
  <Lines>4</Lines>
  <Paragraphs>7</Paragraphs>
  <TotalTime>5</TotalTime>
  <ScaleCrop>false</ScaleCrop>
  <LinksUpToDate>false</LinksUpToDate>
  <CharactersWithSpaces>5409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2022-01-11T01:10:00Z</dcterms:created>
  <dc:creator>Administrator</dc:creator>
  <cp:lastModifiedBy>连城产权交易</cp:lastModifiedBy>
  <cp:lastPrinted>2022-03-09T07:40:00Z</cp:lastPrinted>
  <dcterms:modified xsi:type="dcterms:W3CDTF">2026-08-05T09:40:43Z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916B0A382F254096ACFC205746AF6B1B</vt:lpwstr>
  </property>
  <property fmtid="{D5CDD505-2E9C-101B-9397-08002B2CF9AE}" pid="4" name="KSOTemplateDocerSaveRecord">
    <vt:lpwstr>eyJoZGlkIjoiMmY5M2NkNzgzMTNhYzNmYjU2NTc2OGQwMGFkNmU3N2MiLCJ1c2VySWQiOiIxNTc4Njk4MDQ3In0=</vt:lpwstr>
  </property>
</Properties>
</file>