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cs="宋体"/>
          <w:b/>
          <w:bCs/>
          <w:color w:val="auto"/>
          <w:kern w:val="0"/>
          <w:sz w:val="44"/>
          <w:szCs w:val="44"/>
          <w:highlight w:val="none"/>
          <w:shd w:val="clear" w:color="auto" w:fill="FFFFFF"/>
          <w:lang w:val="en-US" w:eastAsia="zh-CN"/>
        </w:rPr>
        <w:t xml:space="preserve"> </w:t>
      </w: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LCCQJJ20260828</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2026年8月28日10:00止</w:t>
      </w:r>
      <w:r>
        <w:rPr>
          <w:rFonts w:hint="eastAsia" w:ascii="宋体" w:hAnsi="宋体" w:eastAsia="宋体" w:cs="宋体"/>
          <w:color w:val="auto"/>
          <w:sz w:val="28"/>
          <w:szCs w:val="28"/>
          <w:highlight w:val="none"/>
          <w:lang w:val="en-US" w:eastAsia="zh-CN"/>
        </w:rPr>
        <w:t>。</w:t>
      </w:r>
    </w:p>
    <w:p w14:paraId="5A1DB88E">
      <w:pPr>
        <w:keepNext w:val="0"/>
        <w:keepLines/>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2026年8月28日10:00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w:t>
      </w:r>
      <w:r>
        <w:rPr>
          <w:rFonts w:hint="eastAsia" w:ascii="宋体" w:hAnsi="宋体" w:cs="宋体"/>
          <w:color w:val="auto"/>
          <w:sz w:val="28"/>
          <w:szCs w:val="28"/>
          <w:highlight w:val="none"/>
          <w:lang w:val="en-US" w:eastAsia="zh-CN"/>
        </w:rPr>
        <w:t>人及</w:t>
      </w:r>
      <w:r>
        <w:rPr>
          <w:rFonts w:hint="eastAsia" w:ascii="宋体" w:hAnsi="宋体" w:eastAsia="宋体" w:cs="宋体"/>
          <w:color w:val="auto"/>
          <w:sz w:val="28"/>
          <w:szCs w:val="28"/>
          <w:highlight w:val="none"/>
          <w:lang w:val="en-US" w:eastAsia="zh-CN"/>
        </w:rPr>
        <w:t>电话：</w:t>
      </w:r>
      <w:r>
        <w:rPr>
          <w:rFonts w:hint="eastAsia" w:ascii="宋体" w:hAnsi="宋体" w:cs="宋体"/>
          <w:color w:val="auto"/>
          <w:sz w:val="28"/>
          <w:szCs w:val="28"/>
          <w:highlight w:val="none"/>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6644DDE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1.项目名称：</w:t>
      </w:r>
      <w:r>
        <w:rPr>
          <w:rFonts w:hint="eastAsia" w:ascii="宋体" w:hAnsi="宋体" w:cs="宋体"/>
          <w:color w:val="auto"/>
          <w:sz w:val="28"/>
          <w:szCs w:val="28"/>
          <w:lang w:val="en-US" w:eastAsia="zh-CN"/>
        </w:rPr>
        <w:t>2026年度县级储备订单粮集并装卸运输采购项目（二次）</w:t>
      </w:r>
    </w:p>
    <w:p w14:paraId="0F65027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2.项目概况：</w:t>
      </w:r>
    </w:p>
    <w:p w14:paraId="75D179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2.1本项目装卸运输货物名称：早籼稻谷、中晚籼稻谷。 </w:t>
      </w:r>
    </w:p>
    <w:p w14:paraId="488CAE3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2.2本项目装卸运输货物数量：暂定早籼稻谷</w:t>
      </w:r>
      <w:r>
        <w:rPr>
          <w:rFonts w:hint="eastAsia" w:ascii="宋体" w:hAnsi="宋体" w:cs="宋体"/>
          <w:color w:val="auto"/>
          <w:sz w:val="28"/>
          <w:szCs w:val="28"/>
          <w:lang w:val="en-US" w:eastAsia="zh-CN"/>
        </w:rPr>
        <w:t>470</w:t>
      </w:r>
      <w:r>
        <w:rPr>
          <w:rFonts w:hint="eastAsia" w:ascii="宋体" w:hAnsi="宋体" w:eastAsia="宋体" w:cs="宋体"/>
          <w:color w:val="auto"/>
          <w:sz w:val="28"/>
          <w:szCs w:val="28"/>
          <w:lang w:val="en-US" w:eastAsia="zh-CN"/>
        </w:rPr>
        <w:t>吨，中晚籼稻谷</w:t>
      </w:r>
      <w:r>
        <w:rPr>
          <w:rFonts w:hint="eastAsia" w:ascii="宋体" w:hAnsi="宋体" w:cs="宋体"/>
          <w:color w:val="auto"/>
          <w:sz w:val="28"/>
          <w:szCs w:val="28"/>
          <w:lang w:val="en-US" w:eastAsia="zh-CN"/>
        </w:rPr>
        <w:t>560</w:t>
      </w:r>
      <w:r>
        <w:rPr>
          <w:rFonts w:hint="eastAsia" w:ascii="宋体" w:hAnsi="宋体" w:eastAsia="宋体" w:cs="宋体"/>
          <w:color w:val="auto"/>
          <w:sz w:val="28"/>
          <w:szCs w:val="28"/>
          <w:lang w:val="en-US" w:eastAsia="zh-CN"/>
        </w:rPr>
        <w:t>吨（以实际到达接收库点数量为准）。</w:t>
      </w:r>
    </w:p>
    <w:p w14:paraId="4FB0ED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本项目装车、起运地点：北团粮站收购库点（北团镇孙台村芜祀台路28-1号）。</w:t>
      </w:r>
    </w:p>
    <w:p w14:paraId="5610E73D">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本项目到达地点：朋口储备库（朋口镇天马村马山前路39号）。</w:t>
      </w:r>
    </w:p>
    <w:p w14:paraId="44D800E0">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559" w:leftChars="266"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招标控制价及采购清单：</w:t>
      </w:r>
    </w:p>
    <w:p w14:paraId="5E617462">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8"/>
          <w:szCs w:val="28"/>
          <w:lang w:val="en-US" w:eastAsia="zh-CN"/>
        </w:rPr>
      </w:pPr>
    </w:p>
    <w:tbl>
      <w:tblPr>
        <w:tblStyle w:val="15"/>
        <w:tblW w:w="9797"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0"/>
        <w:gridCol w:w="945"/>
        <w:gridCol w:w="1106"/>
        <w:gridCol w:w="1326"/>
        <w:gridCol w:w="1050"/>
        <w:gridCol w:w="1087"/>
        <w:gridCol w:w="1099"/>
        <w:gridCol w:w="2154"/>
      </w:tblGrid>
      <w:tr w14:paraId="7F98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3" w:hRule="atLeast"/>
        </w:trPr>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D41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起始</w:t>
            </w:r>
          </w:p>
          <w:p w14:paraId="1AFF9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地点</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F2C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调拨方式</w:t>
            </w:r>
          </w:p>
        </w:tc>
        <w:tc>
          <w:tcPr>
            <w:tcW w:w="2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A1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预计品种、数量（吨）</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23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数量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（吨）</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39B96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包干单价</w:t>
            </w:r>
          </w:p>
          <w:p w14:paraId="4D811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（元/吨）</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E5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p>
          <w:p w14:paraId="5A35ED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（元）</w:t>
            </w:r>
          </w:p>
        </w:tc>
        <w:tc>
          <w:tcPr>
            <w:tcW w:w="2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80B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1FA88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62BCE">
            <w:pPr>
              <w:jc w:val="center"/>
              <w:rPr>
                <w:rFonts w:hint="eastAsia" w:asciiTheme="minorEastAsia" w:hAnsiTheme="minorEastAsia" w:eastAsiaTheme="minorEastAsia" w:cstheme="minorEastAsia"/>
                <w:i w:val="0"/>
                <w:iCs w:val="0"/>
                <w:color w:val="000000"/>
                <w:sz w:val="24"/>
                <w:szCs w:val="24"/>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B3A25">
            <w:pPr>
              <w:jc w:val="center"/>
              <w:rPr>
                <w:rFonts w:hint="eastAsia" w:asciiTheme="minorEastAsia" w:hAnsiTheme="minorEastAsia" w:eastAsiaTheme="minorEastAsia" w:cstheme="minorEastAsia"/>
                <w:i w:val="0"/>
                <w:iCs w:val="0"/>
                <w:color w:val="000000"/>
                <w:sz w:val="24"/>
                <w:szCs w:val="24"/>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4F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早籼</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稻谷</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B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中晚籼</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稻谷</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78A1">
            <w:pPr>
              <w:jc w:val="center"/>
              <w:rPr>
                <w:rFonts w:hint="eastAsia" w:asciiTheme="minorEastAsia" w:hAnsiTheme="minorEastAsia" w:eastAsiaTheme="minorEastAsia" w:cstheme="minorEastAsia"/>
                <w:i w:val="0"/>
                <w:iCs w:val="0"/>
                <w:color w:val="000000"/>
                <w:sz w:val="24"/>
                <w:szCs w:val="24"/>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05534A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5E223">
            <w:pPr>
              <w:jc w:val="center"/>
              <w:rPr>
                <w:rFonts w:hint="eastAsia" w:asciiTheme="minorEastAsia" w:hAnsiTheme="minorEastAsia" w:eastAsiaTheme="minorEastAsia" w:cstheme="minorEastAsia"/>
                <w:i w:val="0"/>
                <w:iCs w:val="0"/>
                <w:color w:val="000000"/>
                <w:sz w:val="24"/>
                <w:szCs w:val="24"/>
                <w:u w:val="none"/>
              </w:rPr>
            </w:pP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E7C3B">
            <w:pPr>
              <w:jc w:val="center"/>
              <w:rPr>
                <w:rFonts w:hint="eastAsia" w:asciiTheme="minorEastAsia" w:hAnsiTheme="minorEastAsia" w:eastAsiaTheme="minorEastAsia" w:cstheme="minorEastAsia"/>
                <w:i w:val="0"/>
                <w:iCs w:val="0"/>
                <w:color w:val="000000"/>
                <w:sz w:val="24"/>
                <w:szCs w:val="24"/>
                <w:u w:val="none"/>
              </w:rPr>
            </w:pPr>
          </w:p>
        </w:tc>
      </w:tr>
      <w:tr w14:paraId="2BD8A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3" w:hRule="atLeast"/>
        </w:trPr>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21D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北团粮站集并至朋口储备库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E36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散装散运散卸</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829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470</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FC3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560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451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1030</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5B5B">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103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4C82">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106090</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4BA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北团镇至朋口镇运输路程约40公里。装卸运输数量以实际到库数量结算。</w:t>
            </w:r>
          </w:p>
        </w:tc>
      </w:tr>
      <w:tr w14:paraId="1824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97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D6EF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注：</w:t>
            </w:r>
          </w:p>
          <w:p w14:paraId="129B1939">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本表中预算集并数量仅代表招标采购数量，最终集并的早籼稻谷、中晚籼稻谷均以实际发生数量结算。</w:t>
            </w:r>
          </w:p>
          <w:p w14:paraId="111EFA8D">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价格为含税包干价，采购人不再支付其他费用。</w:t>
            </w:r>
          </w:p>
          <w:p w14:paraId="45164B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根据粮库安全生产要求，装卸工人必须为三人及以上（其中一人为现场监护人，监护人为现场安全监护，不得参与装卸作业）方可开展装卸作业。装卸工人须购买意外伤害保险，装卸工人须持有从业人员预防性健康合格证明，现场监护人须持有安全培训合格证。</w:t>
            </w:r>
          </w:p>
        </w:tc>
      </w:tr>
    </w:tbl>
    <w:p w14:paraId="3976971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4.竞价保证金：2000元。</w:t>
      </w:r>
    </w:p>
    <w:p w14:paraId="3F76642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5.</w:t>
      </w:r>
      <w:r>
        <w:rPr>
          <w:rFonts w:hint="eastAsia" w:ascii="宋体" w:hAnsi="宋体" w:eastAsia="宋体" w:cs="宋体"/>
          <w:b w:val="0"/>
          <w:bCs w:val="0"/>
          <w:color w:val="auto"/>
          <w:kern w:val="2"/>
          <w:sz w:val="28"/>
          <w:szCs w:val="28"/>
          <w:highlight w:val="none"/>
          <w:lang w:val="en-US" w:eastAsia="zh-CN" w:bidi="ar-SA"/>
        </w:rPr>
        <w:t>本项目收取合同履约保证金：中标总价款10%。</w:t>
      </w:r>
    </w:p>
    <w:p w14:paraId="697A88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6.</w:t>
      </w:r>
      <w:r>
        <w:rPr>
          <w:rFonts w:hint="eastAsia" w:ascii="宋体" w:hAnsi="宋体" w:eastAsia="宋体" w:cs="宋体"/>
          <w:b w:val="0"/>
          <w:bCs w:val="0"/>
          <w:color w:val="auto"/>
          <w:kern w:val="2"/>
          <w:sz w:val="28"/>
          <w:szCs w:val="28"/>
          <w:highlight w:val="none"/>
          <w:lang w:val="en-US" w:eastAsia="zh-CN" w:bidi="ar-SA"/>
        </w:rPr>
        <w:t>结算方式：</w:t>
      </w:r>
    </w:p>
    <w:p w14:paraId="00D5091C">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6.1</w:t>
      </w:r>
      <w:r>
        <w:rPr>
          <w:rFonts w:hint="eastAsia" w:ascii="宋体" w:hAnsi="宋体" w:eastAsia="宋体" w:cs="宋体"/>
          <w:b w:val="0"/>
          <w:bCs w:val="0"/>
          <w:color w:val="auto"/>
          <w:kern w:val="2"/>
          <w:sz w:val="28"/>
          <w:szCs w:val="28"/>
          <w:highlight w:val="none"/>
          <w:lang w:val="en-US" w:eastAsia="zh-CN" w:bidi="ar-SA"/>
        </w:rPr>
        <w:t>按实际起运库点和到达库点以及接收库点实际接收数量结算费用。</w:t>
      </w:r>
    </w:p>
    <w:p w14:paraId="7A2134D5">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6.2</w:t>
      </w:r>
      <w:r>
        <w:rPr>
          <w:rFonts w:hint="eastAsia" w:ascii="宋体" w:hAnsi="宋体" w:eastAsia="宋体" w:cs="宋体"/>
          <w:b w:val="0"/>
          <w:bCs w:val="0"/>
          <w:color w:val="auto"/>
          <w:kern w:val="2"/>
          <w:sz w:val="28"/>
          <w:szCs w:val="28"/>
          <w:highlight w:val="none"/>
          <w:lang w:val="en-US" w:eastAsia="zh-CN" w:bidi="ar-SA"/>
        </w:rPr>
        <w:t>合同金额为含税包干价，采购人不再支付其他费用。</w:t>
      </w:r>
    </w:p>
    <w:p w14:paraId="2C9C1769">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.合同要求（具体详见合同）：</w:t>
      </w:r>
    </w:p>
    <w:p w14:paraId="763E6DC0">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.1成交供应商须督促装卸工人遵守采购人规章制度，若存在违反采购人规章制度和不服从采购人人员指挥的行为，采购人有权对成交供应商或成交供应商装卸工人按采购人制度进行处罚。</w:t>
      </w:r>
    </w:p>
    <w:p w14:paraId="4285EF8C">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2成交供应商应保证车辆箱体要密实无撒漏、无污染，防潮防雨。装过有毒物品、农药、玻璃纤维和其它有害物质或装过化肥、活牲畜和其它污秽物，未经消毒、有异味、清扫不干净的车辆不得装车，确保运输粮食质量安全。</w:t>
      </w:r>
    </w:p>
    <w:p w14:paraId="2C58C467">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.3成交供应商应签订《外包（出入库）作业安全生产责任书》</w:t>
      </w:r>
    </w:p>
    <w:p w14:paraId="19FEADCF">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8</w:t>
      </w:r>
      <w:r>
        <w:rPr>
          <w:rFonts w:hint="eastAsia" w:ascii="宋体" w:hAnsi="宋体" w:eastAsia="宋体" w:cs="宋体"/>
          <w:b w:val="0"/>
          <w:bCs w:val="0"/>
          <w:color w:val="auto"/>
          <w:kern w:val="2"/>
          <w:sz w:val="28"/>
          <w:szCs w:val="28"/>
          <w:highlight w:val="none"/>
          <w:lang w:val="en-US" w:eastAsia="zh-CN" w:bidi="ar-SA"/>
        </w:rPr>
        <w:t>.合同：成交人应在成交公告发布之日起5个工作日内与采购人自行签定合同，合同不违背本公告采购实质性要求。合同条款详见附件《粮食集并运输装卸合同》。</w:t>
      </w:r>
    </w:p>
    <w:p w14:paraId="48DAA6D7">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9</w:t>
      </w:r>
      <w:r>
        <w:rPr>
          <w:rFonts w:hint="eastAsia" w:ascii="宋体" w:hAnsi="宋体" w:eastAsia="宋体" w:cs="宋体"/>
          <w:b w:val="0"/>
          <w:bCs w:val="0"/>
          <w:color w:val="auto"/>
          <w:kern w:val="2"/>
          <w:sz w:val="28"/>
          <w:szCs w:val="28"/>
          <w:highlight w:val="none"/>
          <w:lang w:val="en-US" w:eastAsia="zh-CN" w:bidi="ar-SA"/>
        </w:rPr>
        <w:t>.付款方式：根据合同约定支付。</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14B0054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1. 竞价者必须遵守中华人民共和国法律、法规，具有独立法人资格的国内企业或个体工商户（失信被执行人除外）。</w:t>
      </w:r>
    </w:p>
    <w:p w14:paraId="3B44D1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2.竞价者必须具有履行合同所必需的能力，即经营范围应包括：装卸或搬运或运输。</w:t>
      </w:r>
    </w:p>
    <w:p w14:paraId="547986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2000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2026年8月28日上午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个工作日内与本公司签订《竞价结果通知书》，在签订《竞价结果通知书》</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个工作日内向委托人提供《</w:t>
      </w:r>
      <w:r>
        <w:rPr>
          <w:rFonts w:hint="eastAsia" w:ascii="宋体" w:hAnsi="宋体" w:cs="宋体"/>
          <w:color w:val="auto"/>
          <w:sz w:val="28"/>
          <w:szCs w:val="28"/>
          <w:highlight w:val="none"/>
          <w:lang w:val="en-US" w:eastAsia="zh-CN"/>
        </w:rPr>
        <w:t>采购合同</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538CAA6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（1）营业执照副本、法定代表人或经营者身份证复印件。</w:t>
      </w:r>
    </w:p>
    <w:p w14:paraId="657A53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（2）签订完整的承诺书</w:t>
      </w:r>
      <w:r>
        <w:rPr>
          <w:rFonts w:hint="eastAsia" w:ascii="宋体" w:hAnsi="宋体" w:cs="宋体"/>
          <w:color w:val="auto"/>
          <w:sz w:val="28"/>
          <w:szCs w:val="28"/>
          <w:highlight w:val="none"/>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7E91FA2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73091B7F">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r>
        <w:rPr>
          <w:rFonts w:hint="eastAsia" w:ascii="宋体" w:hAnsi="宋体" w:eastAsia="宋体" w:cs="宋体"/>
          <w:color w:val="auto"/>
          <w:kern w:val="2"/>
          <w:sz w:val="28"/>
          <w:szCs w:val="28"/>
          <w:highlight w:val="none"/>
          <w:shd w:val="clear"/>
          <w:lang w:val="en-US" w:eastAsia="zh-CN"/>
        </w:rPr>
        <w:t>报价截止时间后，系统将自动开启解密，提交报价的</w:t>
      </w:r>
      <w:r>
        <w:rPr>
          <w:rFonts w:hint="eastAsia" w:ascii="宋体" w:hAnsi="宋体" w:cs="宋体"/>
          <w:color w:val="auto"/>
          <w:kern w:val="2"/>
          <w:sz w:val="28"/>
          <w:szCs w:val="28"/>
          <w:highlight w:val="none"/>
          <w:shd w:val="clear"/>
          <w:lang w:val="en-US" w:eastAsia="zh-CN"/>
        </w:rPr>
        <w:t>供应商</w:t>
      </w:r>
      <w:r>
        <w:rPr>
          <w:rFonts w:hint="eastAsia" w:ascii="宋体" w:hAnsi="宋体" w:eastAsia="宋体" w:cs="宋体"/>
          <w:color w:val="auto"/>
          <w:kern w:val="2"/>
          <w:sz w:val="28"/>
          <w:szCs w:val="28"/>
          <w:highlight w:val="none"/>
          <w:shd w:val="clear"/>
          <w:lang w:val="en-US" w:eastAsia="zh-CN"/>
        </w:rPr>
        <w:t>需在30分钟内进行解密，否则视为撤回报价。</w:t>
      </w:r>
    </w:p>
    <w:p w14:paraId="0777FC65">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325BEA9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cs="宋体"/>
          <w:color w:val="auto"/>
          <w:sz w:val="28"/>
          <w:szCs w:val="28"/>
          <w:lang w:eastAsia="zh-CN"/>
        </w:rPr>
        <w:t>，</w:t>
      </w:r>
      <w:r>
        <w:rPr>
          <w:rFonts w:hint="eastAsia" w:ascii="宋体" w:hAnsi="宋体" w:cs="宋体"/>
          <w:b/>
          <w:bCs/>
          <w:color w:val="auto"/>
          <w:sz w:val="28"/>
          <w:szCs w:val="28"/>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付款方式</w:t>
      </w:r>
    </w:p>
    <w:p w14:paraId="2BC3BE4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按实际起运库点和到达库点以及接收库点实际接收数量结算费用。</w:t>
      </w:r>
    </w:p>
    <w:p w14:paraId="0434C6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lang w:val="en-US" w:eastAsia="zh-CN"/>
        </w:rPr>
        <w:t>合同金额为含税包干价，采购人不再支付其他费用</w:t>
      </w:r>
      <w:r>
        <w:rPr>
          <w:rFonts w:hint="eastAsia" w:ascii="宋体" w:hAnsi="宋体" w:cs="宋体"/>
          <w:b w:val="0"/>
          <w:bCs w:val="0"/>
          <w:color w:val="auto"/>
          <w:sz w:val="28"/>
          <w:szCs w:val="28"/>
          <w:highlight w:val="none"/>
          <w:lang w:val="en-US" w:eastAsia="zh-CN"/>
        </w:rPr>
        <w:t>。</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采购合同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采购合同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31E169A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2026年8月24日</w:t>
      </w:r>
    </w:p>
    <w:p w14:paraId="03DE3A64">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59CEBB5D">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302C5248">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4F154A88">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A7859D6">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086D31B7">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2026年8月28日</w:t>
      </w:r>
      <w:r>
        <w:rPr>
          <w:rFonts w:hint="eastAsia" w:ascii="宋体" w:hAnsi="宋体" w:eastAsia="宋体" w:cs="宋体"/>
          <w:color w:val="auto"/>
          <w:sz w:val="28"/>
          <w:szCs w:val="28"/>
          <w:highlight w:val="none"/>
        </w:rPr>
        <w:t>上午举行的“连城县招标投标交易平台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eastAsia="zh-CN"/>
        </w:rPr>
        <w:t>2026年度县级储备订单粮集并装卸运输采购项目（二次）</w:t>
      </w:r>
      <w:r>
        <w:rPr>
          <w:rFonts w:hint="eastAsia" w:ascii="宋体" w:hAnsi="宋体" w:eastAsia="宋体" w:cs="宋体"/>
          <w:color w:val="auto"/>
          <w:sz w:val="28"/>
          <w:szCs w:val="28"/>
          <w:highlight w:val="none"/>
        </w:rPr>
        <w:t>。收悉项目编号为</w:t>
      </w:r>
      <w:r>
        <w:rPr>
          <w:rFonts w:hint="eastAsia" w:ascii="宋体" w:hAnsi="宋体" w:cs="宋体"/>
          <w:color w:val="auto"/>
          <w:sz w:val="28"/>
          <w:szCs w:val="28"/>
          <w:highlight w:val="none"/>
          <w:u w:val="single"/>
          <w:lang w:eastAsia="zh-CN"/>
        </w:rPr>
        <w:t>LCCQJJ20260828</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8EA2DDA">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28417D1C">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7B86B5E5">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法定代表人（签</w:t>
      </w:r>
      <w:r>
        <w:rPr>
          <w:rFonts w:hint="eastAsia" w:ascii="宋体" w:hAnsi="宋体" w:cs="宋体"/>
          <w:color w:val="auto"/>
          <w:sz w:val="28"/>
          <w:szCs w:val="28"/>
          <w:highlight w:val="none"/>
          <w:lang w:val="en-US" w:eastAsia="zh-CN"/>
        </w:rPr>
        <w:t>字或盖</w:t>
      </w:r>
      <w:r>
        <w:rPr>
          <w:rFonts w:hint="eastAsia" w:ascii="宋体" w:hAnsi="宋体" w:eastAsia="宋体" w:cs="宋体"/>
          <w:color w:val="auto"/>
          <w:sz w:val="28"/>
          <w:szCs w:val="28"/>
          <w:highlight w:val="none"/>
        </w:rPr>
        <w:t>章）：</w:t>
      </w:r>
      <w:r>
        <w:rPr>
          <w:rFonts w:hint="eastAsia" w:ascii="宋体" w:hAnsi="宋体" w:eastAsia="宋体" w:cs="宋体"/>
          <w:color w:val="auto"/>
          <w:sz w:val="28"/>
          <w:szCs w:val="28"/>
          <w:highlight w:val="none"/>
          <w:lang w:val="en-US" w:eastAsia="zh-CN"/>
        </w:rPr>
        <w:t xml:space="preserve"> </w:t>
      </w:r>
    </w:p>
    <w:p w14:paraId="22654E3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407E7A27">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月</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日</w:t>
      </w:r>
    </w:p>
    <w:p w14:paraId="7CC180BE">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bookmarkStart w:id="0" w:name="_GoBack"/>
      <w:bookmarkEnd w:id="0"/>
    </w:p>
    <w:p w14:paraId="06EFE48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附件一：粮食集并运输装卸合同</w:t>
      </w:r>
    </w:p>
    <w:p w14:paraId="1699DAB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b/>
          <w:sz w:val="44"/>
          <w:szCs w:val="44"/>
        </w:rPr>
      </w:pPr>
    </w:p>
    <w:p w14:paraId="4616002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b/>
          <w:sz w:val="44"/>
          <w:szCs w:val="44"/>
        </w:rPr>
      </w:pPr>
      <w:r>
        <w:rPr>
          <w:rFonts w:hint="eastAsia"/>
          <w:b/>
          <w:sz w:val="44"/>
          <w:szCs w:val="44"/>
        </w:rPr>
        <w:t>粮食集并运输装卸合同</w:t>
      </w:r>
    </w:p>
    <w:p w14:paraId="7BEF521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b/>
          <w:sz w:val="44"/>
          <w:szCs w:val="44"/>
        </w:rPr>
      </w:pPr>
    </w:p>
    <w:p w14:paraId="4D593172">
      <w:pPr>
        <w:snapToGrid w:val="0"/>
        <w:spacing w:line="360" w:lineRule="auto"/>
        <w:ind w:firstLine="590" w:firstLineChars="196"/>
        <w:rPr>
          <w:rFonts w:hint="eastAsia"/>
          <w:b/>
          <w:sz w:val="30"/>
          <w:szCs w:val="30"/>
        </w:rPr>
      </w:pPr>
      <w:r>
        <w:rPr>
          <w:rFonts w:hint="eastAsia"/>
          <w:b/>
          <w:sz w:val="30"/>
          <w:szCs w:val="30"/>
        </w:rPr>
        <w:t>甲 方：连城县粮食购销有限公司</w:t>
      </w:r>
    </w:p>
    <w:p w14:paraId="638777C5">
      <w:pPr>
        <w:snapToGrid w:val="0"/>
        <w:spacing w:line="360" w:lineRule="auto"/>
        <w:ind w:firstLine="590" w:firstLineChars="196"/>
        <w:rPr>
          <w:rFonts w:hint="eastAsia" w:eastAsia="宋体"/>
          <w:b/>
          <w:sz w:val="30"/>
          <w:szCs w:val="30"/>
          <w:lang w:val="en-US" w:eastAsia="zh-CN"/>
        </w:rPr>
      </w:pPr>
      <w:r>
        <w:rPr>
          <w:rFonts w:hint="eastAsia"/>
          <w:b/>
          <w:sz w:val="30"/>
          <w:szCs w:val="30"/>
        </w:rPr>
        <w:t>乙 方：</w:t>
      </w:r>
      <w:r>
        <w:rPr>
          <w:rFonts w:hint="eastAsia"/>
          <w:b/>
          <w:sz w:val="30"/>
          <w:szCs w:val="30"/>
          <w:lang w:val="en-US" w:eastAsia="zh-CN"/>
        </w:rPr>
        <w:t xml:space="preserve"> </w:t>
      </w:r>
    </w:p>
    <w:p w14:paraId="2C222A31">
      <w:pPr>
        <w:snapToGrid w:val="0"/>
        <w:spacing w:line="300" w:lineRule="auto"/>
        <w:ind w:firstLine="600" w:firstLineChars="200"/>
        <w:rPr>
          <w:rFonts w:hint="eastAsia" w:ascii="仿宋" w:hAnsi="仿宋" w:eastAsia="仿宋"/>
          <w:sz w:val="30"/>
          <w:szCs w:val="30"/>
          <w:u w:val="single"/>
        </w:rPr>
      </w:pPr>
      <w:r>
        <w:rPr>
          <w:rFonts w:hint="eastAsia" w:ascii="仿宋" w:hAnsi="仿宋" w:eastAsia="仿宋"/>
          <w:sz w:val="30"/>
          <w:szCs w:val="30"/>
        </w:rPr>
        <w:t>根据龙岩市公物采购招标代理有限公司招标编号：</w:t>
      </w:r>
      <w:r>
        <w:rPr>
          <w:rFonts w:hint="eastAsia" w:ascii="仿宋" w:hAnsi="仿宋" w:eastAsia="仿宋"/>
          <w:sz w:val="30"/>
          <w:szCs w:val="30"/>
          <w:u w:val="single"/>
        </w:rPr>
        <w:t xml:space="preserve">               </w:t>
      </w:r>
    </w:p>
    <w:p w14:paraId="58964FA2">
      <w:pPr>
        <w:snapToGrid w:val="0"/>
        <w:spacing w:line="300" w:lineRule="auto"/>
        <w:rPr>
          <w:rFonts w:hint="eastAsia" w:ascii="仿宋" w:hAnsi="仿宋" w:eastAsia="仿宋"/>
          <w:sz w:val="30"/>
          <w:szCs w:val="30"/>
        </w:rPr>
      </w:pPr>
      <w:r>
        <w:rPr>
          <w:rFonts w:ascii="仿宋" w:hAnsi="仿宋" w:eastAsia="仿宋"/>
          <w:sz w:val="30"/>
          <w:szCs w:val="30"/>
        </w:rPr>
        <w:t>“</w:t>
      </w:r>
      <w:r>
        <w:rPr>
          <w:rFonts w:ascii="仿宋" w:hAnsi="仿宋" w:eastAsia="仿宋"/>
          <w:b/>
          <w:sz w:val="30"/>
          <w:szCs w:val="30"/>
        </w:rPr>
        <w:t>连城县粮食购销有限公司</w:t>
      </w:r>
      <w:r>
        <w:rPr>
          <w:rFonts w:hint="eastAsia" w:ascii="仿宋" w:hAnsi="仿宋" w:eastAsia="仿宋"/>
          <w:b/>
          <w:sz w:val="30"/>
          <w:szCs w:val="30"/>
          <w:lang w:eastAsia="zh-CN"/>
        </w:rPr>
        <w:t>2026年度县级储备订单粮集并装卸运输采购项目（二次）</w:t>
      </w:r>
      <w:r>
        <w:rPr>
          <w:rFonts w:ascii="仿宋" w:hAnsi="仿宋" w:eastAsia="仿宋"/>
          <w:sz w:val="30"/>
          <w:szCs w:val="30"/>
        </w:rPr>
        <w:t>”（以下简称：本项目</w:t>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网络竞价结果，经成交公示完成，</w:t>
      </w:r>
      <w:r>
        <w:rPr>
          <w:rFonts w:ascii="仿宋" w:hAnsi="仿宋" w:eastAsia="仿宋"/>
          <w:sz w:val="30"/>
          <w:szCs w:val="30"/>
        </w:rPr>
        <w:t>现就粮食</w:t>
      </w:r>
      <w:r>
        <w:rPr>
          <w:rFonts w:hint="eastAsia" w:ascii="仿宋" w:hAnsi="仿宋" w:eastAsia="仿宋"/>
          <w:sz w:val="30"/>
          <w:szCs w:val="30"/>
        </w:rPr>
        <w:t>集并</w:t>
      </w:r>
      <w:r>
        <w:rPr>
          <w:rFonts w:ascii="仿宋" w:hAnsi="仿宋" w:eastAsia="仿宋"/>
          <w:sz w:val="30"/>
          <w:szCs w:val="30"/>
        </w:rPr>
        <w:t>装卸运输</w:t>
      </w:r>
      <w:r>
        <w:rPr>
          <w:rFonts w:hint="eastAsia" w:ascii="仿宋" w:hAnsi="仿宋" w:eastAsia="仿宋"/>
          <w:sz w:val="30"/>
          <w:szCs w:val="30"/>
        </w:rPr>
        <w:t>事宜</w:t>
      </w:r>
      <w:r>
        <w:rPr>
          <w:rFonts w:ascii="仿宋" w:hAnsi="仿宋" w:eastAsia="仿宋"/>
          <w:sz w:val="30"/>
          <w:szCs w:val="30"/>
        </w:rPr>
        <w:t>，经甲、乙双方共同协商，特定立本合同，供双方共同遵守：</w:t>
      </w:r>
    </w:p>
    <w:p w14:paraId="60DD10ED">
      <w:pPr>
        <w:snapToGrid w:val="0"/>
        <w:spacing w:line="300" w:lineRule="auto"/>
        <w:ind w:firstLine="602" w:firstLineChars="200"/>
        <w:rPr>
          <w:rFonts w:hint="eastAsia" w:ascii="仿宋" w:hAnsi="仿宋" w:eastAsia="仿宋"/>
          <w:b/>
          <w:sz w:val="30"/>
          <w:szCs w:val="30"/>
        </w:rPr>
      </w:pPr>
      <w:r>
        <w:rPr>
          <w:rFonts w:hint="eastAsia" w:ascii="仿宋" w:hAnsi="仿宋" w:eastAsia="仿宋"/>
          <w:b/>
          <w:sz w:val="30"/>
          <w:szCs w:val="30"/>
        </w:rPr>
        <w:t>一、标的清单：</w:t>
      </w:r>
    </w:p>
    <w:p w14:paraId="2F36D34B">
      <w:pPr>
        <w:snapToGrid w:val="0"/>
        <w:spacing w:line="360" w:lineRule="auto"/>
        <w:jc w:val="center"/>
        <w:rPr>
          <w:rFonts w:hint="eastAsia" w:ascii="仿宋" w:hAnsi="仿宋" w:eastAsia="仿宋"/>
          <w:b/>
          <w:sz w:val="30"/>
          <w:szCs w:val="30"/>
        </w:rPr>
      </w:pPr>
      <w:r>
        <w:rPr>
          <w:rFonts w:hint="eastAsia" w:ascii="仿宋" w:hAnsi="仿宋" w:eastAsia="仿宋" w:cs="宋体"/>
          <w:b/>
          <w:bCs/>
          <w:kern w:val="0"/>
          <w:sz w:val="30"/>
          <w:szCs w:val="30"/>
        </w:rPr>
        <w:t>2026年度县级储备订单粮集并装卸运输费用标的清单</w:t>
      </w:r>
    </w:p>
    <w:tbl>
      <w:tblPr>
        <w:tblStyle w:val="15"/>
        <w:tblW w:w="10656" w:type="dxa"/>
        <w:jc w:val="center"/>
        <w:tblLayout w:type="autofit"/>
        <w:tblCellMar>
          <w:top w:w="0" w:type="dxa"/>
          <w:left w:w="108" w:type="dxa"/>
          <w:bottom w:w="0" w:type="dxa"/>
          <w:right w:w="108" w:type="dxa"/>
        </w:tblCellMar>
      </w:tblPr>
      <w:tblGrid>
        <w:gridCol w:w="1533"/>
        <w:gridCol w:w="715"/>
        <w:gridCol w:w="1070"/>
        <w:gridCol w:w="1124"/>
        <w:gridCol w:w="747"/>
        <w:gridCol w:w="1080"/>
        <w:gridCol w:w="1260"/>
        <w:gridCol w:w="3127"/>
      </w:tblGrid>
      <w:tr w14:paraId="6209BF7F">
        <w:tblPrEx>
          <w:tblCellMar>
            <w:top w:w="0" w:type="dxa"/>
            <w:left w:w="108" w:type="dxa"/>
            <w:bottom w:w="0" w:type="dxa"/>
            <w:right w:w="108" w:type="dxa"/>
          </w:tblCellMar>
        </w:tblPrEx>
        <w:trPr>
          <w:trHeight w:val="696" w:hRule="atLeast"/>
          <w:jc w:val="center"/>
        </w:trPr>
        <w:tc>
          <w:tcPr>
            <w:tcW w:w="1533"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F997D25">
            <w:pPr>
              <w:widowControl/>
              <w:jc w:val="center"/>
              <w:rPr>
                <w:rFonts w:ascii="仿宋" w:hAnsi="仿宋" w:eastAsia="仿宋" w:cs="宋体"/>
                <w:b/>
                <w:bCs/>
                <w:kern w:val="0"/>
                <w:szCs w:val="21"/>
              </w:rPr>
            </w:pPr>
            <w:r>
              <w:rPr>
                <w:rFonts w:hint="eastAsia" w:ascii="仿宋" w:hAnsi="仿宋" w:eastAsia="仿宋" w:cs="宋体"/>
                <w:b/>
                <w:bCs/>
                <w:kern w:val="0"/>
                <w:szCs w:val="21"/>
              </w:rPr>
              <w:t>地 点</w:t>
            </w:r>
          </w:p>
        </w:tc>
        <w:tc>
          <w:tcPr>
            <w:tcW w:w="71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03BF40E5">
            <w:pPr>
              <w:widowControl/>
              <w:jc w:val="center"/>
              <w:rPr>
                <w:rFonts w:hint="eastAsia" w:ascii="仿宋" w:hAnsi="仿宋" w:eastAsia="仿宋" w:cs="宋体"/>
                <w:b/>
                <w:bCs/>
                <w:kern w:val="0"/>
                <w:szCs w:val="21"/>
              </w:rPr>
            </w:pPr>
            <w:r>
              <w:rPr>
                <w:rFonts w:hint="eastAsia" w:ascii="仿宋" w:hAnsi="仿宋" w:eastAsia="仿宋" w:cs="宋体"/>
                <w:b/>
                <w:bCs/>
                <w:kern w:val="0"/>
                <w:szCs w:val="21"/>
              </w:rPr>
              <w:t>调拨</w:t>
            </w:r>
          </w:p>
          <w:p w14:paraId="1CE9E881">
            <w:pPr>
              <w:widowControl/>
              <w:jc w:val="center"/>
              <w:rPr>
                <w:rFonts w:ascii="仿宋" w:hAnsi="仿宋" w:eastAsia="仿宋" w:cs="宋体"/>
                <w:b/>
                <w:bCs/>
                <w:kern w:val="0"/>
                <w:szCs w:val="21"/>
              </w:rPr>
            </w:pPr>
            <w:r>
              <w:rPr>
                <w:rFonts w:hint="eastAsia" w:ascii="仿宋" w:hAnsi="仿宋" w:eastAsia="仿宋" w:cs="宋体"/>
                <w:b/>
                <w:bCs/>
                <w:kern w:val="0"/>
                <w:szCs w:val="21"/>
              </w:rPr>
              <w:t>方式</w:t>
            </w:r>
          </w:p>
        </w:tc>
        <w:tc>
          <w:tcPr>
            <w:tcW w:w="2941" w:type="dxa"/>
            <w:gridSpan w:val="3"/>
            <w:tcBorders>
              <w:top w:val="single" w:color="auto" w:sz="4" w:space="0"/>
              <w:left w:val="nil"/>
              <w:bottom w:val="single" w:color="auto" w:sz="4" w:space="0"/>
              <w:right w:val="single" w:color="000000" w:sz="4" w:space="0"/>
            </w:tcBorders>
            <w:shd w:val="clear" w:color="auto" w:fill="auto"/>
            <w:noWrap w:val="0"/>
            <w:vAlign w:val="center"/>
          </w:tcPr>
          <w:p w14:paraId="624F5FBB">
            <w:pPr>
              <w:widowControl/>
              <w:jc w:val="center"/>
              <w:rPr>
                <w:rFonts w:ascii="仿宋" w:hAnsi="仿宋" w:eastAsia="仿宋" w:cs="宋体"/>
                <w:b/>
                <w:bCs/>
                <w:kern w:val="0"/>
                <w:szCs w:val="21"/>
              </w:rPr>
            </w:pPr>
            <w:r>
              <w:rPr>
                <w:rFonts w:hint="eastAsia" w:ascii="仿宋" w:hAnsi="仿宋" w:eastAsia="仿宋" w:cs="宋体"/>
                <w:b/>
                <w:bCs/>
                <w:kern w:val="0"/>
                <w:szCs w:val="21"/>
              </w:rPr>
              <w:t>预算集并数量（吨）</w:t>
            </w:r>
          </w:p>
        </w:tc>
        <w:tc>
          <w:tcPr>
            <w:tcW w:w="1080" w:type="dxa"/>
            <w:vMerge w:val="restart"/>
            <w:tcBorders>
              <w:top w:val="single" w:color="auto" w:sz="4" w:space="0"/>
              <w:left w:val="single" w:color="auto" w:sz="4" w:space="0"/>
              <w:right w:val="single" w:color="000000" w:sz="4" w:space="0"/>
            </w:tcBorders>
            <w:shd w:val="clear" w:color="auto" w:fill="auto"/>
            <w:noWrap w:val="0"/>
            <w:vAlign w:val="center"/>
          </w:tcPr>
          <w:p w14:paraId="23652F50">
            <w:pPr>
              <w:widowControl/>
              <w:jc w:val="center"/>
              <w:rPr>
                <w:rFonts w:hint="eastAsia" w:ascii="仿宋" w:hAnsi="仿宋" w:eastAsia="仿宋" w:cs="宋体"/>
                <w:b/>
                <w:bCs/>
                <w:kern w:val="0"/>
                <w:szCs w:val="21"/>
              </w:rPr>
            </w:pPr>
            <w:r>
              <w:rPr>
                <w:rFonts w:hint="eastAsia" w:ascii="仿宋" w:hAnsi="仿宋" w:eastAsia="仿宋" w:cs="宋体"/>
                <w:b/>
                <w:bCs/>
                <w:kern w:val="0"/>
                <w:szCs w:val="21"/>
              </w:rPr>
              <w:t>包干单价</w:t>
            </w:r>
          </w:p>
          <w:p w14:paraId="7021C7BA">
            <w:pPr>
              <w:widowControl/>
              <w:jc w:val="center"/>
              <w:rPr>
                <w:rFonts w:ascii="仿宋" w:hAnsi="仿宋" w:eastAsia="仿宋" w:cs="宋体"/>
                <w:b/>
                <w:bCs/>
                <w:kern w:val="0"/>
                <w:szCs w:val="21"/>
              </w:rPr>
            </w:pPr>
            <w:r>
              <w:rPr>
                <w:rFonts w:hint="eastAsia" w:ascii="仿宋" w:hAnsi="仿宋" w:eastAsia="仿宋" w:cs="宋体"/>
                <w:b/>
                <w:bCs/>
                <w:kern w:val="0"/>
                <w:szCs w:val="21"/>
              </w:rPr>
              <w:t>（元/吨）</w:t>
            </w:r>
          </w:p>
        </w:tc>
        <w:tc>
          <w:tcPr>
            <w:tcW w:w="12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34BA4B4C">
            <w:pPr>
              <w:widowControl/>
              <w:jc w:val="center"/>
              <w:rPr>
                <w:rFonts w:hint="eastAsia" w:ascii="仿宋" w:hAnsi="仿宋" w:eastAsia="仿宋" w:cs="宋体"/>
                <w:b/>
                <w:bCs/>
                <w:kern w:val="0"/>
                <w:szCs w:val="21"/>
              </w:rPr>
            </w:pPr>
            <w:r>
              <w:rPr>
                <w:rFonts w:hint="eastAsia" w:ascii="仿宋" w:hAnsi="仿宋" w:eastAsia="仿宋" w:cs="宋体"/>
                <w:b/>
                <w:bCs/>
                <w:kern w:val="0"/>
                <w:szCs w:val="21"/>
              </w:rPr>
              <w:t>合计包干</w:t>
            </w:r>
          </w:p>
          <w:p w14:paraId="2B4903CA">
            <w:pPr>
              <w:widowControl/>
              <w:jc w:val="center"/>
              <w:rPr>
                <w:rFonts w:hint="eastAsia" w:ascii="仿宋" w:hAnsi="仿宋" w:eastAsia="仿宋" w:cs="宋体"/>
                <w:b/>
                <w:bCs/>
                <w:kern w:val="0"/>
                <w:szCs w:val="21"/>
              </w:rPr>
            </w:pPr>
            <w:r>
              <w:rPr>
                <w:rFonts w:hint="eastAsia" w:ascii="仿宋" w:hAnsi="仿宋" w:eastAsia="仿宋" w:cs="宋体"/>
                <w:b/>
                <w:bCs/>
                <w:kern w:val="0"/>
                <w:szCs w:val="21"/>
              </w:rPr>
              <w:t>金额</w:t>
            </w:r>
          </w:p>
          <w:p w14:paraId="4CC34E7D">
            <w:pPr>
              <w:widowControl/>
              <w:jc w:val="center"/>
              <w:rPr>
                <w:rFonts w:ascii="仿宋" w:hAnsi="仿宋" w:eastAsia="仿宋" w:cs="宋体"/>
                <w:b/>
                <w:bCs/>
                <w:kern w:val="0"/>
                <w:szCs w:val="21"/>
              </w:rPr>
            </w:pPr>
            <w:r>
              <w:rPr>
                <w:rFonts w:hint="eastAsia" w:ascii="仿宋" w:hAnsi="仿宋" w:eastAsia="仿宋" w:cs="宋体"/>
                <w:b/>
                <w:bCs/>
                <w:kern w:val="0"/>
                <w:szCs w:val="21"/>
              </w:rPr>
              <w:t>（元）</w:t>
            </w:r>
          </w:p>
        </w:tc>
        <w:tc>
          <w:tcPr>
            <w:tcW w:w="3127"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0BC82B7">
            <w:pPr>
              <w:widowControl/>
              <w:jc w:val="center"/>
              <w:rPr>
                <w:rFonts w:ascii="仿宋" w:hAnsi="仿宋" w:eastAsia="仿宋" w:cs="宋体"/>
                <w:b/>
                <w:bCs/>
                <w:kern w:val="0"/>
                <w:szCs w:val="21"/>
              </w:rPr>
            </w:pPr>
            <w:r>
              <w:rPr>
                <w:rFonts w:hint="eastAsia" w:ascii="仿宋" w:hAnsi="仿宋" w:eastAsia="仿宋" w:cs="宋体"/>
                <w:b/>
                <w:bCs/>
                <w:kern w:val="0"/>
                <w:szCs w:val="21"/>
              </w:rPr>
              <w:t>备注</w:t>
            </w:r>
          </w:p>
        </w:tc>
      </w:tr>
      <w:tr w14:paraId="63812445">
        <w:tblPrEx>
          <w:tblCellMar>
            <w:top w:w="0" w:type="dxa"/>
            <w:left w:w="108" w:type="dxa"/>
            <w:bottom w:w="0" w:type="dxa"/>
            <w:right w:w="108" w:type="dxa"/>
          </w:tblCellMar>
        </w:tblPrEx>
        <w:trPr>
          <w:trHeight w:val="792" w:hRule="atLeast"/>
          <w:jc w:val="center"/>
        </w:trPr>
        <w:tc>
          <w:tcPr>
            <w:tcW w:w="153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FA9EA5E">
            <w:pPr>
              <w:widowControl/>
              <w:jc w:val="left"/>
              <w:rPr>
                <w:rFonts w:ascii="仿宋" w:hAnsi="仿宋" w:eastAsia="仿宋" w:cs="宋体"/>
                <w:b/>
                <w:bCs/>
                <w:kern w:val="0"/>
                <w:szCs w:val="21"/>
              </w:rPr>
            </w:pPr>
          </w:p>
        </w:tc>
        <w:tc>
          <w:tcPr>
            <w:tcW w:w="71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A11751C">
            <w:pPr>
              <w:widowControl/>
              <w:jc w:val="left"/>
              <w:rPr>
                <w:rFonts w:ascii="仿宋" w:hAnsi="仿宋" w:eastAsia="仿宋" w:cs="宋体"/>
                <w:b/>
                <w:bCs/>
                <w:kern w:val="0"/>
                <w:szCs w:val="21"/>
              </w:rPr>
            </w:pPr>
          </w:p>
        </w:tc>
        <w:tc>
          <w:tcPr>
            <w:tcW w:w="1070" w:type="dxa"/>
            <w:tcBorders>
              <w:top w:val="nil"/>
              <w:left w:val="nil"/>
              <w:bottom w:val="single" w:color="auto" w:sz="4" w:space="0"/>
              <w:right w:val="single" w:color="auto" w:sz="4" w:space="0"/>
            </w:tcBorders>
            <w:shd w:val="clear" w:color="auto" w:fill="auto"/>
            <w:noWrap w:val="0"/>
            <w:vAlign w:val="center"/>
          </w:tcPr>
          <w:p w14:paraId="67D28333">
            <w:pPr>
              <w:widowControl/>
              <w:jc w:val="center"/>
              <w:rPr>
                <w:rFonts w:ascii="仿宋" w:hAnsi="仿宋" w:eastAsia="仿宋" w:cs="宋体"/>
                <w:b/>
                <w:bCs/>
                <w:kern w:val="0"/>
                <w:szCs w:val="21"/>
              </w:rPr>
            </w:pPr>
            <w:r>
              <w:rPr>
                <w:rFonts w:hint="eastAsia" w:ascii="仿宋" w:hAnsi="仿宋" w:eastAsia="仿宋" w:cs="宋体"/>
                <w:b/>
                <w:bCs/>
                <w:kern w:val="0"/>
                <w:szCs w:val="21"/>
              </w:rPr>
              <w:t>早籼稻谷（吨）</w:t>
            </w:r>
          </w:p>
        </w:tc>
        <w:tc>
          <w:tcPr>
            <w:tcW w:w="1124" w:type="dxa"/>
            <w:tcBorders>
              <w:top w:val="nil"/>
              <w:left w:val="nil"/>
              <w:bottom w:val="single" w:color="auto" w:sz="4" w:space="0"/>
              <w:right w:val="single" w:color="auto" w:sz="4" w:space="0"/>
            </w:tcBorders>
            <w:shd w:val="clear" w:color="auto" w:fill="auto"/>
            <w:noWrap w:val="0"/>
            <w:vAlign w:val="center"/>
          </w:tcPr>
          <w:p w14:paraId="7C0BED1C">
            <w:pPr>
              <w:widowControl/>
              <w:jc w:val="center"/>
              <w:rPr>
                <w:rFonts w:ascii="仿宋" w:hAnsi="仿宋" w:eastAsia="仿宋" w:cs="宋体"/>
                <w:b/>
                <w:bCs/>
                <w:kern w:val="0"/>
                <w:szCs w:val="21"/>
              </w:rPr>
            </w:pPr>
            <w:r>
              <w:rPr>
                <w:rFonts w:hint="eastAsia" w:ascii="仿宋" w:hAnsi="仿宋" w:eastAsia="仿宋" w:cs="宋体"/>
                <w:b/>
                <w:bCs/>
                <w:kern w:val="0"/>
                <w:szCs w:val="21"/>
              </w:rPr>
              <w:t>中晚籼稻谷（吨）</w:t>
            </w:r>
          </w:p>
        </w:tc>
        <w:tc>
          <w:tcPr>
            <w:tcW w:w="747" w:type="dxa"/>
            <w:tcBorders>
              <w:top w:val="nil"/>
              <w:left w:val="nil"/>
              <w:bottom w:val="single" w:color="auto" w:sz="4" w:space="0"/>
              <w:right w:val="single" w:color="auto" w:sz="4" w:space="0"/>
            </w:tcBorders>
            <w:shd w:val="clear" w:color="auto" w:fill="auto"/>
            <w:noWrap w:val="0"/>
            <w:vAlign w:val="center"/>
          </w:tcPr>
          <w:p w14:paraId="50B41946">
            <w:pPr>
              <w:widowControl/>
              <w:jc w:val="center"/>
              <w:rPr>
                <w:rFonts w:ascii="仿宋" w:hAnsi="仿宋" w:eastAsia="仿宋" w:cs="宋体"/>
                <w:b/>
                <w:bCs/>
                <w:kern w:val="0"/>
                <w:szCs w:val="21"/>
              </w:rPr>
            </w:pPr>
            <w:r>
              <w:rPr>
                <w:rFonts w:hint="eastAsia" w:ascii="仿宋" w:hAnsi="仿宋" w:eastAsia="仿宋" w:cs="宋体"/>
                <w:b/>
                <w:bCs/>
                <w:kern w:val="0"/>
                <w:szCs w:val="21"/>
              </w:rPr>
              <w:t>合计数量</w:t>
            </w:r>
          </w:p>
        </w:tc>
        <w:tc>
          <w:tcPr>
            <w:tcW w:w="1080" w:type="dxa"/>
            <w:vMerge w:val="continue"/>
            <w:tcBorders>
              <w:left w:val="single" w:color="auto" w:sz="4" w:space="0"/>
              <w:bottom w:val="single" w:color="auto" w:sz="4" w:space="0"/>
              <w:right w:val="single" w:color="000000" w:sz="4" w:space="0"/>
            </w:tcBorders>
            <w:shd w:val="clear" w:color="auto" w:fill="auto"/>
            <w:noWrap w:val="0"/>
            <w:vAlign w:val="center"/>
          </w:tcPr>
          <w:p w14:paraId="25425C69">
            <w:pPr>
              <w:widowControl/>
              <w:jc w:val="center"/>
              <w:rPr>
                <w:rFonts w:ascii="仿宋" w:hAnsi="仿宋" w:eastAsia="仿宋" w:cs="宋体"/>
                <w:b/>
                <w:bCs/>
                <w:kern w:val="0"/>
                <w:szCs w:val="21"/>
              </w:rPr>
            </w:pPr>
          </w:p>
        </w:tc>
        <w:tc>
          <w:tcPr>
            <w:tcW w:w="1260" w:type="dxa"/>
            <w:vMerge w:val="continue"/>
            <w:tcBorders>
              <w:top w:val="single" w:color="auto" w:sz="4" w:space="0"/>
              <w:left w:val="single" w:color="000000" w:sz="4" w:space="0"/>
              <w:bottom w:val="single" w:color="000000" w:sz="4" w:space="0"/>
              <w:right w:val="single" w:color="auto" w:sz="4" w:space="0"/>
            </w:tcBorders>
            <w:noWrap w:val="0"/>
            <w:vAlign w:val="center"/>
          </w:tcPr>
          <w:p w14:paraId="5DFC6CD6">
            <w:pPr>
              <w:widowControl/>
              <w:jc w:val="left"/>
              <w:rPr>
                <w:rFonts w:ascii="仿宋" w:hAnsi="仿宋" w:eastAsia="仿宋" w:cs="宋体"/>
                <w:b/>
                <w:bCs/>
                <w:kern w:val="0"/>
                <w:szCs w:val="21"/>
              </w:rPr>
            </w:pPr>
          </w:p>
        </w:tc>
        <w:tc>
          <w:tcPr>
            <w:tcW w:w="3127" w:type="dxa"/>
            <w:vMerge w:val="continue"/>
            <w:tcBorders>
              <w:top w:val="single" w:color="auto" w:sz="4" w:space="0"/>
              <w:left w:val="single" w:color="auto" w:sz="4" w:space="0"/>
              <w:bottom w:val="single" w:color="000000" w:sz="4" w:space="0"/>
              <w:right w:val="single" w:color="auto" w:sz="4" w:space="0"/>
            </w:tcBorders>
            <w:noWrap w:val="0"/>
            <w:vAlign w:val="center"/>
          </w:tcPr>
          <w:p w14:paraId="442D3D9F">
            <w:pPr>
              <w:widowControl/>
              <w:jc w:val="left"/>
              <w:rPr>
                <w:rFonts w:ascii="仿宋" w:hAnsi="仿宋" w:eastAsia="仿宋" w:cs="宋体"/>
                <w:b/>
                <w:bCs/>
                <w:kern w:val="0"/>
                <w:szCs w:val="21"/>
              </w:rPr>
            </w:pPr>
          </w:p>
        </w:tc>
      </w:tr>
      <w:tr w14:paraId="7229E16C">
        <w:tblPrEx>
          <w:tblCellMar>
            <w:top w:w="0" w:type="dxa"/>
            <w:left w:w="108" w:type="dxa"/>
            <w:bottom w:w="0" w:type="dxa"/>
            <w:right w:w="108" w:type="dxa"/>
          </w:tblCellMar>
        </w:tblPrEx>
        <w:trPr>
          <w:trHeight w:val="700" w:hRule="atLeast"/>
          <w:jc w:val="center"/>
        </w:trPr>
        <w:tc>
          <w:tcPr>
            <w:tcW w:w="1533" w:type="dxa"/>
            <w:tcBorders>
              <w:top w:val="nil"/>
              <w:left w:val="single" w:color="auto" w:sz="4" w:space="0"/>
              <w:bottom w:val="single" w:color="auto" w:sz="4" w:space="0"/>
              <w:right w:val="single" w:color="auto" w:sz="4" w:space="0"/>
            </w:tcBorders>
            <w:shd w:val="clear" w:color="auto" w:fill="auto"/>
            <w:noWrap w:val="0"/>
            <w:vAlign w:val="center"/>
          </w:tcPr>
          <w:p w14:paraId="0CA691B3">
            <w:pPr>
              <w:widowControl/>
              <w:jc w:val="center"/>
              <w:rPr>
                <w:rFonts w:ascii="仿宋" w:hAnsi="仿宋" w:eastAsia="仿宋" w:cs="宋体"/>
                <w:kern w:val="0"/>
                <w:szCs w:val="21"/>
              </w:rPr>
            </w:pPr>
            <w:r>
              <w:rPr>
                <w:rFonts w:hint="eastAsia" w:ascii="仿宋" w:hAnsi="仿宋" w:eastAsia="仿宋" w:cs="宋体"/>
                <w:kern w:val="0"/>
                <w:szCs w:val="21"/>
              </w:rPr>
              <w:t>北团粮站集并至朋口储备库</w:t>
            </w:r>
          </w:p>
        </w:tc>
        <w:tc>
          <w:tcPr>
            <w:tcW w:w="715" w:type="dxa"/>
            <w:tcBorders>
              <w:top w:val="nil"/>
              <w:left w:val="nil"/>
              <w:bottom w:val="single" w:color="auto" w:sz="4" w:space="0"/>
              <w:right w:val="single" w:color="auto" w:sz="4" w:space="0"/>
            </w:tcBorders>
            <w:shd w:val="clear" w:color="auto" w:fill="auto"/>
            <w:noWrap w:val="0"/>
            <w:vAlign w:val="center"/>
          </w:tcPr>
          <w:p w14:paraId="6DB1F08C">
            <w:pPr>
              <w:widowControl/>
              <w:jc w:val="center"/>
              <w:rPr>
                <w:rFonts w:ascii="仿宋" w:hAnsi="仿宋" w:eastAsia="仿宋" w:cs="宋体"/>
                <w:kern w:val="0"/>
                <w:szCs w:val="21"/>
              </w:rPr>
            </w:pPr>
            <w:r>
              <w:rPr>
                <w:rFonts w:hint="eastAsia" w:ascii="仿宋" w:hAnsi="仿宋" w:eastAsia="仿宋" w:cs="宋体"/>
                <w:kern w:val="0"/>
                <w:szCs w:val="21"/>
              </w:rPr>
              <w:t>散装散运散卸</w:t>
            </w:r>
          </w:p>
        </w:tc>
        <w:tc>
          <w:tcPr>
            <w:tcW w:w="1070" w:type="dxa"/>
            <w:tcBorders>
              <w:top w:val="nil"/>
              <w:left w:val="nil"/>
              <w:bottom w:val="single" w:color="auto" w:sz="4" w:space="0"/>
              <w:right w:val="single" w:color="auto" w:sz="4" w:space="0"/>
            </w:tcBorders>
            <w:shd w:val="clear" w:color="auto" w:fill="auto"/>
            <w:noWrap w:val="0"/>
            <w:vAlign w:val="center"/>
          </w:tcPr>
          <w:p w14:paraId="2F3CC42D">
            <w:pPr>
              <w:widowControl/>
              <w:jc w:val="center"/>
              <w:rPr>
                <w:rFonts w:hint="eastAsia" w:ascii="仿宋" w:hAnsi="仿宋" w:eastAsia="仿宋" w:cs="宋体"/>
                <w:kern w:val="0"/>
                <w:szCs w:val="21"/>
              </w:rPr>
            </w:pPr>
            <w:r>
              <w:rPr>
                <w:rFonts w:hint="eastAsia" w:ascii="仿宋" w:hAnsi="仿宋" w:eastAsia="仿宋" w:cs="宋体"/>
                <w:kern w:val="0"/>
                <w:szCs w:val="21"/>
              </w:rPr>
              <w:t>470</w:t>
            </w:r>
          </w:p>
        </w:tc>
        <w:tc>
          <w:tcPr>
            <w:tcW w:w="1124" w:type="dxa"/>
            <w:tcBorders>
              <w:top w:val="nil"/>
              <w:left w:val="nil"/>
              <w:bottom w:val="single" w:color="auto" w:sz="4" w:space="0"/>
              <w:right w:val="single" w:color="auto" w:sz="4" w:space="0"/>
            </w:tcBorders>
            <w:shd w:val="clear" w:color="auto" w:fill="auto"/>
            <w:noWrap w:val="0"/>
            <w:vAlign w:val="center"/>
          </w:tcPr>
          <w:p w14:paraId="6D4D8564">
            <w:pPr>
              <w:widowControl/>
              <w:jc w:val="center"/>
              <w:rPr>
                <w:rFonts w:hint="eastAsia" w:ascii="仿宋" w:hAnsi="仿宋" w:eastAsia="仿宋" w:cs="宋体"/>
                <w:kern w:val="0"/>
                <w:szCs w:val="21"/>
              </w:rPr>
            </w:pPr>
            <w:r>
              <w:rPr>
                <w:rFonts w:hint="eastAsia" w:ascii="仿宋" w:hAnsi="仿宋" w:eastAsia="仿宋" w:cs="宋体"/>
                <w:kern w:val="0"/>
                <w:szCs w:val="21"/>
              </w:rPr>
              <w:t>560</w:t>
            </w:r>
          </w:p>
        </w:tc>
        <w:tc>
          <w:tcPr>
            <w:tcW w:w="747" w:type="dxa"/>
            <w:tcBorders>
              <w:top w:val="nil"/>
              <w:left w:val="nil"/>
              <w:bottom w:val="single" w:color="auto" w:sz="4" w:space="0"/>
              <w:right w:val="single" w:color="auto" w:sz="4" w:space="0"/>
            </w:tcBorders>
            <w:shd w:val="clear" w:color="auto" w:fill="auto"/>
            <w:noWrap w:val="0"/>
            <w:vAlign w:val="center"/>
          </w:tcPr>
          <w:p w14:paraId="500961B8">
            <w:pPr>
              <w:widowControl/>
              <w:jc w:val="center"/>
              <w:rPr>
                <w:rFonts w:hint="eastAsia" w:ascii="仿宋" w:hAnsi="仿宋" w:eastAsia="仿宋" w:cs="宋体"/>
                <w:kern w:val="0"/>
                <w:szCs w:val="21"/>
              </w:rPr>
            </w:pPr>
            <w:r>
              <w:rPr>
                <w:rFonts w:hint="eastAsia" w:ascii="仿宋" w:hAnsi="仿宋" w:eastAsia="仿宋" w:cs="宋体"/>
                <w:kern w:val="0"/>
                <w:szCs w:val="21"/>
              </w:rPr>
              <w:t>1030</w:t>
            </w:r>
          </w:p>
        </w:tc>
        <w:tc>
          <w:tcPr>
            <w:tcW w:w="1080" w:type="dxa"/>
            <w:tcBorders>
              <w:top w:val="nil"/>
              <w:left w:val="nil"/>
              <w:bottom w:val="single" w:color="auto" w:sz="4" w:space="0"/>
              <w:right w:val="single" w:color="auto" w:sz="4" w:space="0"/>
            </w:tcBorders>
            <w:shd w:val="clear" w:color="auto" w:fill="auto"/>
            <w:noWrap w:val="0"/>
            <w:vAlign w:val="center"/>
          </w:tcPr>
          <w:p w14:paraId="747F0D04">
            <w:pPr>
              <w:widowControl/>
              <w:jc w:val="center"/>
              <w:rPr>
                <w:rFonts w:hint="eastAsia" w:ascii="仿宋" w:hAnsi="仿宋" w:eastAsia="仿宋"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22F7BFA2">
            <w:pPr>
              <w:widowControl/>
              <w:jc w:val="center"/>
              <w:rPr>
                <w:rFonts w:hint="eastAsia" w:ascii="仿宋" w:hAnsi="仿宋" w:eastAsia="仿宋" w:cs="宋体"/>
                <w:kern w:val="0"/>
                <w:szCs w:val="21"/>
              </w:rPr>
            </w:pPr>
          </w:p>
        </w:tc>
        <w:tc>
          <w:tcPr>
            <w:tcW w:w="3127" w:type="dxa"/>
            <w:tcBorders>
              <w:top w:val="nil"/>
              <w:left w:val="nil"/>
              <w:bottom w:val="single" w:color="auto" w:sz="4" w:space="0"/>
              <w:right w:val="single" w:color="auto" w:sz="4" w:space="0"/>
            </w:tcBorders>
            <w:shd w:val="clear" w:color="auto" w:fill="auto"/>
            <w:noWrap w:val="0"/>
            <w:vAlign w:val="center"/>
          </w:tcPr>
          <w:p w14:paraId="05365E4D">
            <w:pPr>
              <w:widowControl/>
              <w:rPr>
                <w:rFonts w:hint="eastAsia" w:ascii="仿宋" w:hAnsi="仿宋" w:eastAsia="仿宋" w:cs="宋体"/>
                <w:kern w:val="0"/>
                <w:szCs w:val="21"/>
              </w:rPr>
            </w:pPr>
            <w:r>
              <w:rPr>
                <w:rFonts w:hint="eastAsia" w:ascii="仿宋" w:hAnsi="仿宋" w:eastAsia="仿宋" w:cs="宋体"/>
                <w:kern w:val="0"/>
                <w:szCs w:val="21"/>
              </w:rPr>
              <w:t>北团镇至朋口镇运输路程约40公里。</w:t>
            </w:r>
          </w:p>
          <w:p w14:paraId="46D3C8CA">
            <w:pPr>
              <w:rPr>
                <w:rFonts w:ascii="仿宋" w:hAnsi="仿宋" w:eastAsia="仿宋" w:cs="宋体"/>
                <w:kern w:val="0"/>
                <w:szCs w:val="21"/>
              </w:rPr>
            </w:pPr>
            <w:r>
              <w:rPr>
                <w:rFonts w:hint="eastAsia" w:ascii="仿宋" w:hAnsi="仿宋" w:eastAsia="仿宋" w:cs="宋体"/>
                <w:kern w:val="0"/>
                <w:szCs w:val="21"/>
              </w:rPr>
              <w:t>以实际装卸运输实际到库数量结算</w:t>
            </w:r>
          </w:p>
        </w:tc>
      </w:tr>
      <w:tr w14:paraId="189330C9">
        <w:tblPrEx>
          <w:tblCellMar>
            <w:top w:w="0" w:type="dxa"/>
            <w:left w:w="108" w:type="dxa"/>
            <w:bottom w:w="0" w:type="dxa"/>
            <w:right w:w="108" w:type="dxa"/>
          </w:tblCellMar>
        </w:tblPrEx>
        <w:trPr>
          <w:trHeight w:val="600" w:hRule="atLeast"/>
          <w:jc w:val="center"/>
        </w:trPr>
        <w:tc>
          <w:tcPr>
            <w:tcW w:w="6269" w:type="dxa"/>
            <w:gridSpan w:val="6"/>
            <w:tcBorders>
              <w:top w:val="nil"/>
              <w:left w:val="single" w:color="auto" w:sz="4" w:space="0"/>
              <w:bottom w:val="single" w:color="auto" w:sz="4" w:space="0"/>
              <w:right w:val="single" w:color="auto" w:sz="4" w:space="0"/>
            </w:tcBorders>
            <w:shd w:val="clear" w:color="auto" w:fill="auto"/>
            <w:noWrap w:val="0"/>
            <w:vAlign w:val="center"/>
          </w:tcPr>
          <w:p w14:paraId="1D2436F5">
            <w:pPr>
              <w:widowControl/>
              <w:jc w:val="center"/>
              <w:rPr>
                <w:rFonts w:hint="eastAsia" w:ascii="仿宋" w:hAnsi="仿宋" w:eastAsia="仿宋" w:cs="宋体"/>
                <w:kern w:val="0"/>
                <w:szCs w:val="21"/>
              </w:rPr>
            </w:pPr>
            <w:r>
              <w:rPr>
                <w:rFonts w:hint="eastAsia" w:ascii="仿宋" w:hAnsi="仿宋" w:eastAsia="仿宋" w:cs="宋体"/>
                <w:kern w:val="0"/>
                <w:szCs w:val="21"/>
              </w:rPr>
              <w:t>合      计</w:t>
            </w:r>
          </w:p>
        </w:tc>
        <w:tc>
          <w:tcPr>
            <w:tcW w:w="1260" w:type="dxa"/>
            <w:tcBorders>
              <w:top w:val="nil"/>
              <w:left w:val="nil"/>
              <w:bottom w:val="single" w:color="auto" w:sz="4" w:space="0"/>
              <w:right w:val="single" w:color="auto" w:sz="4" w:space="0"/>
            </w:tcBorders>
            <w:shd w:val="clear" w:color="auto" w:fill="auto"/>
            <w:noWrap w:val="0"/>
            <w:vAlign w:val="center"/>
          </w:tcPr>
          <w:p w14:paraId="224451FD">
            <w:pPr>
              <w:widowControl/>
              <w:jc w:val="center"/>
              <w:rPr>
                <w:rFonts w:hint="eastAsia" w:ascii="仿宋" w:hAnsi="仿宋" w:eastAsia="仿宋" w:cs="宋体"/>
                <w:kern w:val="0"/>
                <w:szCs w:val="21"/>
              </w:rPr>
            </w:pPr>
          </w:p>
        </w:tc>
        <w:tc>
          <w:tcPr>
            <w:tcW w:w="3127" w:type="dxa"/>
            <w:tcBorders>
              <w:top w:val="nil"/>
              <w:left w:val="nil"/>
              <w:bottom w:val="single" w:color="auto" w:sz="4" w:space="0"/>
              <w:right w:val="single" w:color="auto" w:sz="4" w:space="0"/>
            </w:tcBorders>
            <w:shd w:val="clear" w:color="auto" w:fill="auto"/>
            <w:noWrap w:val="0"/>
            <w:vAlign w:val="center"/>
          </w:tcPr>
          <w:p w14:paraId="2CA55853">
            <w:pPr>
              <w:widowControl/>
              <w:jc w:val="center"/>
              <w:rPr>
                <w:rFonts w:ascii="仿宋" w:hAnsi="仿宋" w:eastAsia="仿宋" w:cs="宋体"/>
                <w:kern w:val="0"/>
                <w:szCs w:val="21"/>
              </w:rPr>
            </w:pPr>
          </w:p>
        </w:tc>
      </w:tr>
      <w:tr w14:paraId="333A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56" w:type="dxa"/>
            <w:gridSpan w:val="8"/>
            <w:noWrap w:val="0"/>
            <w:vAlign w:val="center"/>
          </w:tcPr>
          <w:p w14:paraId="384F945B">
            <w:pPr>
              <w:snapToGrid w:val="0"/>
              <w:spacing w:line="360" w:lineRule="auto"/>
              <w:rPr>
                <w:rFonts w:hint="eastAsia" w:ascii="仿宋" w:hAnsi="仿宋" w:eastAsia="仿宋" w:cs="宋体"/>
                <w:kern w:val="0"/>
                <w:szCs w:val="21"/>
              </w:rPr>
            </w:pPr>
            <w:r>
              <w:rPr>
                <w:rFonts w:hint="eastAsia" w:ascii="仿宋" w:hAnsi="仿宋" w:eastAsia="仿宋" w:cs="宋体"/>
                <w:kern w:val="0"/>
                <w:szCs w:val="21"/>
              </w:rPr>
              <w:t>合同总金额：人民币 万 仟 佰 拾 元整（￥</w:t>
            </w:r>
            <w:r>
              <w:rPr>
                <w:rFonts w:hint="eastAsia" w:ascii="仿宋" w:hAnsi="仿宋" w:eastAsia="仿宋" w:cs="宋体"/>
                <w:kern w:val="0"/>
                <w:szCs w:val="21"/>
                <w:u w:val="single"/>
              </w:rPr>
              <w:t xml:space="preserve">     </w:t>
            </w:r>
            <w:r>
              <w:rPr>
                <w:rFonts w:hint="eastAsia" w:ascii="仿宋" w:hAnsi="仿宋" w:eastAsia="仿宋" w:cs="宋体"/>
                <w:kern w:val="0"/>
                <w:szCs w:val="21"/>
              </w:rPr>
              <w:t>元）</w:t>
            </w:r>
          </w:p>
        </w:tc>
      </w:tr>
      <w:tr w14:paraId="175A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0656" w:type="dxa"/>
            <w:gridSpan w:val="8"/>
            <w:noWrap w:val="0"/>
            <w:vAlign w:val="top"/>
          </w:tcPr>
          <w:p w14:paraId="7EFFD617">
            <w:pPr>
              <w:ind w:left="630" w:hanging="630" w:hangingChars="300"/>
              <w:jc w:val="left"/>
              <w:rPr>
                <w:rFonts w:hint="eastAsia" w:ascii="仿宋" w:hAnsi="仿宋" w:eastAsia="仿宋" w:cs="宋体"/>
                <w:kern w:val="0"/>
                <w:szCs w:val="21"/>
              </w:rPr>
            </w:pPr>
            <w:r>
              <w:rPr>
                <w:rFonts w:hint="eastAsia" w:ascii="仿宋" w:hAnsi="仿宋" w:eastAsia="仿宋" w:cs="宋体"/>
                <w:kern w:val="0"/>
                <w:szCs w:val="21"/>
              </w:rPr>
              <w:t>备注：1.本表中预算集并数量仅代表招标采购数量，最终集并的早籼稻谷、中晚籼稻谷均以实际发生数量结算。</w:t>
            </w:r>
          </w:p>
          <w:p w14:paraId="6F6F1144">
            <w:pPr>
              <w:ind w:left="630" w:leftChars="300"/>
              <w:jc w:val="left"/>
              <w:rPr>
                <w:rFonts w:hint="eastAsia" w:ascii="仿宋" w:hAnsi="仿宋" w:eastAsia="仿宋" w:cs="宋体"/>
                <w:kern w:val="0"/>
                <w:szCs w:val="21"/>
              </w:rPr>
            </w:pPr>
            <w:r>
              <w:rPr>
                <w:rFonts w:hint="eastAsia" w:ascii="仿宋" w:hAnsi="仿宋" w:eastAsia="仿宋" w:cs="宋体"/>
                <w:bCs/>
                <w:kern w:val="0"/>
                <w:szCs w:val="21"/>
              </w:rPr>
              <w:t>2.</w:t>
            </w:r>
            <w:r>
              <w:rPr>
                <w:rFonts w:hint="eastAsia" w:ascii="仿宋" w:hAnsi="仿宋" w:eastAsia="仿宋" w:cs="宋体"/>
                <w:kern w:val="0"/>
                <w:szCs w:val="21"/>
              </w:rPr>
              <w:t>合同金额为含税包干价，采购人不再支付其他费用。</w:t>
            </w:r>
          </w:p>
        </w:tc>
      </w:tr>
    </w:tbl>
    <w:p w14:paraId="7A8215B0">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二</w:t>
      </w:r>
      <w:r>
        <w:rPr>
          <w:rFonts w:ascii="仿宋" w:hAnsi="仿宋" w:eastAsia="仿宋"/>
          <w:b/>
          <w:sz w:val="30"/>
          <w:szCs w:val="30"/>
        </w:rPr>
        <w:t>、本项目</w:t>
      </w:r>
      <w:r>
        <w:rPr>
          <w:rFonts w:hint="eastAsia" w:ascii="仿宋" w:hAnsi="仿宋" w:eastAsia="仿宋"/>
          <w:b/>
          <w:sz w:val="30"/>
          <w:szCs w:val="30"/>
        </w:rPr>
        <w:t>装卸运输</w:t>
      </w:r>
      <w:r>
        <w:rPr>
          <w:rFonts w:ascii="仿宋" w:hAnsi="仿宋" w:eastAsia="仿宋"/>
          <w:b/>
          <w:sz w:val="30"/>
          <w:szCs w:val="30"/>
        </w:rPr>
        <w:t>货物名称：</w:t>
      </w:r>
      <w:r>
        <w:rPr>
          <w:rFonts w:hint="eastAsia" w:ascii="仿宋" w:hAnsi="仿宋" w:eastAsia="仿宋"/>
          <w:sz w:val="30"/>
          <w:szCs w:val="30"/>
          <w:u w:val="single"/>
        </w:rPr>
        <w:t xml:space="preserve">早籼稻谷、中晚籼稻谷 </w:t>
      </w:r>
    </w:p>
    <w:p w14:paraId="610BD791">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本项目装卸运输</w:t>
      </w:r>
      <w:r>
        <w:rPr>
          <w:rFonts w:ascii="仿宋" w:hAnsi="仿宋" w:eastAsia="仿宋"/>
          <w:b/>
          <w:sz w:val="30"/>
          <w:szCs w:val="30"/>
        </w:rPr>
        <w:t>数量：</w:t>
      </w:r>
      <w:r>
        <w:rPr>
          <w:rFonts w:hint="eastAsia" w:ascii="仿宋" w:hAnsi="仿宋" w:eastAsia="仿宋"/>
          <w:b/>
          <w:sz w:val="30"/>
          <w:szCs w:val="30"/>
          <w:u w:val="single"/>
        </w:rPr>
        <w:t>暂定早籼稻谷470吨，中晚籼稻谷560吨（</w:t>
      </w:r>
      <w:r>
        <w:rPr>
          <w:rFonts w:hint="eastAsia" w:ascii="仿宋" w:hAnsi="仿宋" w:eastAsia="仿宋"/>
          <w:sz w:val="30"/>
          <w:szCs w:val="30"/>
          <w:u w:val="single"/>
        </w:rPr>
        <w:t>以实际到达接收库点</w:t>
      </w:r>
      <w:r>
        <w:rPr>
          <w:rFonts w:ascii="仿宋" w:hAnsi="仿宋" w:eastAsia="仿宋"/>
          <w:sz w:val="30"/>
          <w:szCs w:val="30"/>
          <w:u w:val="single"/>
        </w:rPr>
        <w:t>数量为准）</w:t>
      </w:r>
      <w:r>
        <w:rPr>
          <w:rFonts w:hint="eastAsia" w:ascii="仿宋" w:hAnsi="仿宋" w:eastAsia="仿宋"/>
          <w:sz w:val="30"/>
          <w:szCs w:val="30"/>
        </w:rPr>
        <w:t>。</w:t>
      </w:r>
    </w:p>
    <w:p w14:paraId="74AC281B">
      <w:pPr>
        <w:snapToGrid w:val="0"/>
        <w:spacing w:line="300" w:lineRule="auto"/>
        <w:ind w:firstLine="602" w:firstLineChars="200"/>
        <w:rPr>
          <w:rFonts w:ascii="仿宋" w:hAnsi="仿宋" w:eastAsia="仿宋"/>
          <w:sz w:val="30"/>
          <w:szCs w:val="30"/>
        </w:rPr>
      </w:pPr>
      <w:r>
        <w:rPr>
          <w:rFonts w:hint="eastAsia" w:ascii="仿宋" w:hAnsi="仿宋" w:eastAsia="仿宋"/>
          <w:b/>
          <w:sz w:val="30"/>
          <w:szCs w:val="30"/>
        </w:rPr>
        <w:t>三</w:t>
      </w:r>
      <w:r>
        <w:rPr>
          <w:rFonts w:ascii="仿宋" w:hAnsi="仿宋" w:eastAsia="仿宋"/>
          <w:b/>
          <w:sz w:val="30"/>
          <w:szCs w:val="30"/>
        </w:rPr>
        <w:t>、本项目装车</w:t>
      </w:r>
      <w:r>
        <w:rPr>
          <w:rFonts w:hint="eastAsia" w:ascii="仿宋" w:hAnsi="仿宋" w:eastAsia="仿宋"/>
          <w:b/>
          <w:sz w:val="30"/>
          <w:szCs w:val="30"/>
        </w:rPr>
        <w:t>出库</w:t>
      </w:r>
      <w:r>
        <w:rPr>
          <w:rFonts w:ascii="仿宋" w:hAnsi="仿宋" w:eastAsia="仿宋"/>
          <w:b/>
          <w:sz w:val="30"/>
          <w:szCs w:val="30"/>
        </w:rPr>
        <w:t>地点</w:t>
      </w:r>
      <w:r>
        <w:rPr>
          <w:rFonts w:hint="eastAsia" w:ascii="仿宋" w:hAnsi="仿宋" w:eastAsia="仿宋"/>
          <w:b/>
          <w:sz w:val="30"/>
          <w:szCs w:val="30"/>
        </w:rPr>
        <w:t>至卸车入库</w:t>
      </w:r>
      <w:r>
        <w:rPr>
          <w:rFonts w:ascii="仿宋" w:hAnsi="仿宋" w:eastAsia="仿宋"/>
          <w:b/>
          <w:sz w:val="30"/>
          <w:szCs w:val="30"/>
        </w:rPr>
        <w:t>地点：</w:t>
      </w:r>
      <w:r>
        <w:rPr>
          <w:rFonts w:hint="eastAsia" w:ascii="仿宋" w:hAnsi="仿宋" w:eastAsia="仿宋"/>
          <w:sz w:val="30"/>
          <w:szCs w:val="30"/>
          <w:u w:val="single"/>
        </w:rPr>
        <w:t>北团粮站</w:t>
      </w:r>
      <w:r>
        <w:rPr>
          <w:rFonts w:ascii="仿宋" w:hAnsi="仿宋" w:eastAsia="仿宋"/>
          <w:sz w:val="30"/>
          <w:szCs w:val="30"/>
          <w:u w:val="single"/>
        </w:rPr>
        <w:t>收购库点（</w:t>
      </w:r>
      <w:r>
        <w:rPr>
          <w:rFonts w:hint="eastAsia" w:ascii="仿宋" w:hAnsi="仿宋" w:eastAsia="仿宋"/>
          <w:sz w:val="30"/>
          <w:szCs w:val="30"/>
          <w:u w:val="single"/>
        </w:rPr>
        <w:t>北团镇孙台村芜祀台路28-1号）起至朋口储备库（朋口镇天马村马山前路39号）</w:t>
      </w:r>
      <w:r>
        <w:rPr>
          <w:rFonts w:ascii="仿宋" w:hAnsi="仿宋" w:eastAsia="仿宋"/>
          <w:sz w:val="30"/>
          <w:szCs w:val="30"/>
        </w:rPr>
        <w:t>。</w:t>
      </w:r>
    </w:p>
    <w:p w14:paraId="6DD92A65">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五</w:t>
      </w:r>
      <w:r>
        <w:rPr>
          <w:rFonts w:ascii="仿宋" w:hAnsi="仿宋" w:eastAsia="仿宋"/>
          <w:b/>
          <w:sz w:val="30"/>
          <w:szCs w:val="30"/>
        </w:rPr>
        <w:t>、本项目服务期限：</w:t>
      </w:r>
      <w:r>
        <w:rPr>
          <w:rFonts w:hint="eastAsia" w:ascii="仿宋" w:hAnsi="仿宋" w:eastAsia="仿宋"/>
          <w:b/>
          <w:sz w:val="30"/>
          <w:szCs w:val="30"/>
        </w:rPr>
        <w:t>暂定</w:t>
      </w:r>
      <w:r>
        <w:rPr>
          <w:rFonts w:hint="eastAsia" w:ascii="仿宋" w:hAnsi="仿宋" w:eastAsia="仿宋"/>
          <w:sz w:val="30"/>
          <w:szCs w:val="30"/>
        </w:rPr>
        <w:t>2026</w:t>
      </w:r>
      <w:r>
        <w:rPr>
          <w:rFonts w:ascii="仿宋" w:hAnsi="仿宋" w:eastAsia="仿宋"/>
          <w:sz w:val="30"/>
          <w:szCs w:val="30"/>
        </w:rPr>
        <w:t>年</w:t>
      </w:r>
      <w:r>
        <w:rPr>
          <w:rFonts w:hint="eastAsia" w:ascii="仿宋" w:hAnsi="仿宋" w:eastAsia="仿宋"/>
          <w:sz w:val="30"/>
          <w:szCs w:val="30"/>
          <w:u w:val="single"/>
        </w:rPr>
        <w:t xml:space="preserve">  </w:t>
      </w:r>
      <w:r>
        <w:rPr>
          <w:rFonts w:ascii="仿宋" w:hAnsi="仿宋" w:eastAsia="仿宋"/>
          <w:sz w:val="30"/>
          <w:szCs w:val="30"/>
        </w:rPr>
        <w:t>月</w:t>
      </w:r>
      <w:r>
        <w:rPr>
          <w:rFonts w:hint="eastAsia" w:ascii="仿宋" w:hAnsi="仿宋" w:eastAsia="仿宋"/>
          <w:sz w:val="30"/>
          <w:szCs w:val="30"/>
          <w:u w:val="single"/>
        </w:rPr>
        <w:t xml:space="preserve">  </w:t>
      </w:r>
      <w:r>
        <w:rPr>
          <w:rFonts w:ascii="仿宋" w:hAnsi="仿宋" w:eastAsia="仿宋"/>
          <w:sz w:val="30"/>
          <w:szCs w:val="30"/>
        </w:rPr>
        <w:t>日至</w:t>
      </w:r>
      <w:r>
        <w:rPr>
          <w:rFonts w:hint="eastAsia" w:ascii="仿宋" w:hAnsi="仿宋" w:eastAsia="仿宋"/>
          <w:sz w:val="30"/>
          <w:szCs w:val="30"/>
        </w:rPr>
        <w:t>2026</w:t>
      </w:r>
      <w:r>
        <w:rPr>
          <w:rFonts w:ascii="仿宋" w:hAnsi="仿宋" w:eastAsia="仿宋"/>
          <w:sz w:val="30"/>
          <w:szCs w:val="30"/>
        </w:rPr>
        <w:t>年</w:t>
      </w:r>
      <w:r>
        <w:rPr>
          <w:rFonts w:hint="eastAsia" w:ascii="仿宋" w:hAnsi="仿宋" w:eastAsia="仿宋"/>
          <w:sz w:val="30"/>
          <w:szCs w:val="30"/>
          <w:u w:val="single"/>
        </w:rPr>
        <w:t xml:space="preserve">  </w:t>
      </w:r>
      <w:r>
        <w:rPr>
          <w:rFonts w:ascii="仿宋" w:hAnsi="仿宋" w:eastAsia="仿宋"/>
          <w:sz w:val="30"/>
          <w:szCs w:val="30"/>
        </w:rPr>
        <w:t>月</w:t>
      </w:r>
      <w:r>
        <w:rPr>
          <w:rFonts w:hint="eastAsia" w:ascii="仿宋" w:hAnsi="仿宋" w:eastAsia="仿宋"/>
          <w:sz w:val="30"/>
          <w:szCs w:val="30"/>
          <w:u w:val="single"/>
        </w:rPr>
        <w:t xml:space="preserve">  </w:t>
      </w:r>
      <w:r>
        <w:rPr>
          <w:rFonts w:ascii="仿宋" w:hAnsi="仿宋" w:eastAsia="仿宋"/>
          <w:sz w:val="30"/>
          <w:szCs w:val="30"/>
        </w:rPr>
        <w:t>日</w:t>
      </w:r>
      <w:r>
        <w:rPr>
          <w:rFonts w:hint="eastAsia" w:ascii="仿宋" w:hAnsi="仿宋" w:eastAsia="仿宋"/>
          <w:sz w:val="30"/>
          <w:szCs w:val="30"/>
        </w:rPr>
        <w:t>（根据甲方粮食收购情况，乙方应无条件配合甲方进行本项目的装卸运输）。</w:t>
      </w:r>
    </w:p>
    <w:p w14:paraId="48F4A58E">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六、本项目合同履约保证金：</w:t>
      </w:r>
      <w:r>
        <w:rPr>
          <w:rFonts w:hint="eastAsia" w:ascii="仿宋" w:hAnsi="仿宋" w:eastAsia="仿宋"/>
          <w:sz w:val="30"/>
          <w:szCs w:val="30"/>
        </w:rPr>
        <w:t>合同履约保证金为中标总价款</w:t>
      </w:r>
      <w:r>
        <w:rPr>
          <w:rFonts w:hint="eastAsia" w:ascii="仿宋" w:hAnsi="仿宋" w:eastAsia="仿宋"/>
          <w:sz w:val="30"/>
          <w:szCs w:val="30"/>
          <w:u w:val="single"/>
        </w:rPr>
        <w:t>10%</w:t>
      </w:r>
      <w:r>
        <w:rPr>
          <w:rFonts w:hint="eastAsia" w:ascii="仿宋" w:hAnsi="仿宋" w:eastAsia="仿宋"/>
          <w:sz w:val="30"/>
          <w:szCs w:val="30"/>
        </w:rPr>
        <w:t>，即人民币</w:t>
      </w:r>
      <w:r>
        <w:rPr>
          <w:rFonts w:hint="eastAsia" w:ascii="仿宋" w:hAnsi="仿宋" w:eastAsia="仿宋"/>
          <w:sz w:val="30"/>
          <w:szCs w:val="30"/>
          <w:u w:val="single"/>
        </w:rPr>
        <w:t xml:space="preserve">     </w:t>
      </w:r>
      <w:r>
        <w:rPr>
          <w:rFonts w:hint="eastAsia" w:ascii="仿宋" w:hAnsi="仿宋" w:eastAsia="仿宋"/>
          <w:sz w:val="30"/>
          <w:szCs w:val="30"/>
        </w:rPr>
        <w:t>元（￥</w:t>
      </w:r>
      <w:r>
        <w:rPr>
          <w:rFonts w:hint="eastAsia" w:ascii="仿宋" w:hAnsi="仿宋" w:eastAsia="仿宋"/>
          <w:sz w:val="30"/>
          <w:szCs w:val="30"/>
          <w:u w:val="single"/>
        </w:rPr>
        <w:t xml:space="preserve">  </w:t>
      </w:r>
      <w:r>
        <w:rPr>
          <w:rFonts w:hint="eastAsia" w:ascii="仿宋" w:hAnsi="仿宋" w:eastAsia="仿宋"/>
          <w:sz w:val="30"/>
          <w:szCs w:val="30"/>
        </w:rPr>
        <w:t>元），在本项目成交之日起5日内存缴入甲方账户。履约保证金在本项目集并装卸运输全部完成后（夏、秋粮集并装卸运输），一次性无息退还乙方。</w:t>
      </w:r>
    </w:p>
    <w:p w14:paraId="72D18B68">
      <w:pPr>
        <w:snapToGrid w:val="0"/>
        <w:spacing w:line="300" w:lineRule="auto"/>
        <w:ind w:firstLine="602" w:firstLineChars="200"/>
        <w:rPr>
          <w:rFonts w:ascii="仿宋" w:hAnsi="仿宋" w:eastAsia="仿宋"/>
          <w:b/>
          <w:sz w:val="30"/>
          <w:szCs w:val="30"/>
        </w:rPr>
      </w:pPr>
      <w:r>
        <w:rPr>
          <w:rFonts w:hint="eastAsia" w:ascii="仿宋" w:hAnsi="仿宋" w:eastAsia="仿宋"/>
          <w:b/>
          <w:sz w:val="30"/>
          <w:szCs w:val="30"/>
        </w:rPr>
        <w:t>七</w:t>
      </w:r>
      <w:r>
        <w:rPr>
          <w:rFonts w:ascii="仿宋" w:hAnsi="仿宋" w:eastAsia="仿宋"/>
          <w:b/>
          <w:sz w:val="30"/>
          <w:szCs w:val="30"/>
        </w:rPr>
        <w:t>、本项目装卸、运输要求：</w:t>
      </w:r>
    </w:p>
    <w:p w14:paraId="3EACDF92">
      <w:pPr>
        <w:snapToGrid w:val="0"/>
        <w:spacing w:line="300" w:lineRule="auto"/>
        <w:ind w:firstLine="600" w:firstLineChars="2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乙方须督促装卸工人遵守甲方规章制度，若存在违反甲方规章制度和不服从甲方人员指挥的行为，甲方有权对乙方或乙方装卸工人按甲方制度进行处罚。</w:t>
      </w:r>
    </w:p>
    <w:p w14:paraId="0B496E34">
      <w:pPr>
        <w:snapToGrid w:val="0"/>
        <w:spacing w:line="300" w:lineRule="auto"/>
        <w:ind w:firstLine="600" w:firstLineChars="200"/>
        <w:rPr>
          <w:rFonts w:hint="eastAsia"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乙方应保证车辆箱体要密实无撒漏、无污染，防潮防雨。装过有毒物品、农药、玻璃纤维和其它有害物质或装过化肥、活牲畜和其它污秽物，未经消毒、有异味、清扫不干净的车辆不得装车，确保运输粮食质量安全。</w:t>
      </w:r>
    </w:p>
    <w:p w14:paraId="37498315">
      <w:pPr>
        <w:snapToGrid w:val="0"/>
        <w:spacing w:line="300" w:lineRule="auto"/>
        <w:ind w:firstLine="600" w:firstLineChars="200"/>
        <w:rPr>
          <w:rFonts w:hint="eastAsia" w:ascii="仿宋" w:hAnsi="仿宋" w:eastAsia="仿宋"/>
          <w:color w:val="auto"/>
          <w:sz w:val="30"/>
          <w:szCs w:val="30"/>
        </w:rPr>
      </w:pPr>
      <w:r>
        <w:rPr>
          <w:rFonts w:hint="eastAsia" w:ascii="仿宋" w:hAnsi="仿宋" w:eastAsia="仿宋"/>
          <w:color w:val="auto"/>
          <w:sz w:val="30"/>
          <w:szCs w:val="30"/>
        </w:rPr>
        <w:t>3.乙方装卸工人必须为三人及以上（其中一人为现场监护人，监护人为现场安全监护，不得参与装卸作业）方可开展装卸作业。装卸工人须购买意外伤害保险，装卸工人须持有从业人员预防性健康合格证明、现场监护人须持有安全培训合格证，在装卸作业时须穿戴安全帽、反光服、胶鞋等安全防护用具。</w:t>
      </w:r>
    </w:p>
    <w:p w14:paraId="431BA739">
      <w:pPr>
        <w:snapToGrid w:val="0"/>
        <w:spacing w:line="300" w:lineRule="auto"/>
        <w:ind w:firstLine="602" w:firstLineChars="200"/>
        <w:rPr>
          <w:rFonts w:ascii="仿宋" w:hAnsi="仿宋" w:eastAsia="仿宋"/>
          <w:sz w:val="30"/>
          <w:szCs w:val="30"/>
        </w:rPr>
      </w:pPr>
      <w:r>
        <w:rPr>
          <w:rFonts w:hint="eastAsia" w:ascii="仿宋" w:hAnsi="仿宋" w:eastAsia="仿宋"/>
          <w:b/>
          <w:sz w:val="30"/>
          <w:szCs w:val="30"/>
        </w:rPr>
        <w:t>八</w:t>
      </w:r>
      <w:r>
        <w:rPr>
          <w:rFonts w:ascii="仿宋" w:hAnsi="仿宋" w:eastAsia="仿宋"/>
          <w:b/>
          <w:sz w:val="30"/>
          <w:szCs w:val="30"/>
        </w:rPr>
        <w:t>、甲方责任：</w:t>
      </w:r>
      <w:r>
        <w:rPr>
          <w:rFonts w:ascii="仿宋" w:hAnsi="仿宋" w:eastAsia="仿宋"/>
          <w:sz w:val="30"/>
          <w:szCs w:val="30"/>
        </w:rPr>
        <w:t>甲方应按双方约定时间在乙方安全无损将货物运达目的地之后将装卸、运输费</w:t>
      </w:r>
      <w:r>
        <w:rPr>
          <w:rFonts w:hint="eastAsia" w:ascii="仿宋" w:hAnsi="仿宋" w:eastAsia="仿宋"/>
          <w:sz w:val="30"/>
          <w:szCs w:val="30"/>
        </w:rPr>
        <w:t>用</w:t>
      </w:r>
      <w:r>
        <w:rPr>
          <w:rFonts w:ascii="仿宋" w:hAnsi="仿宋" w:eastAsia="仿宋"/>
          <w:sz w:val="30"/>
          <w:szCs w:val="30"/>
        </w:rPr>
        <w:t>结算给乙方。</w:t>
      </w:r>
    </w:p>
    <w:p w14:paraId="5148400A">
      <w:pPr>
        <w:snapToGrid w:val="0"/>
        <w:spacing w:line="300" w:lineRule="auto"/>
        <w:ind w:firstLine="602" w:firstLineChars="200"/>
        <w:rPr>
          <w:rFonts w:hint="eastAsia" w:ascii="仿宋" w:hAnsi="仿宋" w:eastAsia="仿宋"/>
          <w:b/>
          <w:sz w:val="30"/>
          <w:szCs w:val="30"/>
        </w:rPr>
      </w:pPr>
      <w:r>
        <w:rPr>
          <w:rFonts w:hint="eastAsia" w:ascii="仿宋" w:hAnsi="仿宋" w:eastAsia="仿宋"/>
          <w:b/>
          <w:sz w:val="30"/>
          <w:szCs w:val="30"/>
        </w:rPr>
        <w:t>九</w:t>
      </w:r>
      <w:r>
        <w:rPr>
          <w:rFonts w:ascii="仿宋" w:hAnsi="仿宋" w:eastAsia="仿宋"/>
          <w:b/>
          <w:sz w:val="30"/>
          <w:szCs w:val="30"/>
        </w:rPr>
        <w:t>、乙方责任：</w:t>
      </w:r>
    </w:p>
    <w:p w14:paraId="126DE8ED">
      <w:pPr>
        <w:snapToGri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1.</w:t>
      </w:r>
      <w:r>
        <w:rPr>
          <w:rFonts w:ascii="仿宋" w:hAnsi="仿宋" w:eastAsia="仿宋"/>
          <w:sz w:val="30"/>
          <w:szCs w:val="30"/>
        </w:rPr>
        <w:t>保证在合同规定期限内将货物安全运抵指定地点。对承运的货物要负责安全。必须保证装卸工人、车辆、驾驶员安全，如由装卸工人、车辆、驾驶员引发的安全事故，乙方承担一切经济责任及相关赔偿费用。</w:t>
      </w:r>
    </w:p>
    <w:p w14:paraId="640FA07A">
      <w:pPr>
        <w:snapToGri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2.</w:t>
      </w:r>
      <w:r>
        <w:rPr>
          <w:rFonts w:ascii="仿宋" w:hAnsi="仿宋" w:eastAsia="仿宋"/>
          <w:sz w:val="30"/>
          <w:szCs w:val="30"/>
        </w:rPr>
        <w:t>保证货物无短缺、无人为变质。在装卸、运输途中一旦出现货物丢失、短少、变质、损坏等情况，原则上按到达地市场价格进行赔偿。另有约定的，按约定限额赔偿。但如果货物的缺失和损坏是由不可抗力、货物的自身属性决定的合理损耗或是甲方过错造成，则承运方不承担赔偿责任。</w:t>
      </w:r>
    </w:p>
    <w:p w14:paraId="56844EB6">
      <w:pPr>
        <w:snapToGri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3.保证在出入库结束后对所使用机械设备清理、清洗，并移至甲方指定停放地点；保证在入库完成时做好仓库内外清扫卫生和仓内粮面平整。</w:t>
      </w:r>
    </w:p>
    <w:p w14:paraId="140C5D75">
      <w:pPr>
        <w:snapToGrid w:val="0"/>
        <w:spacing w:line="300" w:lineRule="auto"/>
        <w:ind w:firstLine="602" w:firstLineChars="200"/>
        <w:rPr>
          <w:rFonts w:ascii="仿宋" w:hAnsi="仿宋" w:eastAsia="仿宋"/>
          <w:b/>
          <w:sz w:val="30"/>
          <w:szCs w:val="30"/>
        </w:rPr>
      </w:pPr>
      <w:r>
        <w:rPr>
          <w:rFonts w:hint="eastAsia" w:ascii="仿宋" w:hAnsi="仿宋" w:eastAsia="仿宋"/>
          <w:b/>
          <w:sz w:val="30"/>
          <w:szCs w:val="30"/>
        </w:rPr>
        <w:t>十</w:t>
      </w:r>
      <w:r>
        <w:rPr>
          <w:rFonts w:ascii="仿宋" w:hAnsi="仿宋" w:eastAsia="仿宋"/>
          <w:b/>
          <w:sz w:val="30"/>
          <w:szCs w:val="30"/>
        </w:rPr>
        <w:t>、</w:t>
      </w:r>
      <w:r>
        <w:rPr>
          <w:rFonts w:hint="eastAsia" w:ascii="仿宋" w:hAnsi="仿宋" w:eastAsia="仿宋"/>
          <w:b/>
          <w:sz w:val="30"/>
          <w:szCs w:val="30"/>
        </w:rPr>
        <w:t>集并</w:t>
      </w:r>
      <w:r>
        <w:rPr>
          <w:rFonts w:ascii="仿宋" w:hAnsi="仿宋" w:eastAsia="仿宋"/>
          <w:b/>
          <w:sz w:val="30"/>
          <w:szCs w:val="30"/>
        </w:rPr>
        <w:t>装卸运输费用（</w:t>
      </w:r>
      <w:r>
        <w:rPr>
          <w:rFonts w:hint="eastAsia" w:ascii="仿宋" w:hAnsi="仿宋" w:eastAsia="仿宋"/>
          <w:b/>
          <w:sz w:val="30"/>
          <w:szCs w:val="30"/>
        </w:rPr>
        <w:t>包干金额含装包、上车、运输、拆包卸车或割包卸车、仓内粮面平整、现场卫生清理等费用）</w:t>
      </w:r>
      <w:r>
        <w:rPr>
          <w:rFonts w:ascii="仿宋" w:hAnsi="仿宋" w:eastAsia="仿宋"/>
          <w:b/>
          <w:sz w:val="30"/>
          <w:szCs w:val="30"/>
        </w:rPr>
        <w:t>：</w:t>
      </w:r>
    </w:p>
    <w:p w14:paraId="40159F45">
      <w:pPr>
        <w:snapToGrid w:val="0"/>
        <w:spacing w:line="300" w:lineRule="auto"/>
        <w:ind w:firstLine="584" w:firstLineChars="200"/>
        <w:rPr>
          <w:rFonts w:hint="eastAsia" w:ascii="仿宋" w:hAnsi="仿宋" w:eastAsia="仿宋"/>
          <w:spacing w:val="-4"/>
          <w:sz w:val="30"/>
          <w:szCs w:val="30"/>
        </w:rPr>
      </w:pPr>
      <w:r>
        <w:rPr>
          <w:rFonts w:hint="eastAsia" w:ascii="仿宋" w:hAnsi="仿宋" w:eastAsia="仿宋"/>
          <w:spacing w:val="-4"/>
          <w:sz w:val="30"/>
          <w:szCs w:val="30"/>
        </w:rPr>
        <w:t>北团粮站至朋口储备库散装散运散卸（包干单价）</w:t>
      </w:r>
      <w:r>
        <w:rPr>
          <w:rFonts w:hint="eastAsia" w:ascii="仿宋" w:hAnsi="仿宋" w:eastAsia="仿宋"/>
          <w:spacing w:val="-4"/>
          <w:sz w:val="30"/>
          <w:szCs w:val="30"/>
          <w:u w:val="single"/>
        </w:rPr>
        <w:t xml:space="preserve">    </w:t>
      </w:r>
      <w:r>
        <w:rPr>
          <w:rFonts w:hint="eastAsia" w:ascii="仿宋" w:hAnsi="仿宋" w:eastAsia="仿宋"/>
          <w:spacing w:val="-4"/>
          <w:sz w:val="30"/>
          <w:szCs w:val="30"/>
        </w:rPr>
        <w:t>元/吨。</w:t>
      </w:r>
    </w:p>
    <w:p w14:paraId="6A8DBCE8">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十一、</w:t>
      </w:r>
      <w:r>
        <w:rPr>
          <w:rFonts w:ascii="仿宋" w:hAnsi="仿宋" w:eastAsia="仿宋"/>
          <w:b/>
          <w:sz w:val="30"/>
          <w:szCs w:val="30"/>
        </w:rPr>
        <w:t>结算、</w:t>
      </w:r>
      <w:r>
        <w:rPr>
          <w:rFonts w:hint="eastAsia" w:ascii="仿宋" w:hAnsi="仿宋" w:eastAsia="仿宋"/>
          <w:b/>
          <w:sz w:val="30"/>
          <w:szCs w:val="30"/>
        </w:rPr>
        <w:t>支付</w:t>
      </w:r>
      <w:r>
        <w:rPr>
          <w:rFonts w:ascii="仿宋" w:hAnsi="仿宋" w:eastAsia="仿宋"/>
          <w:b/>
          <w:sz w:val="30"/>
          <w:szCs w:val="30"/>
        </w:rPr>
        <w:t>方式</w:t>
      </w:r>
      <w:r>
        <w:rPr>
          <w:rFonts w:ascii="仿宋" w:hAnsi="仿宋" w:eastAsia="仿宋"/>
          <w:sz w:val="30"/>
          <w:szCs w:val="30"/>
        </w:rPr>
        <w:t>：</w:t>
      </w:r>
    </w:p>
    <w:p w14:paraId="1C135864">
      <w:pPr>
        <w:snapToGrid w:val="0"/>
        <w:spacing w:line="300" w:lineRule="auto"/>
        <w:ind w:firstLine="600" w:firstLineChars="200"/>
        <w:rPr>
          <w:rFonts w:hint="eastAsia" w:ascii="仿宋" w:hAnsi="仿宋" w:eastAsia="仿宋"/>
          <w:spacing w:val="-14"/>
          <w:sz w:val="30"/>
          <w:szCs w:val="30"/>
        </w:rPr>
      </w:pPr>
      <w:r>
        <w:rPr>
          <w:rFonts w:hint="eastAsia" w:ascii="仿宋" w:hAnsi="仿宋" w:eastAsia="仿宋"/>
          <w:sz w:val="30"/>
          <w:szCs w:val="30"/>
        </w:rPr>
        <w:t xml:space="preserve">1. </w:t>
      </w:r>
      <w:r>
        <w:rPr>
          <w:rFonts w:hint="eastAsia" w:ascii="仿宋" w:hAnsi="仿宋" w:eastAsia="仿宋"/>
          <w:spacing w:val="-14"/>
          <w:sz w:val="30"/>
          <w:szCs w:val="30"/>
        </w:rPr>
        <w:t>结算支付分为两个阶段：</w:t>
      </w:r>
    </w:p>
    <w:p w14:paraId="6EE81A6F">
      <w:pPr>
        <w:snapToGrid w:val="0"/>
        <w:spacing w:line="300" w:lineRule="auto"/>
        <w:ind w:firstLine="544" w:firstLineChars="200"/>
        <w:rPr>
          <w:rFonts w:hint="eastAsia" w:ascii="仿宋" w:hAnsi="仿宋" w:eastAsia="仿宋"/>
          <w:spacing w:val="-14"/>
          <w:sz w:val="30"/>
          <w:szCs w:val="30"/>
        </w:rPr>
      </w:pPr>
      <w:r>
        <w:rPr>
          <w:rFonts w:hint="eastAsia" w:ascii="仿宋" w:hAnsi="仿宋" w:eastAsia="仿宋"/>
          <w:spacing w:val="-14"/>
          <w:sz w:val="30"/>
          <w:szCs w:val="30"/>
        </w:rPr>
        <w:t>第一阶段夏粮集并运输完成时，结算夏粮集并装卸运输费用；</w:t>
      </w:r>
    </w:p>
    <w:p w14:paraId="29CEBA5F">
      <w:pPr>
        <w:snapToGrid w:val="0"/>
        <w:spacing w:line="300" w:lineRule="auto"/>
        <w:ind w:firstLine="544" w:firstLineChars="200"/>
        <w:rPr>
          <w:rFonts w:hint="eastAsia" w:ascii="仿宋" w:hAnsi="仿宋" w:eastAsia="仿宋"/>
          <w:sz w:val="30"/>
          <w:szCs w:val="30"/>
        </w:rPr>
      </w:pPr>
      <w:r>
        <w:rPr>
          <w:rFonts w:hint="eastAsia" w:ascii="仿宋" w:hAnsi="仿宋" w:eastAsia="仿宋"/>
          <w:spacing w:val="-14"/>
          <w:sz w:val="30"/>
          <w:szCs w:val="30"/>
        </w:rPr>
        <w:t>第二阶段秋粮集并运输完成时，结算秋粮集并装卸运输费用。</w:t>
      </w:r>
    </w:p>
    <w:p w14:paraId="649C3FB0">
      <w:pPr>
        <w:snapToGrid w:val="0"/>
        <w:spacing w:line="300" w:lineRule="auto"/>
        <w:ind w:firstLine="544" w:firstLineChars="200"/>
        <w:rPr>
          <w:rFonts w:hint="eastAsia" w:ascii="仿宋" w:hAnsi="仿宋" w:eastAsia="仿宋"/>
          <w:sz w:val="30"/>
          <w:szCs w:val="30"/>
        </w:rPr>
      </w:pPr>
      <w:r>
        <w:rPr>
          <w:rFonts w:hint="eastAsia" w:ascii="仿宋" w:hAnsi="仿宋" w:eastAsia="仿宋"/>
          <w:spacing w:val="-14"/>
          <w:sz w:val="30"/>
          <w:szCs w:val="30"/>
        </w:rPr>
        <w:t xml:space="preserve">2. </w:t>
      </w:r>
      <w:r>
        <w:rPr>
          <w:rFonts w:hint="eastAsia" w:ascii="仿宋" w:hAnsi="仿宋" w:eastAsia="仿宋"/>
          <w:sz w:val="30"/>
          <w:szCs w:val="30"/>
        </w:rPr>
        <w:t>按起运库点和到达接收库点实际接收数量结算费用</w:t>
      </w:r>
      <w:r>
        <w:rPr>
          <w:rFonts w:ascii="仿宋" w:hAnsi="仿宋" w:eastAsia="仿宋"/>
          <w:spacing w:val="-14"/>
          <w:sz w:val="30"/>
          <w:szCs w:val="30"/>
        </w:rPr>
        <w:t>。</w:t>
      </w:r>
    </w:p>
    <w:p w14:paraId="5520D717">
      <w:pPr>
        <w:snapToGrid w:val="0"/>
        <w:spacing w:line="300" w:lineRule="auto"/>
        <w:ind w:firstLine="544" w:firstLineChars="200"/>
        <w:rPr>
          <w:rFonts w:hint="eastAsia" w:ascii="仿宋" w:hAnsi="仿宋" w:eastAsia="仿宋"/>
          <w:sz w:val="30"/>
          <w:szCs w:val="30"/>
        </w:rPr>
      </w:pPr>
      <w:r>
        <w:rPr>
          <w:rFonts w:hint="eastAsia" w:ascii="仿宋" w:hAnsi="仿宋" w:eastAsia="仿宋"/>
          <w:spacing w:val="-14"/>
          <w:sz w:val="30"/>
          <w:szCs w:val="30"/>
        </w:rPr>
        <w:t>3.合同结算金额为含税包干金额，甲方不再支付其他费用。在集并装卸运输各阶段工作完成，经由甲方确认后，乙方开具普通增值税发票给甲方，甲方在收到发票10个工作内支付乙方集并装卸运输费用。</w:t>
      </w:r>
    </w:p>
    <w:p w14:paraId="6D1023CA">
      <w:pPr>
        <w:snapToGrid w:val="0"/>
        <w:spacing w:line="300" w:lineRule="auto"/>
        <w:ind w:firstLine="590" w:firstLineChars="196"/>
        <w:rPr>
          <w:rFonts w:ascii="仿宋" w:hAnsi="仿宋" w:eastAsia="仿宋"/>
          <w:sz w:val="30"/>
          <w:szCs w:val="30"/>
        </w:rPr>
      </w:pPr>
      <w:r>
        <w:rPr>
          <w:rFonts w:hint="eastAsia" w:ascii="仿宋" w:hAnsi="仿宋" w:eastAsia="仿宋"/>
          <w:b/>
          <w:sz w:val="30"/>
          <w:szCs w:val="30"/>
        </w:rPr>
        <w:t>十二</w:t>
      </w:r>
      <w:r>
        <w:rPr>
          <w:rFonts w:ascii="仿宋" w:hAnsi="仿宋" w:eastAsia="仿宋"/>
          <w:b/>
          <w:sz w:val="30"/>
          <w:szCs w:val="30"/>
        </w:rPr>
        <w:t>、</w:t>
      </w:r>
      <w:r>
        <w:rPr>
          <w:rFonts w:ascii="仿宋" w:hAnsi="仿宋" w:eastAsia="仿宋"/>
          <w:sz w:val="30"/>
          <w:szCs w:val="30"/>
        </w:rPr>
        <w:t>本合同</w:t>
      </w:r>
      <w:r>
        <w:rPr>
          <w:rFonts w:hint="eastAsia" w:ascii="仿宋" w:hAnsi="仿宋" w:eastAsia="仿宋"/>
          <w:sz w:val="30"/>
          <w:szCs w:val="30"/>
        </w:rPr>
        <w:t>壹</w:t>
      </w:r>
      <w:r>
        <w:rPr>
          <w:rFonts w:ascii="仿宋" w:hAnsi="仿宋" w:eastAsia="仿宋"/>
          <w:sz w:val="30"/>
          <w:szCs w:val="30"/>
        </w:rPr>
        <w:t>式</w:t>
      </w:r>
      <w:r>
        <w:rPr>
          <w:rFonts w:hint="eastAsia" w:ascii="仿宋" w:hAnsi="仿宋" w:eastAsia="仿宋"/>
          <w:sz w:val="30"/>
          <w:szCs w:val="30"/>
        </w:rPr>
        <w:t>贰</w:t>
      </w:r>
      <w:r>
        <w:rPr>
          <w:rFonts w:ascii="仿宋" w:hAnsi="仿宋" w:eastAsia="仿宋"/>
          <w:sz w:val="30"/>
          <w:szCs w:val="30"/>
        </w:rPr>
        <w:t>份，甲、乙双方各执</w:t>
      </w:r>
      <w:r>
        <w:rPr>
          <w:rFonts w:hint="eastAsia" w:ascii="仿宋" w:hAnsi="仿宋" w:eastAsia="仿宋"/>
          <w:sz w:val="30"/>
          <w:szCs w:val="30"/>
        </w:rPr>
        <w:t>壹</w:t>
      </w:r>
      <w:r>
        <w:rPr>
          <w:rFonts w:ascii="仿宋" w:hAnsi="仿宋" w:eastAsia="仿宋"/>
          <w:sz w:val="30"/>
          <w:szCs w:val="30"/>
        </w:rPr>
        <w:t>份，具有同等法律效力。如有未尽事宜，由双方协商解决。</w:t>
      </w:r>
    </w:p>
    <w:p w14:paraId="217AB723">
      <w:pPr>
        <w:snapToGrid w:val="0"/>
        <w:spacing w:line="300" w:lineRule="auto"/>
        <w:ind w:left="630"/>
        <w:rPr>
          <w:rFonts w:hint="eastAsia" w:ascii="仿宋" w:hAnsi="仿宋" w:eastAsia="仿宋"/>
          <w:sz w:val="30"/>
          <w:szCs w:val="30"/>
        </w:rPr>
      </w:pPr>
    </w:p>
    <w:p w14:paraId="1B1F1625">
      <w:pPr>
        <w:snapToGrid w:val="0"/>
        <w:spacing w:line="288" w:lineRule="auto"/>
        <w:ind w:left="630"/>
        <w:rPr>
          <w:rFonts w:hint="eastAsia" w:ascii="仿宋" w:hAnsi="仿宋" w:eastAsia="仿宋"/>
          <w:sz w:val="30"/>
          <w:szCs w:val="30"/>
        </w:rPr>
      </w:pPr>
    </w:p>
    <w:p w14:paraId="34C0124E">
      <w:pPr>
        <w:snapToGrid w:val="0"/>
        <w:spacing w:line="288" w:lineRule="auto"/>
        <w:ind w:left="630"/>
        <w:rPr>
          <w:rFonts w:ascii="仿宋" w:hAnsi="仿宋" w:eastAsia="仿宋"/>
          <w:sz w:val="30"/>
          <w:szCs w:val="30"/>
        </w:rPr>
      </w:pPr>
      <w:r>
        <w:rPr>
          <w:rFonts w:ascii="仿宋" w:hAnsi="仿宋" w:eastAsia="仿宋"/>
          <w:sz w:val="30"/>
          <w:szCs w:val="30"/>
        </w:rPr>
        <w:t xml:space="preserve">甲方：（盖章）  </w:t>
      </w:r>
      <w:r>
        <w:rPr>
          <w:rFonts w:hint="eastAsia" w:ascii="仿宋" w:hAnsi="仿宋" w:eastAsia="仿宋"/>
          <w:sz w:val="30"/>
          <w:szCs w:val="30"/>
        </w:rPr>
        <w:t xml:space="preserve"> </w:t>
      </w:r>
      <w:r>
        <w:rPr>
          <w:rFonts w:ascii="仿宋" w:hAnsi="仿宋" w:eastAsia="仿宋"/>
          <w:sz w:val="30"/>
          <w:szCs w:val="30"/>
        </w:rPr>
        <w:t xml:space="preserve">             乙方：（盖章）</w:t>
      </w:r>
    </w:p>
    <w:p w14:paraId="57B00663">
      <w:pPr>
        <w:snapToGrid w:val="0"/>
        <w:spacing w:line="288" w:lineRule="auto"/>
        <w:ind w:left="630"/>
        <w:rPr>
          <w:rFonts w:hint="eastAsia" w:ascii="仿宋" w:hAnsi="仿宋" w:eastAsia="仿宋"/>
          <w:sz w:val="30"/>
          <w:szCs w:val="30"/>
        </w:rPr>
      </w:pPr>
    </w:p>
    <w:p w14:paraId="40FDADDD">
      <w:pPr>
        <w:snapToGrid w:val="0"/>
        <w:spacing w:line="288" w:lineRule="auto"/>
        <w:rPr>
          <w:rFonts w:hint="eastAsia" w:ascii="仿宋" w:hAnsi="仿宋" w:eastAsia="仿宋"/>
          <w:sz w:val="30"/>
          <w:szCs w:val="30"/>
        </w:rPr>
      </w:pPr>
    </w:p>
    <w:p w14:paraId="42A2993D">
      <w:pPr>
        <w:snapToGrid w:val="0"/>
        <w:spacing w:line="288" w:lineRule="auto"/>
        <w:ind w:left="630"/>
        <w:rPr>
          <w:rFonts w:ascii="仿宋" w:hAnsi="仿宋" w:eastAsia="仿宋"/>
          <w:sz w:val="30"/>
          <w:szCs w:val="30"/>
        </w:rPr>
      </w:pPr>
      <w:r>
        <w:rPr>
          <w:rFonts w:ascii="仿宋" w:hAnsi="仿宋" w:eastAsia="仿宋"/>
          <w:sz w:val="30"/>
          <w:szCs w:val="30"/>
        </w:rPr>
        <w:t>法定代表人：（</w:t>
      </w:r>
      <w:r>
        <w:rPr>
          <w:rFonts w:hint="eastAsia" w:ascii="仿宋" w:hAnsi="仿宋" w:eastAsia="仿宋"/>
          <w:sz w:val="30"/>
          <w:szCs w:val="30"/>
        </w:rPr>
        <w:t>签章）</w:t>
      </w:r>
      <w:r>
        <w:rPr>
          <w:rFonts w:ascii="仿宋" w:hAnsi="仿宋" w:eastAsia="仿宋"/>
          <w:sz w:val="30"/>
          <w:szCs w:val="30"/>
        </w:rPr>
        <w:t xml:space="preserve">    </w:t>
      </w:r>
      <w:r>
        <w:rPr>
          <w:rFonts w:hint="eastAsia" w:ascii="仿宋" w:hAnsi="仿宋" w:eastAsia="仿宋"/>
          <w:sz w:val="30"/>
          <w:szCs w:val="30"/>
        </w:rPr>
        <w:t xml:space="preserve"> </w:t>
      </w:r>
      <w:r>
        <w:rPr>
          <w:rFonts w:ascii="仿宋" w:hAnsi="仿宋" w:eastAsia="仿宋"/>
          <w:sz w:val="30"/>
          <w:szCs w:val="30"/>
        </w:rPr>
        <w:t xml:space="preserve">     </w:t>
      </w:r>
      <w:r>
        <w:rPr>
          <w:rFonts w:hint="eastAsia" w:ascii="仿宋" w:hAnsi="仿宋" w:eastAsia="仿宋"/>
          <w:sz w:val="30"/>
          <w:szCs w:val="30"/>
        </w:rPr>
        <w:t>代表</w:t>
      </w:r>
      <w:r>
        <w:rPr>
          <w:rFonts w:ascii="仿宋" w:hAnsi="仿宋" w:eastAsia="仿宋"/>
          <w:sz w:val="30"/>
          <w:szCs w:val="30"/>
        </w:rPr>
        <w:t>：（</w:t>
      </w:r>
      <w:r>
        <w:rPr>
          <w:rFonts w:hint="eastAsia" w:ascii="仿宋" w:hAnsi="仿宋" w:eastAsia="仿宋"/>
          <w:sz w:val="30"/>
          <w:szCs w:val="30"/>
        </w:rPr>
        <w:t>签章）</w:t>
      </w:r>
    </w:p>
    <w:p w14:paraId="2A2CE73E">
      <w:pPr>
        <w:snapToGrid w:val="0"/>
        <w:spacing w:line="288" w:lineRule="auto"/>
        <w:ind w:left="630" w:leftChars="300" w:firstLine="6150" w:firstLineChars="2050"/>
        <w:jc w:val="right"/>
        <w:rPr>
          <w:rFonts w:hint="eastAsia" w:ascii="仿宋" w:hAnsi="仿宋" w:eastAsia="仿宋"/>
          <w:sz w:val="30"/>
          <w:szCs w:val="30"/>
        </w:rPr>
      </w:pPr>
    </w:p>
    <w:p w14:paraId="40E410F1">
      <w:pPr>
        <w:snapToGrid w:val="0"/>
        <w:spacing w:line="288" w:lineRule="auto"/>
        <w:jc w:val="right"/>
        <w:rPr>
          <w:rFonts w:hint="eastAsia" w:ascii="仿宋" w:hAnsi="仿宋" w:eastAsia="仿宋"/>
          <w:sz w:val="30"/>
          <w:szCs w:val="30"/>
        </w:rPr>
      </w:pPr>
      <w:r>
        <w:rPr>
          <w:rFonts w:hint="eastAsia" w:ascii="仿宋" w:hAnsi="仿宋" w:eastAsia="仿宋"/>
          <w:sz w:val="30"/>
          <w:szCs w:val="30"/>
        </w:rPr>
        <w:t xml:space="preserve">日期：     </w:t>
      </w:r>
      <w:r>
        <w:rPr>
          <w:rFonts w:ascii="仿宋" w:hAnsi="仿宋" w:eastAsia="仿宋"/>
          <w:sz w:val="30"/>
          <w:szCs w:val="30"/>
        </w:rPr>
        <w:t>年</w:t>
      </w:r>
      <w:r>
        <w:rPr>
          <w:rFonts w:hint="eastAsia" w:ascii="仿宋" w:hAnsi="仿宋" w:eastAsia="仿宋"/>
          <w:sz w:val="30"/>
          <w:szCs w:val="30"/>
        </w:rPr>
        <w:t xml:space="preserve">   </w:t>
      </w:r>
      <w:r>
        <w:rPr>
          <w:rFonts w:ascii="仿宋" w:hAnsi="仿宋" w:eastAsia="仿宋"/>
          <w:sz w:val="30"/>
          <w:szCs w:val="30"/>
        </w:rPr>
        <w:t>月</w:t>
      </w:r>
      <w:r>
        <w:rPr>
          <w:rFonts w:hint="eastAsia" w:ascii="仿宋" w:hAnsi="仿宋" w:eastAsia="仿宋"/>
          <w:sz w:val="30"/>
          <w:szCs w:val="30"/>
        </w:rPr>
        <w:t xml:space="preserve">   </w:t>
      </w:r>
      <w:r>
        <w:rPr>
          <w:rFonts w:ascii="仿宋" w:hAnsi="仿宋" w:eastAsia="仿宋"/>
          <w:sz w:val="30"/>
          <w:szCs w:val="30"/>
        </w:rPr>
        <w:t>日</w:t>
      </w:r>
    </w:p>
    <w:p w14:paraId="659DB86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附件二：粮食出入库作业安全生产责任书</w:t>
      </w:r>
    </w:p>
    <w:p w14:paraId="343A4E7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highlight w:val="none"/>
          <w:lang w:val="en-US" w:eastAsia="zh-CN"/>
        </w:rPr>
      </w:pPr>
    </w:p>
    <w:p w14:paraId="0919A021">
      <w:pPr>
        <w:jc w:val="center"/>
        <w:rPr>
          <w:rFonts w:hint="eastAsia" w:ascii="仿宋" w:hAnsi="仿宋" w:eastAsia="仿宋"/>
          <w:b/>
          <w:sz w:val="44"/>
          <w:szCs w:val="44"/>
        </w:rPr>
      </w:pPr>
      <w:r>
        <w:rPr>
          <w:rFonts w:hint="eastAsia" w:ascii="仿宋" w:hAnsi="仿宋" w:eastAsia="仿宋"/>
          <w:b/>
          <w:sz w:val="44"/>
          <w:szCs w:val="44"/>
        </w:rPr>
        <w:t>粮食出入库作业安全生产责任书</w:t>
      </w:r>
    </w:p>
    <w:p w14:paraId="5B7EFDC4">
      <w:pPr>
        <w:jc w:val="center"/>
        <w:rPr>
          <w:rFonts w:hint="eastAsia" w:ascii="仿宋" w:hAnsi="仿宋" w:eastAsia="仿宋"/>
          <w:b/>
          <w:sz w:val="44"/>
          <w:szCs w:val="44"/>
        </w:rPr>
      </w:pPr>
    </w:p>
    <w:p w14:paraId="5EC67170">
      <w:pPr>
        <w:rPr>
          <w:rFonts w:hint="eastAsia" w:ascii="仿宋" w:hAnsi="仿宋" w:eastAsia="仿宋"/>
          <w:sz w:val="30"/>
          <w:szCs w:val="30"/>
        </w:rPr>
      </w:pPr>
      <w:r>
        <w:rPr>
          <w:rFonts w:hint="eastAsia" w:ascii="仿宋" w:hAnsi="仿宋" w:eastAsia="仿宋"/>
          <w:sz w:val="30"/>
          <w:szCs w:val="30"/>
        </w:rPr>
        <w:t>甲 方：</w:t>
      </w:r>
      <w:r>
        <w:rPr>
          <w:rFonts w:hint="eastAsia" w:ascii="仿宋" w:hAnsi="仿宋" w:eastAsia="仿宋"/>
          <w:b/>
          <w:sz w:val="30"/>
          <w:szCs w:val="30"/>
        </w:rPr>
        <w:t>连城县粮食购销有限公司</w:t>
      </w:r>
    </w:p>
    <w:p w14:paraId="1B6E799F">
      <w:pPr>
        <w:rPr>
          <w:rFonts w:hint="eastAsia" w:ascii="仿宋" w:hAnsi="仿宋" w:eastAsia="仿宋"/>
          <w:b/>
          <w:sz w:val="30"/>
          <w:szCs w:val="30"/>
        </w:rPr>
      </w:pPr>
      <w:r>
        <w:rPr>
          <w:rFonts w:hint="eastAsia" w:ascii="仿宋" w:hAnsi="仿宋" w:eastAsia="仿宋"/>
          <w:sz w:val="30"/>
          <w:szCs w:val="30"/>
        </w:rPr>
        <w:t>乙 方：</w:t>
      </w:r>
      <w:r>
        <w:rPr>
          <w:rFonts w:hint="eastAsia" w:ascii="仿宋" w:hAnsi="仿宋" w:eastAsia="仿宋"/>
          <w:b/>
          <w:sz w:val="30"/>
          <w:szCs w:val="30"/>
        </w:rPr>
        <w:t xml:space="preserve"> </w:t>
      </w:r>
    </w:p>
    <w:p w14:paraId="19D0D614">
      <w:pPr>
        <w:ind w:firstLine="600" w:firstLineChars="200"/>
        <w:rPr>
          <w:rFonts w:hint="eastAsia" w:ascii="仿宋" w:hAnsi="仿宋" w:eastAsia="仿宋"/>
          <w:sz w:val="30"/>
          <w:szCs w:val="30"/>
        </w:rPr>
      </w:pPr>
      <w:r>
        <w:rPr>
          <w:rFonts w:hint="eastAsia" w:ascii="仿宋" w:hAnsi="仿宋" w:eastAsia="仿宋"/>
          <w:sz w:val="30"/>
          <w:szCs w:val="30"/>
        </w:rPr>
        <w:t>依据《中华人民共和国安全生产法》、《粮食仓库安全操作规程》、《粮库安全生产守则》等国家相关法律法规和规章制度，确保粮食进出仓安全生产，甲乙双方特签订安全生产责任书。</w:t>
      </w:r>
    </w:p>
    <w:p w14:paraId="362FC972">
      <w:pPr>
        <w:ind w:firstLine="602" w:firstLineChars="200"/>
        <w:rPr>
          <w:rFonts w:hint="eastAsia" w:ascii="仿宋" w:hAnsi="仿宋" w:eastAsia="仿宋"/>
          <w:b/>
          <w:sz w:val="30"/>
          <w:szCs w:val="30"/>
        </w:rPr>
      </w:pPr>
      <w:r>
        <w:rPr>
          <w:rFonts w:hint="eastAsia" w:ascii="仿宋" w:hAnsi="仿宋" w:eastAsia="仿宋"/>
          <w:b/>
          <w:sz w:val="30"/>
          <w:szCs w:val="30"/>
        </w:rPr>
        <w:t>一、粮食进出仓安全</w:t>
      </w:r>
    </w:p>
    <w:p w14:paraId="71839F12">
      <w:pPr>
        <w:ind w:firstLine="600" w:firstLineChars="200"/>
        <w:rPr>
          <w:rFonts w:hint="eastAsia" w:ascii="仿宋" w:hAnsi="仿宋" w:eastAsia="仿宋"/>
          <w:sz w:val="30"/>
          <w:szCs w:val="30"/>
        </w:rPr>
      </w:pPr>
      <w:r>
        <w:rPr>
          <w:rFonts w:hint="eastAsia" w:ascii="仿宋" w:hAnsi="仿宋" w:eastAsia="仿宋"/>
          <w:sz w:val="30"/>
          <w:szCs w:val="30"/>
        </w:rPr>
        <w:t>（一）严格遵守安全生产法律、法规和粮食行业安全规章、规程，不得违章指挥或违章作业。坚持贯彻“安全第一，预防为主，综合治理”的安全生产方针。</w:t>
      </w:r>
    </w:p>
    <w:p w14:paraId="3BD46EE7">
      <w:pPr>
        <w:ind w:firstLine="600" w:firstLineChars="200"/>
        <w:rPr>
          <w:rFonts w:hint="eastAsia" w:ascii="仿宋" w:hAnsi="仿宋" w:eastAsia="仿宋"/>
          <w:sz w:val="30"/>
          <w:szCs w:val="30"/>
        </w:rPr>
      </w:pPr>
      <w:r>
        <w:rPr>
          <w:rFonts w:hint="eastAsia" w:ascii="仿宋" w:hAnsi="仿宋" w:eastAsia="仿宋"/>
          <w:sz w:val="30"/>
          <w:szCs w:val="30"/>
        </w:rPr>
        <w:t>（二）乙方在进行粮食进出仓作业时，应严格按照国家粮食局发布的《粮食仓库安全操作规程》（LS1206-2005）规范操作，并遵守《粮库安全生产守则》等储粮单位的各项规章制度，在装卸、运输作业前，应组织作业人员安全交底，确保安全生产。</w:t>
      </w:r>
    </w:p>
    <w:p w14:paraId="6A97A00D">
      <w:pPr>
        <w:ind w:firstLine="600" w:firstLineChars="200"/>
        <w:rPr>
          <w:rFonts w:hint="eastAsia" w:ascii="仿宋" w:hAnsi="仿宋" w:eastAsia="仿宋"/>
          <w:sz w:val="30"/>
          <w:szCs w:val="30"/>
        </w:rPr>
      </w:pPr>
      <w:r>
        <w:rPr>
          <w:rFonts w:hint="eastAsia" w:ascii="仿宋" w:hAnsi="仿宋" w:eastAsia="仿宋"/>
          <w:sz w:val="30"/>
          <w:szCs w:val="30"/>
        </w:rPr>
        <w:t>（三）乙方应建立健全安全生产责任制，加强对工作人员的安全生产教育和技术操作培训，未经安全生产教育和技术培训的人员，不得上岗作业。</w:t>
      </w:r>
    </w:p>
    <w:p w14:paraId="4FA57E24">
      <w:pPr>
        <w:ind w:firstLine="600" w:firstLineChars="200"/>
        <w:rPr>
          <w:rFonts w:hint="eastAsia" w:ascii="仿宋" w:hAnsi="仿宋" w:eastAsia="仿宋"/>
          <w:sz w:val="30"/>
          <w:szCs w:val="30"/>
        </w:rPr>
      </w:pPr>
      <w:r>
        <w:rPr>
          <w:rFonts w:hint="eastAsia" w:ascii="仿宋" w:hAnsi="仿宋" w:eastAsia="仿宋"/>
          <w:sz w:val="30"/>
          <w:szCs w:val="30"/>
        </w:rPr>
        <w:t>（四）乙方必须为进出仓工作人员办理工伤保险或意外伤害保险，并支付保险费。进出仓中发生安全事故时，应采取紧急措施减少人员伤亡和事故损失。</w:t>
      </w:r>
    </w:p>
    <w:p w14:paraId="1C8FC1C2">
      <w:pPr>
        <w:ind w:firstLine="600" w:firstLineChars="200"/>
        <w:rPr>
          <w:rFonts w:hint="eastAsia" w:ascii="仿宋" w:hAnsi="仿宋" w:eastAsia="仿宋"/>
          <w:sz w:val="30"/>
          <w:szCs w:val="30"/>
        </w:rPr>
      </w:pPr>
      <w:r>
        <w:rPr>
          <w:rFonts w:hint="eastAsia" w:ascii="仿宋" w:hAnsi="仿宋" w:eastAsia="仿宋"/>
          <w:sz w:val="30"/>
          <w:szCs w:val="30"/>
        </w:rPr>
        <w:t>（五）乙方须指定一名熟悉粮食仓库安全操作规程的人员为现场安全生产管理员，负责组织作业现场的安全生产工作。现场安全管理员应定期与甲方沟通，汇报作业现场的安全情况。乙方装卸工人必须为三人及以上（其中一人为现场监护人，监护人为现场安全监护，不得参与装卸作业）方可开展装卸作业。装卸工人须购买意外伤害保险，装卸工人须持有从业人员预防性健康合格证明、现场监护人须持有安全培训合格证，在装卸作业时须穿戴安全帽、反光服、胶鞋等安全防护用具。</w:t>
      </w:r>
    </w:p>
    <w:p w14:paraId="7216EAEC">
      <w:pPr>
        <w:ind w:firstLine="600" w:firstLineChars="200"/>
        <w:rPr>
          <w:rFonts w:hint="eastAsia" w:ascii="仿宋" w:hAnsi="仿宋" w:eastAsia="仿宋"/>
          <w:sz w:val="30"/>
          <w:szCs w:val="30"/>
        </w:rPr>
      </w:pPr>
      <w:r>
        <w:rPr>
          <w:rFonts w:hint="eastAsia" w:ascii="仿宋" w:hAnsi="仿宋" w:eastAsia="仿宋"/>
          <w:sz w:val="30"/>
          <w:szCs w:val="30"/>
        </w:rPr>
        <w:t>（六）因甲方装卸作业均采用机械电器设备，乙方装卸作业人员至少配备一人持电工证上岗，进场工作时须提供电工证复印件留甲方存档。</w:t>
      </w:r>
    </w:p>
    <w:p w14:paraId="7A508D04">
      <w:pPr>
        <w:ind w:firstLine="600" w:firstLineChars="200"/>
        <w:rPr>
          <w:rFonts w:hint="eastAsia" w:ascii="仿宋" w:hAnsi="仿宋" w:eastAsia="仿宋"/>
          <w:sz w:val="30"/>
          <w:szCs w:val="30"/>
        </w:rPr>
      </w:pPr>
      <w:r>
        <w:rPr>
          <w:rFonts w:hint="eastAsia" w:ascii="仿宋" w:hAnsi="仿宋" w:eastAsia="仿宋"/>
          <w:sz w:val="30"/>
          <w:szCs w:val="30"/>
        </w:rPr>
        <w:t>（七）进出仓期间，乙方必须服从甲方人员、现场管理人员的安全监督及管理，乙方在作业期间发现安全隐患必须及时报告甲方，立即进行整改，对甲方在安全生产检查中发现并指出的问题和薄弱环节应及时进行整改，整改合格后方可继续作业。如不听从甲方指挥继续违规操作，由此造成的损失，由乙方负责。</w:t>
      </w:r>
    </w:p>
    <w:p w14:paraId="527195D0">
      <w:pPr>
        <w:ind w:firstLine="600" w:firstLineChars="200"/>
        <w:rPr>
          <w:rFonts w:hint="eastAsia" w:ascii="仿宋" w:hAnsi="仿宋" w:eastAsia="仿宋"/>
          <w:sz w:val="30"/>
          <w:szCs w:val="30"/>
        </w:rPr>
      </w:pPr>
      <w:r>
        <w:rPr>
          <w:rFonts w:hint="eastAsia" w:ascii="仿宋" w:hAnsi="仿宋" w:eastAsia="仿宋"/>
          <w:sz w:val="30"/>
          <w:szCs w:val="30"/>
        </w:rPr>
        <w:t>（八）乙方单位人员严禁在库区内堆放易燃易爆物品、燃放烟花爆竹，在禁火区域内禁止使用明火、严禁吸烟，工作人员未遵守相关规定引起火灾时由乙方负全责。</w:t>
      </w:r>
    </w:p>
    <w:p w14:paraId="5F612D3A">
      <w:pPr>
        <w:ind w:firstLine="600" w:firstLineChars="200"/>
        <w:rPr>
          <w:rFonts w:hint="eastAsia" w:ascii="仿宋" w:hAnsi="仿宋" w:eastAsia="仿宋"/>
          <w:sz w:val="30"/>
          <w:szCs w:val="30"/>
        </w:rPr>
      </w:pPr>
      <w:r>
        <w:rPr>
          <w:rFonts w:hint="eastAsia" w:ascii="仿宋" w:hAnsi="仿宋" w:eastAsia="仿宋"/>
          <w:sz w:val="30"/>
          <w:szCs w:val="30"/>
        </w:rPr>
        <w:t>（九）乙方单位人员未经甲方批准严禁动用甲方的配电柜及电器机械设备、其他配套设施，在库区内严禁随意乱拉电线，否则引起的任何安全事故由乙方负责。</w:t>
      </w:r>
    </w:p>
    <w:p w14:paraId="64D6CD98">
      <w:pPr>
        <w:ind w:firstLine="600" w:firstLineChars="200"/>
        <w:rPr>
          <w:rFonts w:hint="eastAsia" w:ascii="仿宋" w:hAnsi="仿宋" w:eastAsia="仿宋"/>
          <w:sz w:val="30"/>
          <w:szCs w:val="30"/>
        </w:rPr>
      </w:pPr>
      <w:r>
        <w:rPr>
          <w:rFonts w:hint="eastAsia" w:ascii="仿宋" w:hAnsi="仿宋" w:eastAsia="仿宋"/>
          <w:sz w:val="30"/>
          <w:szCs w:val="30"/>
        </w:rPr>
        <w:t>（十）乙方单位人员在甲方仓库熏蒸时，严禁靠近和进入拉有警戒线的区域，否则由此引起的人员中毒事故由乙方负责。</w:t>
      </w:r>
    </w:p>
    <w:p w14:paraId="01373270">
      <w:pPr>
        <w:ind w:firstLine="600" w:firstLineChars="200"/>
        <w:rPr>
          <w:rFonts w:hint="eastAsia" w:ascii="仿宋" w:hAnsi="仿宋" w:eastAsia="仿宋"/>
          <w:sz w:val="30"/>
          <w:szCs w:val="30"/>
        </w:rPr>
      </w:pPr>
      <w:r>
        <w:rPr>
          <w:rFonts w:hint="eastAsia" w:ascii="仿宋" w:hAnsi="仿宋" w:eastAsia="仿宋"/>
          <w:sz w:val="30"/>
          <w:szCs w:val="30"/>
        </w:rPr>
        <w:t>（十一）乙方单位人员应注重公共卫生，对甲方提供的住宿或休息场所要保持整洁干净，严禁抛洒杂物。</w:t>
      </w:r>
    </w:p>
    <w:p w14:paraId="514A3C14">
      <w:pPr>
        <w:ind w:firstLine="600" w:firstLineChars="200"/>
        <w:rPr>
          <w:rFonts w:hint="eastAsia" w:ascii="仿宋" w:hAnsi="仿宋" w:eastAsia="仿宋"/>
          <w:sz w:val="30"/>
          <w:szCs w:val="30"/>
        </w:rPr>
      </w:pPr>
      <w:r>
        <w:rPr>
          <w:rFonts w:hint="eastAsia" w:ascii="仿宋" w:hAnsi="仿宋" w:eastAsia="仿宋"/>
          <w:sz w:val="30"/>
          <w:szCs w:val="30"/>
        </w:rPr>
        <w:t>（十二）乙方负责本批粮食进出仓期间乙方人员的社会治安综合治理工作。乙方所有员工在库区内应遵纪守法，不打架斗殴、不赌博、不偷盗、不参加非法组织。对违反社会治安管理条例引起的相关责任由乙方负责。</w:t>
      </w:r>
    </w:p>
    <w:p w14:paraId="01BFA156">
      <w:pPr>
        <w:ind w:firstLine="600" w:firstLineChars="200"/>
        <w:rPr>
          <w:rFonts w:hint="eastAsia" w:ascii="仿宋" w:hAnsi="仿宋" w:eastAsia="仿宋"/>
          <w:sz w:val="30"/>
          <w:szCs w:val="30"/>
        </w:rPr>
      </w:pPr>
      <w:r>
        <w:rPr>
          <w:rFonts w:hint="eastAsia" w:ascii="仿宋" w:hAnsi="仿宋" w:eastAsia="仿宋"/>
          <w:sz w:val="30"/>
          <w:szCs w:val="30"/>
        </w:rPr>
        <w:t>（十三）乙方人员严禁酒后、带病上岗作业，由此造成的安全事故一切责任及相关赔偿费等由乙方承担。</w:t>
      </w:r>
    </w:p>
    <w:p w14:paraId="185D0D02">
      <w:pPr>
        <w:ind w:firstLine="600" w:firstLineChars="200"/>
        <w:rPr>
          <w:rFonts w:hint="eastAsia" w:ascii="仿宋" w:hAnsi="仿宋" w:eastAsia="仿宋"/>
          <w:sz w:val="30"/>
          <w:szCs w:val="30"/>
        </w:rPr>
      </w:pPr>
      <w:r>
        <w:rPr>
          <w:rFonts w:hint="eastAsia" w:ascii="仿宋" w:hAnsi="仿宋" w:eastAsia="仿宋"/>
          <w:sz w:val="30"/>
          <w:szCs w:val="30"/>
        </w:rPr>
        <w:t>（十四）乙方不得从事其他违反安全生产规定的任何作业。</w:t>
      </w:r>
    </w:p>
    <w:p w14:paraId="1CFF9B2E">
      <w:pPr>
        <w:ind w:firstLine="600" w:firstLineChars="200"/>
        <w:rPr>
          <w:rFonts w:hint="eastAsia" w:ascii="仿宋" w:hAnsi="仿宋" w:eastAsia="仿宋"/>
          <w:sz w:val="30"/>
          <w:szCs w:val="30"/>
        </w:rPr>
      </w:pPr>
      <w:r>
        <w:rPr>
          <w:rFonts w:hint="eastAsia" w:ascii="仿宋" w:hAnsi="仿宋" w:eastAsia="仿宋"/>
          <w:sz w:val="30"/>
          <w:szCs w:val="30"/>
        </w:rPr>
        <w:t>（十五）乙方必须按粮食及安全生产法规中的规定进行安全生产，文明作业，对进出仓现场安全负全责。进出仓及集并期间人员、货物、车辆等发生安全事故一切责任及相关赔偿费等由乙方承担。</w:t>
      </w:r>
    </w:p>
    <w:p w14:paraId="76AFC587">
      <w:pPr>
        <w:ind w:firstLine="600" w:firstLineChars="200"/>
        <w:rPr>
          <w:rFonts w:hint="eastAsia" w:ascii="仿宋" w:hAnsi="仿宋" w:eastAsia="仿宋"/>
          <w:sz w:val="30"/>
          <w:szCs w:val="30"/>
        </w:rPr>
      </w:pPr>
      <w:r>
        <w:rPr>
          <w:rFonts w:hint="eastAsia" w:ascii="仿宋" w:hAnsi="仿宋" w:eastAsia="仿宋"/>
          <w:sz w:val="30"/>
          <w:szCs w:val="30"/>
        </w:rPr>
        <w:t>（十六）乙方在出入库装车、运输过程中，有违反安全生产或社会治安综合治理的规章制度和不听从甲方现场管理人员安排指挥，甲方有权对乙方进行罚款，罚款金额视造成损失程度而定。</w:t>
      </w:r>
    </w:p>
    <w:p w14:paraId="0685E4BA">
      <w:pPr>
        <w:ind w:firstLine="602" w:firstLineChars="200"/>
        <w:rPr>
          <w:rFonts w:hint="eastAsia" w:ascii="仿宋" w:hAnsi="仿宋" w:eastAsia="仿宋"/>
          <w:b/>
          <w:sz w:val="30"/>
          <w:szCs w:val="30"/>
        </w:rPr>
      </w:pPr>
      <w:r>
        <w:rPr>
          <w:rFonts w:hint="eastAsia" w:ascii="仿宋" w:hAnsi="仿宋" w:eastAsia="仿宋"/>
          <w:b/>
          <w:sz w:val="30"/>
          <w:szCs w:val="30"/>
        </w:rPr>
        <w:t>二、乙方作业人员包括：现场安全管理员、装卸作业人员、车辆驾驶员。</w:t>
      </w:r>
    </w:p>
    <w:p w14:paraId="1B98D027">
      <w:pPr>
        <w:ind w:firstLine="602" w:firstLineChars="200"/>
        <w:rPr>
          <w:rFonts w:hint="eastAsia" w:ascii="仿宋" w:hAnsi="仿宋" w:eastAsia="仿宋"/>
          <w:b/>
          <w:sz w:val="30"/>
          <w:szCs w:val="30"/>
        </w:rPr>
      </w:pPr>
      <w:r>
        <w:rPr>
          <w:rFonts w:hint="eastAsia" w:ascii="仿宋" w:hAnsi="仿宋" w:eastAsia="仿宋"/>
          <w:b/>
          <w:sz w:val="30"/>
          <w:szCs w:val="30"/>
        </w:rPr>
        <w:t>三、本协议壹式贰份，甲乙双方各持壹份。</w:t>
      </w:r>
    </w:p>
    <w:p w14:paraId="4F1B29CE">
      <w:pPr>
        <w:rPr>
          <w:rFonts w:hint="eastAsia" w:ascii="仿宋" w:hAnsi="仿宋" w:eastAsia="仿宋"/>
          <w:sz w:val="30"/>
          <w:szCs w:val="30"/>
        </w:rPr>
      </w:pPr>
    </w:p>
    <w:p w14:paraId="4BF29D72">
      <w:pPr>
        <w:rPr>
          <w:rFonts w:hint="eastAsia" w:ascii="仿宋" w:hAnsi="仿宋" w:eastAsia="仿宋"/>
          <w:sz w:val="30"/>
          <w:szCs w:val="30"/>
        </w:rPr>
      </w:pPr>
      <w:r>
        <w:rPr>
          <w:rFonts w:hint="eastAsia" w:ascii="仿宋" w:hAnsi="仿宋" w:eastAsia="仿宋"/>
          <w:sz w:val="30"/>
          <w:szCs w:val="30"/>
        </w:rPr>
        <w:t xml:space="preserve">甲方：连城县粮食购销有限公司 乙方： </w:t>
      </w:r>
    </w:p>
    <w:p w14:paraId="49AE67D8">
      <w:pPr>
        <w:ind w:firstLine="5400" w:firstLineChars="1800"/>
        <w:rPr>
          <w:rFonts w:hint="eastAsia" w:ascii="仿宋" w:hAnsi="仿宋" w:eastAsia="仿宋"/>
          <w:sz w:val="30"/>
          <w:szCs w:val="30"/>
        </w:rPr>
      </w:pPr>
    </w:p>
    <w:p w14:paraId="7197DCF6">
      <w:pPr>
        <w:rPr>
          <w:rFonts w:hint="eastAsia" w:ascii="仿宋" w:hAnsi="仿宋" w:eastAsia="仿宋"/>
          <w:sz w:val="30"/>
          <w:szCs w:val="30"/>
        </w:rPr>
      </w:pPr>
    </w:p>
    <w:p w14:paraId="28E82EF5">
      <w:pPr>
        <w:rPr>
          <w:rFonts w:hint="eastAsia" w:ascii="仿宋" w:hAnsi="仿宋" w:eastAsia="仿宋"/>
          <w:sz w:val="30"/>
          <w:szCs w:val="30"/>
        </w:rPr>
      </w:pPr>
      <w:r>
        <w:rPr>
          <w:rFonts w:hint="eastAsia" w:ascii="仿宋" w:hAnsi="仿宋" w:eastAsia="仿宋"/>
          <w:sz w:val="30"/>
          <w:szCs w:val="30"/>
        </w:rPr>
        <w:t>代表人：                      代表人：</w:t>
      </w:r>
    </w:p>
    <w:p w14:paraId="43AB077E">
      <w:pPr>
        <w:rPr>
          <w:rFonts w:hint="eastAsia" w:ascii="仿宋" w:hAnsi="仿宋" w:eastAsia="仿宋"/>
          <w:sz w:val="30"/>
          <w:szCs w:val="30"/>
        </w:rPr>
      </w:pPr>
    </w:p>
    <w:p w14:paraId="7D6462E6">
      <w:pPr>
        <w:jc w:val="right"/>
        <w:rPr>
          <w:rFonts w:hint="eastAsia" w:ascii="仿宋" w:hAnsi="仿宋" w:eastAsia="仿宋"/>
          <w:sz w:val="30"/>
          <w:szCs w:val="30"/>
        </w:rPr>
      </w:pPr>
      <w:r>
        <w:rPr>
          <w:rFonts w:hint="eastAsia" w:ascii="仿宋" w:hAnsi="仿宋" w:eastAsia="仿宋"/>
          <w:sz w:val="30"/>
          <w:szCs w:val="30"/>
        </w:rPr>
        <w:t>签订时间：</w:t>
      </w: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日</w:t>
      </w:r>
    </w:p>
    <w:p w14:paraId="5AFFDF92">
      <w:pPr>
        <w:snapToGrid w:val="0"/>
        <w:spacing w:line="300" w:lineRule="auto"/>
        <w:jc w:val="center"/>
        <w:rPr>
          <w:rFonts w:hint="eastAsia"/>
          <w:b/>
          <w:sz w:val="44"/>
          <w:szCs w:val="44"/>
        </w:rPr>
      </w:pPr>
    </w:p>
    <w:p w14:paraId="14D9891D">
      <w:pPr>
        <w:rPr>
          <w:rFonts w:hint="eastAsia" w:ascii="宋体" w:hAnsi="宋体" w:eastAsia="宋体" w:cs="宋体"/>
          <w:b/>
          <w:color w:val="auto"/>
          <w:sz w:val="28"/>
          <w:szCs w:val="28"/>
          <w:highlight w:val="none"/>
        </w:rPr>
      </w:pPr>
    </w:p>
    <w:p w14:paraId="3B899C2F">
      <w:pPr>
        <w:keepNext w:val="0"/>
        <w:keepLines w:val="0"/>
        <w:pageBreakBefore w:val="0"/>
        <w:kinsoku/>
        <w:wordWrap/>
        <w:topLinePunct w:val="0"/>
        <w:bidi w:val="0"/>
        <w:spacing w:line="520" w:lineRule="exact"/>
        <w:jc w:val="both"/>
        <w:rPr>
          <w:rFonts w:hint="default" w:ascii="宋体" w:hAnsi="宋体" w:cs="宋体"/>
          <w:color w:val="auto"/>
          <w:sz w:val="28"/>
          <w:szCs w:val="28"/>
          <w:highlight w:val="none"/>
          <w:lang w:val="en-US" w:eastAsia="zh-CN"/>
        </w:rPr>
      </w:pPr>
    </w:p>
    <w:sectPr>
      <w:footerReference r:id="rId3" w:type="default"/>
      <w:pgSz w:w="11906" w:h="16838"/>
      <w:pgMar w:top="1440" w:right="1417" w:bottom="1440"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11"/>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3DD94"/>
    <w:multiLevelType w:val="singleLevel"/>
    <w:tmpl w:val="8873DD94"/>
    <w:lvl w:ilvl="0" w:tentative="0">
      <w:start w:val="1"/>
      <w:numFmt w:val="decimal"/>
      <w:suff w:val="nothing"/>
      <w:lvlText w:val="%1、"/>
      <w:lvlJc w:val="left"/>
    </w:lvl>
  </w:abstractNum>
  <w:abstractNum w:abstractNumId="1">
    <w:nsid w:val="E1CD3BA7"/>
    <w:multiLevelType w:val="singleLevel"/>
    <w:tmpl w:val="E1CD3BA7"/>
    <w:lvl w:ilvl="0" w:tentative="0">
      <w:start w:val="3"/>
      <w:numFmt w:val="decimal"/>
      <w:lvlText w:val="%1."/>
      <w:lvlJc w:val="left"/>
      <w:pPr>
        <w:tabs>
          <w:tab w:val="left" w:pos="312"/>
        </w:tabs>
      </w:pPr>
    </w:lvl>
  </w:abstractNum>
  <w:abstractNum w:abstractNumId="2">
    <w:nsid w:val="E82A9F90"/>
    <w:multiLevelType w:val="singleLevel"/>
    <w:tmpl w:val="E82A9F90"/>
    <w:lvl w:ilvl="0" w:tentative="0">
      <w:start w:val="8"/>
      <w:numFmt w:val="chineseCounting"/>
      <w:suff w:val="nothing"/>
      <w:lvlText w:val="%1、"/>
      <w:lvlJc w:val="left"/>
      <w:rPr>
        <w:rFonts w:hint="eastAsia"/>
      </w:rPr>
    </w:lvl>
  </w:abstractNum>
  <w:abstractNum w:abstractNumId="3">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2"/>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CA3FAE"/>
    <w:rsid w:val="039E3DB5"/>
    <w:rsid w:val="043164D2"/>
    <w:rsid w:val="04973358"/>
    <w:rsid w:val="076D2FEB"/>
    <w:rsid w:val="0804406F"/>
    <w:rsid w:val="081C4C9C"/>
    <w:rsid w:val="0834033F"/>
    <w:rsid w:val="0AD43D25"/>
    <w:rsid w:val="0AEE0C79"/>
    <w:rsid w:val="0B2D79F3"/>
    <w:rsid w:val="0C0C7087"/>
    <w:rsid w:val="0C9C0329"/>
    <w:rsid w:val="0CA830A9"/>
    <w:rsid w:val="0CDA1129"/>
    <w:rsid w:val="0D0C3638"/>
    <w:rsid w:val="0D724C37"/>
    <w:rsid w:val="0DDD71A5"/>
    <w:rsid w:val="0E6A79B6"/>
    <w:rsid w:val="0E8467A8"/>
    <w:rsid w:val="0F153787"/>
    <w:rsid w:val="10554859"/>
    <w:rsid w:val="108A4FA0"/>
    <w:rsid w:val="115251AE"/>
    <w:rsid w:val="128A572B"/>
    <w:rsid w:val="137205A3"/>
    <w:rsid w:val="138E2060"/>
    <w:rsid w:val="1410018A"/>
    <w:rsid w:val="14416FC6"/>
    <w:rsid w:val="14DE0881"/>
    <w:rsid w:val="15474BF8"/>
    <w:rsid w:val="1569686F"/>
    <w:rsid w:val="16052A7F"/>
    <w:rsid w:val="167C30C3"/>
    <w:rsid w:val="169951BC"/>
    <w:rsid w:val="16AB5ECF"/>
    <w:rsid w:val="183B56FD"/>
    <w:rsid w:val="18AE0B48"/>
    <w:rsid w:val="18EF3710"/>
    <w:rsid w:val="1A394265"/>
    <w:rsid w:val="1B215742"/>
    <w:rsid w:val="1CC932F4"/>
    <w:rsid w:val="1CF82A78"/>
    <w:rsid w:val="1D570296"/>
    <w:rsid w:val="1E303C84"/>
    <w:rsid w:val="1EA56673"/>
    <w:rsid w:val="1EF00CA7"/>
    <w:rsid w:val="1F633F72"/>
    <w:rsid w:val="1FB913FE"/>
    <w:rsid w:val="203C362E"/>
    <w:rsid w:val="20E02F65"/>
    <w:rsid w:val="20EE7214"/>
    <w:rsid w:val="211A411E"/>
    <w:rsid w:val="214C72A5"/>
    <w:rsid w:val="21E464DA"/>
    <w:rsid w:val="226244CC"/>
    <w:rsid w:val="22950329"/>
    <w:rsid w:val="22A30872"/>
    <w:rsid w:val="234F36E4"/>
    <w:rsid w:val="236A7C99"/>
    <w:rsid w:val="23761465"/>
    <w:rsid w:val="23A6593F"/>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790770"/>
    <w:rsid w:val="2CDF621C"/>
    <w:rsid w:val="2D697A29"/>
    <w:rsid w:val="2E301AB4"/>
    <w:rsid w:val="2E7E609A"/>
    <w:rsid w:val="2F3740ED"/>
    <w:rsid w:val="2F642552"/>
    <w:rsid w:val="2FF9333B"/>
    <w:rsid w:val="300F15EE"/>
    <w:rsid w:val="3062140F"/>
    <w:rsid w:val="31496EC2"/>
    <w:rsid w:val="31E57E30"/>
    <w:rsid w:val="31F6203D"/>
    <w:rsid w:val="32165023"/>
    <w:rsid w:val="330407DF"/>
    <w:rsid w:val="33B379FC"/>
    <w:rsid w:val="33BB5A80"/>
    <w:rsid w:val="348738A9"/>
    <w:rsid w:val="34A710A8"/>
    <w:rsid w:val="354D07DD"/>
    <w:rsid w:val="36070CBD"/>
    <w:rsid w:val="366756A0"/>
    <w:rsid w:val="371B5B3B"/>
    <w:rsid w:val="3741602B"/>
    <w:rsid w:val="38A87E0A"/>
    <w:rsid w:val="39237EB6"/>
    <w:rsid w:val="39C752B8"/>
    <w:rsid w:val="3A0C4B4E"/>
    <w:rsid w:val="3CDB07AE"/>
    <w:rsid w:val="3D143517"/>
    <w:rsid w:val="3D3F6CF4"/>
    <w:rsid w:val="3D71306C"/>
    <w:rsid w:val="3D731A17"/>
    <w:rsid w:val="3DC87AC0"/>
    <w:rsid w:val="3E166E94"/>
    <w:rsid w:val="3FA56A13"/>
    <w:rsid w:val="410835EE"/>
    <w:rsid w:val="418B6AEE"/>
    <w:rsid w:val="42030652"/>
    <w:rsid w:val="423D177E"/>
    <w:rsid w:val="424010B3"/>
    <w:rsid w:val="42890CAC"/>
    <w:rsid w:val="429531AD"/>
    <w:rsid w:val="42E9200F"/>
    <w:rsid w:val="432E70E3"/>
    <w:rsid w:val="44891733"/>
    <w:rsid w:val="44B738AE"/>
    <w:rsid w:val="44E55E41"/>
    <w:rsid w:val="45A2046C"/>
    <w:rsid w:val="45C03291"/>
    <w:rsid w:val="46797B93"/>
    <w:rsid w:val="46965745"/>
    <w:rsid w:val="4758626E"/>
    <w:rsid w:val="47CB141F"/>
    <w:rsid w:val="47ED28F0"/>
    <w:rsid w:val="483D40CA"/>
    <w:rsid w:val="48556CDA"/>
    <w:rsid w:val="485D0F10"/>
    <w:rsid w:val="490214AF"/>
    <w:rsid w:val="493429D0"/>
    <w:rsid w:val="4A58410E"/>
    <w:rsid w:val="4ACA1E61"/>
    <w:rsid w:val="4B42467C"/>
    <w:rsid w:val="4C6355B6"/>
    <w:rsid w:val="4D235499"/>
    <w:rsid w:val="4D2550DF"/>
    <w:rsid w:val="4D515A96"/>
    <w:rsid w:val="4DA2556F"/>
    <w:rsid w:val="4E097504"/>
    <w:rsid w:val="4E143612"/>
    <w:rsid w:val="4E661F86"/>
    <w:rsid w:val="4E997C57"/>
    <w:rsid w:val="4E9D3635"/>
    <w:rsid w:val="4ED62599"/>
    <w:rsid w:val="4F4F373F"/>
    <w:rsid w:val="4F541F42"/>
    <w:rsid w:val="51A703F2"/>
    <w:rsid w:val="51AA471F"/>
    <w:rsid w:val="51F76DE0"/>
    <w:rsid w:val="522E2CD6"/>
    <w:rsid w:val="524A20F8"/>
    <w:rsid w:val="524E2EDF"/>
    <w:rsid w:val="53351704"/>
    <w:rsid w:val="53CB6FAB"/>
    <w:rsid w:val="542826BF"/>
    <w:rsid w:val="545B5616"/>
    <w:rsid w:val="55915C48"/>
    <w:rsid w:val="56DC71A4"/>
    <w:rsid w:val="56EB10E9"/>
    <w:rsid w:val="575B631B"/>
    <w:rsid w:val="59AF6DF2"/>
    <w:rsid w:val="59E02F96"/>
    <w:rsid w:val="5A10637D"/>
    <w:rsid w:val="5A244F70"/>
    <w:rsid w:val="5B280C0A"/>
    <w:rsid w:val="5BA1276A"/>
    <w:rsid w:val="5C1B076F"/>
    <w:rsid w:val="5C2441D3"/>
    <w:rsid w:val="5C7C6734"/>
    <w:rsid w:val="5C9245A9"/>
    <w:rsid w:val="5C9A35A3"/>
    <w:rsid w:val="5D2C2ED8"/>
    <w:rsid w:val="5D434E88"/>
    <w:rsid w:val="5DBB508D"/>
    <w:rsid w:val="5E047FD0"/>
    <w:rsid w:val="5EA42C9D"/>
    <w:rsid w:val="5F1519BF"/>
    <w:rsid w:val="602A7EDE"/>
    <w:rsid w:val="616E7593"/>
    <w:rsid w:val="6189617B"/>
    <w:rsid w:val="620F4C9D"/>
    <w:rsid w:val="636B6B43"/>
    <w:rsid w:val="637568A7"/>
    <w:rsid w:val="63F56C8F"/>
    <w:rsid w:val="63F81C8C"/>
    <w:rsid w:val="640D0C57"/>
    <w:rsid w:val="64433D8E"/>
    <w:rsid w:val="64C574CA"/>
    <w:rsid w:val="64D67929"/>
    <w:rsid w:val="664066EE"/>
    <w:rsid w:val="664A0B53"/>
    <w:rsid w:val="67A07D7A"/>
    <w:rsid w:val="67B160B6"/>
    <w:rsid w:val="67F820E4"/>
    <w:rsid w:val="680A030D"/>
    <w:rsid w:val="69113EED"/>
    <w:rsid w:val="69780E80"/>
    <w:rsid w:val="6A0A1171"/>
    <w:rsid w:val="6B23122A"/>
    <w:rsid w:val="6B776A6D"/>
    <w:rsid w:val="6BCB02F6"/>
    <w:rsid w:val="6CA81B7D"/>
    <w:rsid w:val="6D7B66F3"/>
    <w:rsid w:val="6DDB5D0B"/>
    <w:rsid w:val="6E661D1D"/>
    <w:rsid w:val="6F5D5B73"/>
    <w:rsid w:val="6F812C77"/>
    <w:rsid w:val="7007345D"/>
    <w:rsid w:val="705F07D2"/>
    <w:rsid w:val="706E1953"/>
    <w:rsid w:val="707966E1"/>
    <w:rsid w:val="709567A2"/>
    <w:rsid w:val="709E0487"/>
    <w:rsid w:val="71B2527A"/>
    <w:rsid w:val="729A0B48"/>
    <w:rsid w:val="729B4033"/>
    <w:rsid w:val="75A82C1C"/>
    <w:rsid w:val="75C93329"/>
    <w:rsid w:val="77354B5A"/>
    <w:rsid w:val="77875CB0"/>
    <w:rsid w:val="77CE5972"/>
    <w:rsid w:val="77EB3293"/>
    <w:rsid w:val="786F5C73"/>
    <w:rsid w:val="78EB1D38"/>
    <w:rsid w:val="78F75F2F"/>
    <w:rsid w:val="79162DAA"/>
    <w:rsid w:val="7956473D"/>
    <w:rsid w:val="7975216F"/>
    <w:rsid w:val="79B76855"/>
    <w:rsid w:val="7AD654A8"/>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3"/>
    <w:basedOn w:val="1"/>
    <w:next w:val="1"/>
    <w:qFormat/>
    <w:uiPriority w:val="9"/>
    <w:pPr>
      <w:keepNext/>
      <w:keepLines/>
      <w:numPr>
        <w:ilvl w:val="2"/>
        <w:numId w:val="1"/>
      </w:numPr>
      <w:spacing w:before="120" w:after="120" w:line="360" w:lineRule="auto"/>
      <w:outlineLvl w:val="2"/>
    </w:pPr>
    <w:rPr>
      <w:b/>
      <w:bCs/>
      <w:sz w:val="30"/>
      <w:szCs w:val="32"/>
    </w:rPr>
  </w:style>
  <w:style w:type="paragraph" w:styleId="3">
    <w:name w:val="heading 4"/>
    <w:next w:val="1"/>
    <w:qFormat/>
    <w:uiPriority w:val="0"/>
    <w:pPr>
      <w:keepNext/>
      <w:keepLines/>
      <w:widowControl w:val="0"/>
      <w:spacing w:before="280" w:after="290" w:line="376" w:lineRule="auto"/>
      <w:jc w:val="both"/>
      <w:outlineLvl w:val="3"/>
    </w:pPr>
    <w:rPr>
      <w:rFonts w:ascii="Cambria" w:hAnsi="Cambria" w:eastAsia="宋体" w:cs="Times New Roman"/>
      <w:b/>
      <w:bCs/>
      <w:kern w:val="2"/>
      <w:sz w:val="28"/>
      <w:szCs w:val="28"/>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Body Text"/>
    <w:basedOn w:val="1"/>
    <w:next w:val="6"/>
    <w:qFormat/>
    <w:uiPriority w:val="0"/>
    <w:pPr>
      <w:spacing w:line="380" w:lineRule="exact"/>
    </w:pPr>
    <w:rPr>
      <w:sz w:val="24"/>
    </w:rPr>
  </w:style>
  <w:style w:type="paragraph" w:customStyle="1" w:styleId="6">
    <w:name w:val="样式 表格正文 + 两端对齐"/>
    <w:basedOn w:val="1"/>
    <w:next w:val="7"/>
    <w:qFormat/>
    <w:uiPriority w:val="0"/>
    <w:pPr>
      <w:spacing w:line="300" w:lineRule="auto"/>
    </w:pPr>
  </w:style>
  <w:style w:type="paragraph" w:customStyle="1" w:styleId="7">
    <w:name w:val="正文1"/>
    <w:basedOn w:val="1"/>
    <w:qFormat/>
    <w:uiPriority w:val="0"/>
    <w:pPr>
      <w:spacing w:line="480" w:lineRule="exact"/>
      <w:ind w:firstLine="567"/>
    </w:pPr>
    <w:rPr>
      <w:rFonts w:ascii="幼圆" w:eastAsia="幼圆"/>
      <w:sz w:val="28"/>
      <w:szCs w:val="20"/>
    </w:rPr>
  </w:style>
  <w:style w:type="paragraph" w:styleId="8">
    <w:name w:val="Body Text Indent"/>
    <w:basedOn w:val="1"/>
    <w:next w:val="1"/>
    <w:qFormat/>
    <w:uiPriority w:val="1624"/>
    <w:pPr>
      <w:spacing w:after="120"/>
      <w:ind w:left="200" w:leftChars="200"/>
    </w:pPr>
    <w:rPr>
      <w:rFonts w:eastAsia="宋体"/>
      <w:kern w:val="0"/>
      <w:sz w:val="20"/>
    </w:rPr>
  </w:style>
  <w:style w:type="paragraph" w:styleId="9">
    <w:name w:val="Plain Text"/>
    <w:basedOn w:val="1"/>
    <w:next w:val="1"/>
    <w:qFormat/>
    <w:uiPriority w:val="0"/>
    <w:pPr>
      <w:widowControl w:val="0"/>
      <w:spacing w:before="0" w:beforeAutospacing="0" w:after="0" w:afterAutospacing="0" w:line="240" w:lineRule="auto"/>
      <w:jc w:val="both"/>
    </w:pPr>
    <w:rPr>
      <w:rFonts w:ascii="宋体" w:hAnsi="Courier New" w:cs="Courier New"/>
      <w:kern w:val="2"/>
      <w:sz w:val="21"/>
      <w:szCs w:val="21"/>
    </w:rPr>
  </w:style>
  <w:style w:type="paragraph" w:styleId="10">
    <w:name w:val="Balloon Text"/>
    <w:basedOn w:val="1"/>
    <w:link w:val="23"/>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2"/>
    <w:basedOn w:val="8"/>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page number"/>
    <w:basedOn w:val="17"/>
    <w:qFormat/>
    <w:uiPriority w:val="0"/>
  </w:style>
  <w:style w:type="paragraph" w:customStyle="1" w:styleId="20">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paragraph" w:customStyle="1" w:styleId="21">
    <w:name w:val="Fließtext"/>
    <w:basedOn w:val="1"/>
    <w:qFormat/>
    <w:uiPriority w:val="0"/>
    <w:pPr>
      <w:overflowPunct w:val="0"/>
      <w:autoSpaceDE w:val="0"/>
      <w:autoSpaceDN w:val="0"/>
      <w:adjustRightInd w:val="0"/>
      <w:textAlignment w:val="baseline"/>
    </w:pPr>
    <w:rPr>
      <w:kern w:val="28"/>
      <w:szCs w:val="20"/>
    </w:rPr>
  </w:style>
  <w:style w:type="paragraph" w:customStyle="1" w:styleId="22">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3">
    <w:name w:val="批注框文本 Char"/>
    <w:basedOn w:val="17"/>
    <w:link w:val="10"/>
    <w:qFormat/>
    <w:uiPriority w:val="0"/>
    <w:rPr>
      <w:rFonts w:ascii="Calibri" w:hAnsi="Calibri" w:eastAsia="宋体" w:cs="Arial"/>
      <w:kern w:val="2"/>
      <w:sz w:val="18"/>
      <w:szCs w:val="18"/>
    </w:rPr>
  </w:style>
  <w:style w:type="paragraph" w:customStyle="1" w:styleId="24">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 w:type="paragraph" w:customStyle="1" w:styleId="25">
    <w:name w:val="null3"/>
    <w:hidden/>
    <w:qFormat/>
    <w:uiPriority w:val="0"/>
    <w:rPr>
      <w:rFonts w:hint="eastAsia" w:asciiTheme="minorHAnsi" w:hAnsiTheme="minorHAnsi" w:eastAsiaTheme="minorEastAsia" w:cstheme="minorBidi"/>
      <w:lang w:val="en-US" w:eastAsia="zh-Hans"/>
    </w:rPr>
  </w:style>
  <w:style w:type="character" w:customStyle="1" w:styleId="26">
    <w:name w:val="font101"/>
    <w:basedOn w:val="17"/>
    <w:qFormat/>
    <w:uiPriority w:val="0"/>
    <w:rPr>
      <w:rFonts w:hint="eastAsia" w:ascii="宋体" w:hAnsi="宋体" w:eastAsia="宋体" w:cs="宋体"/>
      <w:color w:val="000000"/>
      <w:sz w:val="20"/>
      <w:szCs w:val="20"/>
      <w:u w:val="none"/>
    </w:rPr>
  </w:style>
  <w:style w:type="character" w:customStyle="1" w:styleId="27">
    <w:name w:val="font11"/>
    <w:basedOn w:val="17"/>
    <w:qFormat/>
    <w:uiPriority w:val="0"/>
    <w:rPr>
      <w:rFonts w:hint="eastAsia" w:ascii="微软雅黑" w:hAnsi="微软雅黑" w:eastAsia="微软雅黑" w:cs="微软雅黑"/>
      <w:color w:val="000000"/>
      <w:sz w:val="20"/>
      <w:szCs w:val="20"/>
      <w:u w:val="none"/>
    </w:rPr>
  </w:style>
  <w:style w:type="paragraph" w:customStyle="1" w:styleId="28">
    <w:name w:val="样式3"/>
    <w:basedOn w:val="9"/>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7664</Words>
  <Characters>8079</Characters>
  <Lines>4</Lines>
  <Paragraphs>7</Paragraphs>
  <TotalTime>19</TotalTime>
  <ScaleCrop>false</ScaleCrop>
  <LinksUpToDate>false</LinksUpToDate>
  <CharactersWithSpaces>8296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2026-08-18T03:52:00Z</cp:lastPrinted>
  <dcterms:modified xsi:type="dcterms:W3CDTF">2026-08-24T03:12:55Z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